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left="1100" w:right="1120"/>
        <w:spacing w:after="0" w:line="267" w:lineRule="auto"/>
        <w:rPr>
          <w:sz w:val="20"/>
          <w:szCs w:val="20"/>
          <w:color w:val="auto"/>
        </w:rPr>
      </w:pPr>
      <w:r>
        <w:rPr>
          <w:rFonts w:ascii="Arial" w:cs="Arial" w:eastAsia="Arial" w:hAnsi="Arial"/>
          <w:sz w:val="16"/>
          <w:szCs w:val="16"/>
          <w:b w:val="1"/>
          <w:bCs w:val="1"/>
          <w:color w:val="auto"/>
        </w:rPr>
        <w:t>As confidentially submitted to the Securities and Exchange Commission on June 28, 2021. This Amendment No. 1 to the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0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Adagio Therapeutics, Inc.</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40"/>
          </w:cols>
          <w:pgMar w:left="320" w:top="230" w:right="439" w:bottom="1440" w:gutter="0" w:footer="0" w:header="0"/>
        </w:sectPr>
      </w:pPr>
    </w:p>
    <w:p>
      <w:pPr>
        <w:spacing w:after="0" w:line="61"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2360"/>
        <w:spacing w:after="0"/>
        <w:rPr>
          <w:sz w:val="20"/>
          <w:szCs w:val="20"/>
          <w:color w:val="auto"/>
        </w:rPr>
      </w:pPr>
      <w:r>
        <w:rPr>
          <w:rFonts w:ascii="Arial" w:cs="Arial" w:eastAsia="Arial" w:hAnsi="Arial"/>
          <w:sz w:val="14"/>
          <w:szCs w:val="14"/>
          <w:b w:val="1"/>
          <w:bCs w:val="1"/>
          <w:color w:val="auto"/>
        </w:rPr>
        <w:t>2836</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85-1403134</w:t>
      </w:r>
    </w:p>
    <w:p>
      <w:pPr>
        <w:spacing w:after="0" w:line="47" w:lineRule="exact"/>
        <w:rPr>
          <w:sz w:val="24"/>
          <w:szCs w:val="24"/>
          <w:color w:val="auto"/>
        </w:rPr>
      </w:pPr>
    </w:p>
    <w:p>
      <w:pPr>
        <w:sectPr>
          <w:pgSz w:w="11900" w:h="16838" w:orient="portrait"/>
          <w:cols w:equalWidth="0" w:num="3">
            <w:col w:w="4860" w:space="720"/>
            <w:col w:w="2680" w:space="720"/>
            <w:col w:w="2160"/>
          </w:cols>
          <w:pgMar w:left="320" w:top="230" w:right="439"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(State or other jurisdiction of</w:t>
      </w:r>
    </w:p>
    <w:p>
      <w:pPr>
        <w:ind w:left="11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Arial" w:cs="Arial" w:eastAsia="Arial" w:hAnsi="Arial"/>
          <w:sz w:val="13"/>
          <w:szCs w:val="13"/>
          <w:color w:val="auto"/>
        </w:rPr>
        <w:t>(Primary Standard Industrial</w:t>
      </w:r>
    </w:p>
    <w:p>
      <w:pPr>
        <w:ind w:left="160"/>
        <w:spacing w:after="0"/>
        <w:rPr>
          <w:sz w:val="20"/>
          <w:szCs w:val="20"/>
          <w:color w:val="auto"/>
        </w:rPr>
      </w:pPr>
      <w:r>
        <w:rPr>
          <w:rFonts w:ascii="Arial" w:cs="Arial" w:eastAsia="Arial" w:hAnsi="Arial"/>
          <w:sz w:val="13"/>
          <w:szCs w:val="13"/>
          <w:color w:val="auto"/>
        </w:rPr>
        <w:t>Classification Code Number)</w:t>
      </w:r>
    </w:p>
    <w:p>
      <w:pPr>
        <w:spacing w:after="0"/>
        <w:rPr>
          <w:sz w:val="20"/>
          <w:szCs w:val="20"/>
          <w:color w:val="auto"/>
        </w:rPr>
      </w:pPr>
      <w:r>
        <w:rPr>
          <w:rFonts w:ascii="Arial" w:cs="Arial" w:eastAsia="Arial" w:hAnsi="Arial"/>
          <w:sz w:val="13"/>
          <w:szCs w:val="13"/>
          <w:b w:val="1"/>
          <w:bCs w:val="1"/>
          <w:color w:val="auto"/>
        </w:rPr>
        <w:t>303 Wyman Street, Suite 300</w:t>
      </w:r>
    </w:p>
    <w:p>
      <w:pPr>
        <w:ind w:left="240"/>
        <w:spacing w:after="0" w:line="221" w:lineRule="auto"/>
        <w:rPr>
          <w:sz w:val="20"/>
          <w:szCs w:val="20"/>
          <w:color w:val="auto"/>
        </w:rPr>
      </w:pPr>
      <w:r>
        <w:rPr>
          <w:rFonts w:ascii="Arial" w:cs="Arial" w:eastAsia="Arial" w:hAnsi="Arial"/>
          <w:sz w:val="14"/>
          <w:szCs w:val="14"/>
          <w:b w:val="1"/>
          <w:bCs w:val="1"/>
          <w:color w:val="auto"/>
        </w:rPr>
        <w:t>Waltham, MA 02451</w:t>
      </w:r>
    </w:p>
    <w:p>
      <w:pPr>
        <w:ind w:left="440"/>
        <w:spacing w:after="0"/>
        <w:rPr>
          <w:sz w:val="20"/>
          <w:szCs w:val="20"/>
          <w:color w:val="auto"/>
        </w:rPr>
      </w:pPr>
      <w:r>
        <w:rPr>
          <w:rFonts w:ascii="Arial" w:cs="Arial" w:eastAsia="Arial" w:hAnsi="Arial"/>
          <w:sz w:val="14"/>
          <w:szCs w:val="14"/>
          <w:b w:val="1"/>
          <w:bCs w:val="1"/>
          <w:color w:val="auto"/>
        </w:rPr>
        <w:t>(603) 252-2274</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457" w:lineRule="exact"/>
        <w:rPr>
          <w:sz w:val="24"/>
          <w:szCs w:val="24"/>
          <w:color w:val="auto"/>
        </w:rPr>
      </w:pPr>
    </w:p>
    <w:p>
      <w:pPr>
        <w:sectPr>
          <w:pgSz w:w="11900" w:h="16838" w:orient="portrait"/>
          <w:cols w:equalWidth="0" w:num="3">
            <w:col w:w="4020" w:space="720"/>
            <w:col w:w="3380" w:space="720"/>
            <w:col w:w="2300"/>
          </w:cols>
          <w:pgMar w:left="320" w:top="230" w:right="439" w:bottom="1440" w:gutter="0" w:footer="0" w:header="0"/>
          <w:type w:val="continuous"/>
        </w:sectPr>
      </w:pPr>
    </w:p>
    <w:p>
      <w:pPr>
        <w:jc w:val="center"/>
        <w:ind w:right="-119"/>
        <w:spacing w:after="0" w:line="235" w:lineRule="auto"/>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Tillman U. Gerngross</w:t>
      </w:r>
    </w:p>
    <w:p>
      <w:pPr>
        <w:jc w:val="center"/>
        <w:ind w:right="-1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Adagio Therapeutics, Inc.</w:t>
      </w:r>
    </w:p>
    <w:p>
      <w:pPr>
        <w:jc w:val="center"/>
        <w:ind w:right="-119"/>
        <w:spacing w:after="0" w:line="222" w:lineRule="auto"/>
        <w:rPr>
          <w:sz w:val="20"/>
          <w:szCs w:val="20"/>
          <w:color w:val="auto"/>
        </w:rPr>
      </w:pPr>
      <w:r>
        <w:rPr>
          <w:rFonts w:ascii="Arial" w:cs="Arial" w:eastAsia="Arial" w:hAnsi="Arial"/>
          <w:sz w:val="14"/>
          <w:szCs w:val="14"/>
          <w:b w:val="1"/>
          <w:bCs w:val="1"/>
          <w:color w:val="auto"/>
        </w:rPr>
        <w:t>303 Wyman Street, Suite 300</w:t>
      </w:r>
    </w:p>
    <w:p>
      <w:pPr>
        <w:jc w:val="center"/>
        <w:ind w:right="-119"/>
        <w:spacing w:after="0" w:line="221" w:lineRule="auto"/>
        <w:rPr>
          <w:sz w:val="20"/>
          <w:szCs w:val="20"/>
          <w:color w:val="auto"/>
        </w:rPr>
      </w:pPr>
      <w:r>
        <w:rPr>
          <w:rFonts w:ascii="Arial" w:cs="Arial" w:eastAsia="Arial" w:hAnsi="Arial"/>
          <w:sz w:val="14"/>
          <w:szCs w:val="14"/>
          <w:b w:val="1"/>
          <w:bCs w:val="1"/>
          <w:color w:val="auto"/>
        </w:rPr>
        <w:t>Waltham, MA 02451</w:t>
      </w:r>
    </w:p>
    <w:p>
      <w:pPr>
        <w:jc w:val="center"/>
        <w:ind w:right="-119"/>
        <w:spacing w:after="0" w:line="222" w:lineRule="auto"/>
        <w:rPr>
          <w:sz w:val="20"/>
          <w:szCs w:val="20"/>
          <w:color w:val="auto"/>
        </w:rPr>
      </w:pPr>
      <w:r>
        <w:rPr>
          <w:rFonts w:ascii="Arial" w:cs="Arial" w:eastAsia="Arial" w:hAnsi="Arial"/>
          <w:sz w:val="14"/>
          <w:szCs w:val="14"/>
          <w:b w:val="1"/>
          <w:bCs w:val="1"/>
          <w:color w:val="auto"/>
        </w:rPr>
        <w:t>(603) 252-2274</w:t>
      </w: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tbl>
      <w:tblPr>
        <w:tblLayout w:type="fixed"/>
        <w:tblInd w:w="206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800" w:type="dxa"/>
            <w:vAlign w:val="bottom"/>
          </w:tcPr>
          <w:p>
            <w:pPr>
              <w:ind w:left="780"/>
              <w:spacing w:after="0"/>
              <w:rPr>
                <w:sz w:val="20"/>
                <w:szCs w:val="20"/>
                <w:color w:val="auto"/>
              </w:rPr>
            </w:pPr>
            <w:r>
              <w:rPr>
                <w:rFonts w:ascii="Arial" w:cs="Arial" w:eastAsia="Arial" w:hAnsi="Arial"/>
                <w:sz w:val="14"/>
                <w:szCs w:val="14"/>
                <w:i w:val="1"/>
                <w:iCs w:val="1"/>
                <w:color w:val="auto"/>
              </w:rPr>
              <w:t>Copies to:</w:t>
            </w:r>
          </w:p>
        </w:tc>
      </w:tr>
      <w:tr>
        <w:trPr>
          <w:trHeight w:val="192"/>
        </w:trPr>
        <w:tc>
          <w:tcPr>
            <w:tcW w:w="2480" w:type="dxa"/>
            <w:vAlign w:val="bottom"/>
          </w:tcPr>
          <w:p>
            <w:pPr>
              <w:jc w:val="center"/>
              <w:ind w:right="728"/>
              <w:spacing w:after="0"/>
              <w:rPr>
                <w:sz w:val="20"/>
                <w:szCs w:val="20"/>
                <w:color w:val="auto"/>
              </w:rPr>
            </w:pPr>
            <w:r>
              <w:rPr>
                <w:rFonts w:ascii="Arial" w:cs="Arial" w:eastAsia="Arial" w:hAnsi="Arial"/>
                <w:sz w:val="14"/>
                <w:szCs w:val="14"/>
                <w:b w:val="1"/>
                <w:bCs w:val="1"/>
                <w:color w:val="auto"/>
                <w:w w:val="96"/>
              </w:rPr>
              <w:t>Divakar Gupta</w:t>
            </w:r>
          </w:p>
        </w:tc>
        <w:tc>
          <w:tcPr>
            <w:tcW w:w="4800" w:type="dxa"/>
            <w:vAlign w:val="bottom"/>
          </w:tcPr>
          <w:p>
            <w:pPr>
              <w:jc w:val="center"/>
              <w:ind w:left="2968"/>
              <w:spacing w:after="0"/>
              <w:rPr>
                <w:sz w:val="20"/>
                <w:szCs w:val="20"/>
                <w:color w:val="auto"/>
              </w:rPr>
            </w:pPr>
            <w:r>
              <w:rPr>
                <w:rFonts w:ascii="Arial" w:cs="Arial" w:eastAsia="Arial" w:hAnsi="Arial"/>
                <w:sz w:val="14"/>
                <w:szCs w:val="14"/>
                <w:b w:val="1"/>
                <w:bCs w:val="1"/>
                <w:color w:val="auto"/>
                <w:w w:val="94"/>
              </w:rPr>
              <w:t>Richard D. Truesdell, Jr.</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0"/>
              </w:rPr>
              <w:t>Ryan Sansom</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3"/>
              </w:rPr>
              <w:t>Roshni Banker Cariello</w:t>
            </w:r>
          </w:p>
        </w:tc>
      </w:tr>
      <w:tr>
        <w:trPr>
          <w:trHeight w:val="149"/>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3"/>
              </w:rPr>
              <w:t>Courtney M.W. Tygesson</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8"/>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9"/>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2"/>
              </w:rPr>
              <w:t>55 Hudson Yards</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4"/>
              </w:rPr>
              <w:t>New York, New York 10017</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4"/>
              </w:rPr>
              <w:t>New York, New York 10001</w:t>
            </w:r>
          </w:p>
        </w:tc>
        <w:tc>
          <w:tcPr>
            <w:tcW w:w="480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3"/>
              </w:rPr>
              <w:t>(212) 450-4000</w:t>
            </w:r>
          </w:p>
        </w:tc>
      </w:tr>
      <w:tr>
        <w:trPr>
          <w:trHeight w:val="186"/>
        </w:trPr>
        <w:tc>
          <w:tcPr>
            <w:tcW w:w="248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(212) 479-6000</w:t>
            </w:r>
          </w:p>
        </w:tc>
        <w:tc>
          <w:tcPr>
            <w:tcW w:w="4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59"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18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86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8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730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8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6"/>
              </w:rPr>
              <w:t>Offering Price(1)</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176"/>
        </w:trPr>
        <w:tc>
          <w:tcPr>
            <w:tcW w:w="73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1860" w:type="dxa"/>
            <w:vAlign w:val="bottom"/>
            <w:tcBorders>
              <w:right w:val="single" w:sz="8" w:color="auto"/>
            </w:tcBorders>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0" w:hanging="424"/>
        <w:spacing w:after="0" w:line="226"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Includes the offering price of additional shares that the underwriters have the option to purchase.</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53" w:lineRule="exact"/>
        <w:rPr>
          <w:sz w:val="24"/>
          <w:szCs w:val="24"/>
          <w:color w:val="auto"/>
        </w:rPr>
      </w:pPr>
    </w:p>
    <w:p>
      <w:pPr>
        <w:jc w:val="both"/>
        <w:ind w:left="120" w:right="20" w:firstLine="44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2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SUBJECT TO COMPLETION</w:t>
      </w:r>
    </w:p>
    <w:p>
      <w:pPr>
        <w:spacing w:after="0" w:line="8"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22"/>
          <w:szCs w:val="22"/>
          <w:i w:val="1"/>
          <w:iCs w:val="1"/>
          <w:color w:val="DE1A1E"/>
        </w:rPr>
        <w:t>DATED</w:t>
        <w:tab/>
        <w:t>, 2021</w:t>
      </w:r>
    </w:p>
    <w:p>
      <w:pPr>
        <w:spacing w:after="0" w:line="257" w:lineRule="exact"/>
        <w:rPr>
          <w:sz w:val="20"/>
          <w:szCs w:val="20"/>
          <w:color w:val="auto"/>
        </w:rPr>
      </w:pPr>
    </w:p>
    <w:p>
      <w:pPr>
        <w:ind w:left="568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173355</wp:posOffset>
            </wp:positionV>
            <wp:extent cx="138874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87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43"/>
          <w:szCs w:val="43"/>
          <w:i w:val="1"/>
          <w:iCs w:val="1"/>
          <w:color w:val="auto"/>
        </w:rPr>
        <w:t>Adagio Therapeutics, Inc.</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20"/>
        <w:spacing w:after="0"/>
        <w:tabs>
          <w:tab w:leader="none" w:pos="3940" w:val="left"/>
        </w:tabs>
        <w:rPr>
          <w:sz w:val="20"/>
          <w:szCs w:val="20"/>
          <w:color w:val="auto"/>
        </w:rPr>
      </w:pPr>
      <w:r>
        <w:rPr>
          <w:rFonts w:ascii="Arial" w:cs="Arial" w:eastAsia="Arial" w:hAnsi="Arial"/>
          <w:sz w:val="18"/>
          <w:szCs w:val="18"/>
          <w:b w:val="1"/>
          <w:bCs w:val="1"/>
          <w:i w:val="1"/>
          <w:iCs w:val="1"/>
          <w:color w:val="auto"/>
        </w:rPr>
        <w:t>Adagio Therapeutics, Inc. is offering</w:t>
      </w:r>
      <w:r>
        <w:rPr>
          <w:sz w:val="20"/>
          <w:szCs w:val="20"/>
          <w:color w:val="auto"/>
        </w:rPr>
        <w:tab/>
      </w:r>
      <w:r>
        <w:rPr>
          <w:rFonts w:ascii="Arial" w:cs="Arial" w:eastAsia="Arial" w:hAnsi="Arial"/>
          <w:sz w:val="16"/>
          <w:szCs w:val="16"/>
          <w:b w:val="1"/>
          <w:bCs w:val="1"/>
          <w:i w:val="1"/>
          <w:iCs w:val="1"/>
          <w:color w:val="auto"/>
        </w:rPr>
        <w:t>shares of common stock. This is our initial public offering and no public market exists for our</w:t>
      </w:r>
    </w:p>
    <w:p>
      <w:pPr>
        <w:spacing w:after="0" w:line="23" w:lineRule="exact"/>
        <w:rPr>
          <w:sz w:val="20"/>
          <w:szCs w:val="20"/>
          <w:color w:val="auto"/>
        </w:rPr>
      </w:pPr>
    </w:p>
    <w:p>
      <w:pPr>
        <w:ind w:left="120"/>
        <w:spacing w:after="0"/>
        <w:tabs>
          <w:tab w:leader="none" w:pos="6980" w:val="left"/>
          <w:tab w:leader="none" w:pos="8120" w:val="left"/>
        </w:tabs>
        <w:rPr>
          <w:sz w:val="20"/>
          <w:szCs w:val="20"/>
          <w:color w:val="auto"/>
        </w:rPr>
      </w:pPr>
      <w:r>
        <w:rPr>
          <w:rFonts w:ascii="Arial" w:cs="Arial" w:eastAsia="Arial" w:hAnsi="Arial"/>
          <w:sz w:val="18"/>
          <w:szCs w:val="18"/>
          <w:b w:val="1"/>
          <w:bCs w:val="1"/>
          <w:i w:val="1"/>
          <w:iCs w:val="1"/>
          <w:color w:val="auto"/>
        </w:rPr>
        <w:t>common stock. We anticipate that the initial public offering price will be between $</w:t>
      </w:r>
      <w:r>
        <w:rPr>
          <w:sz w:val="20"/>
          <w:szCs w:val="20"/>
          <w:color w:val="auto"/>
        </w:rPr>
        <w:tab/>
      </w:r>
      <w:r>
        <w:rPr>
          <w:rFonts w:ascii="Arial" w:cs="Arial" w:eastAsia="Arial" w:hAnsi="Arial"/>
          <w:sz w:val="18"/>
          <w:szCs w:val="18"/>
          <w:b w:val="1"/>
          <w:bCs w:val="1"/>
          <w:i w:val="1"/>
          <w:iCs w:val="1"/>
          <w:color w:val="auto"/>
        </w:rPr>
        <w:t>and $</w:t>
      </w:r>
      <w:r>
        <w:rPr>
          <w:sz w:val="20"/>
          <w:szCs w:val="20"/>
          <w:color w:val="auto"/>
        </w:rPr>
        <w:tab/>
      </w:r>
      <w:r>
        <w:rPr>
          <w:rFonts w:ascii="Arial" w:cs="Arial" w:eastAsia="Arial" w:hAnsi="Arial"/>
          <w:sz w:val="15"/>
          <w:szCs w:val="15"/>
          <w:b w:val="1"/>
          <w:bCs w:val="1"/>
          <w:i w:val="1"/>
          <w:i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intend to apply to list our common stock on The Nasdaq Global Market under the trading symbol “ADGI.”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both"/>
        <w:ind w:left="120" w:right="20"/>
        <w:spacing w:after="0" w:line="287" w:lineRule="auto"/>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are an “emerging growth company” and a “smaller reporting company” as defined under U.S. federal securities laws and, as such, will be subject to reduced public company reporting requirements for this prospectus and future filings. See “Prospectus Summary—Implications of Being an Emerging Growth Company and a Smaller Reporting Company.” Investing in our common stock involves risks. See “</w:t>
      </w:r>
      <w:hyperlink w:anchor="page16">
        <w:r>
          <w:rPr>
            <w:rFonts w:ascii="Arial" w:cs="Arial" w:eastAsia="Arial" w:hAnsi="Arial"/>
            <w:sz w:val="19"/>
            <w:szCs w:val="19"/>
            <w:b w:val="1"/>
            <w:bCs w:val="1"/>
            <w:i w:val="1"/>
            <w:iCs w:val="1"/>
            <w:u w:val="single" w:color="auto"/>
            <w:color w:val="0000EE"/>
          </w:rPr>
          <w:t>Risk Factors</w:t>
        </w:r>
      </w:hyperlink>
      <w:r>
        <w:rPr>
          <w:rFonts w:ascii="Arial" w:cs="Arial" w:eastAsia="Arial" w:hAnsi="Arial"/>
          <w:sz w:val="19"/>
          <w:szCs w:val="19"/>
          <w:b w:val="1"/>
          <w:bCs w:val="1"/>
          <w:i w:val="1"/>
          <w:iCs w:val="1"/>
          <w:color w:val="auto"/>
        </w:rPr>
        <w:t>” beginning on page 13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189865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040" w:type="dxa"/>
            <w:vAlign w:val="bottom"/>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60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8"/>
              </w:rPr>
              <w:t>Per Share</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95"/>
        </w:trPr>
        <w:tc>
          <w:tcPr>
            <w:tcW w:w="9040" w:type="dxa"/>
            <w:vAlign w:val="bottom"/>
            <w:vMerge w:val="continue"/>
          </w:tcPr>
          <w:p>
            <w:pPr>
              <w:spacing w:after="0"/>
              <w:rPr>
                <w:sz w:val="16"/>
                <w:szCs w:val="16"/>
                <w:color w:val="auto"/>
              </w:rPr>
            </w:pPr>
          </w:p>
        </w:tc>
        <w:tc>
          <w:tcPr>
            <w:tcW w:w="600" w:type="dxa"/>
            <w:vAlign w:val="bottom"/>
            <w:tcBorders>
              <w:top w:val="single" w:sz="8" w:color="auto"/>
            </w:tcBorders>
          </w:tcPr>
          <w:p>
            <w:pPr>
              <w:jc w:val="right"/>
              <w:ind w:right="235"/>
              <w:spacing w:after="0" w:line="195" w:lineRule="exact"/>
              <w:rPr>
                <w:sz w:val="20"/>
                <w:szCs w:val="20"/>
                <w:color w:val="auto"/>
              </w:rPr>
            </w:pPr>
            <w:r>
              <w:rPr>
                <w:rFonts w:ascii="Arial" w:cs="Arial" w:eastAsia="Arial" w:hAnsi="Arial"/>
                <w:sz w:val="18"/>
                <w:szCs w:val="18"/>
                <w:i w:val="1"/>
                <w:iCs w:val="1"/>
                <w:color w:val="auto"/>
              </w:rPr>
              <w:t>$</w:t>
            </w:r>
          </w:p>
        </w:tc>
        <w:tc>
          <w:tcPr>
            <w:tcW w:w="880" w:type="dxa"/>
            <w:vAlign w:val="bottom"/>
          </w:tcPr>
          <w:p>
            <w:pPr>
              <w:spacing w:after="0"/>
              <w:rPr>
                <w:sz w:val="16"/>
                <w:szCs w:val="16"/>
                <w:color w:val="auto"/>
              </w:rPr>
            </w:pPr>
          </w:p>
        </w:tc>
        <w:tc>
          <w:tcPr>
            <w:tcW w:w="300" w:type="dxa"/>
            <w:vAlign w:val="bottom"/>
            <w:tcBorders>
              <w:top w:val="single" w:sz="8" w:color="auto"/>
            </w:tcBorders>
          </w:tcPr>
          <w:p>
            <w:pPr>
              <w:jc w:val="right"/>
              <w:ind w:right="189"/>
              <w:spacing w:after="0"/>
              <w:rPr>
                <w:sz w:val="20"/>
                <w:szCs w:val="20"/>
                <w:color w:val="auto"/>
              </w:rPr>
            </w:pPr>
            <w:r>
              <w:rPr>
                <w:rFonts w:ascii="Arial" w:cs="Arial" w:eastAsia="Arial" w:hAnsi="Arial"/>
                <w:sz w:val="10"/>
                <w:szCs w:val="10"/>
                <w:i w:val="1"/>
                <w:iCs w:val="1"/>
                <w:color w:val="auto"/>
                <w:w w:val="71"/>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 (1)</w:t>
            </w:r>
          </w:p>
        </w:tc>
        <w:tc>
          <w:tcPr>
            <w:tcW w:w="600" w:type="dxa"/>
            <w:vAlign w:val="bottom"/>
          </w:tcPr>
          <w:p>
            <w:pPr>
              <w:jc w:val="right"/>
              <w:ind w:right="235"/>
              <w:spacing w:after="0"/>
              <w:rPr>
                <w:sz w:val="20"/>
                <w:szCs w:val="20"/>
                <w:color w:val="auto"/>
              </w:rPr>
            </w:pPr>
            <w:r>
              <w:rPr>
                <w:rFonts w:ascii="Arial" w:cs="Arial" w:eastAsia="Arial" w:hAnsi="Arial"/>
                <w:sz w:val="18"/>
                <w:szCs w:val="18"/>
                <w:i w:val="1"/>
                <w:iCs w:val="1"/>
                <w:color w:val="auto"/>
              </w:rPr>
              <w:t>$</w:t>
            </w:r>
          </w:p>
        </w:tc>
        <w:tc>
          <w:tcPr>
            <w:tcW w:w="1180" w:type="dxa"/>
            <w:vAlign w:val="bottom"/>
            <w:gridSpan w:val="2"/>
          </w:tcPr>
          <w:p>
            <w:pPr>
              <w:jc w:val="right"/>
              <w:ind w:right="189"/>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i w:val="1"/>
                <w:iCs w:val="1"/>
                <w:color w:val="auto"/>
              </w:rPr>
              <w:t>Proceeds, before expenses, to us</w:t>
            </w:r>
          </w:p>
        </w:tc>
        <w:tc>
          <w:tcPr>
            <w:tcW w:w="600" w:type="dxa"/>
            <w:vAlign w:val="bottom"/>
          </w:tcPr>
          <w:p>
            <w:pPr>
              <w:jc w:val="right"/>
              <w:ind w:right="235"/>
              <w:spacing w:after="0"/>
              <w:rPr>
                <w:sz w:val="20"/>
                <w:szCs w:val="20"/>
                <w:color w:val="auto"/>
              </w:rPr>
            </w:pPr>
            <w:r>
              <w:rPr>
                <w:rFonts w:ascii="Arial" w:cs="Arial" w:eastAsia="Arial" w:hAnsi="Arial"/>
                <w:sz w:val="18"/>
                <w:szCs w:val="18"/>
                <w:i w:val="1"/>
                <w:iCs w:val="1"/>
                <w:color w:val="auto"/>
              </w:rPr>
              <w:t>$</w:t>
            </w:r>
          </w:p>
        </w:tc>
        <w:tc>
          <w:tcPr>
            <w:tcW w:w="1180" w:type="dxa"/>
            <w:vAlign w:val="bottom"/>
            <w:gridSpan w:val="2"/>
          </w:tcPr>
          <w:p>
            <w:pPr>
              <w:jc w:val="right"/>
              <w:ind w:right="189"/>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“Underwriters” for additional information regarding total underwriter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0"/>
        <w:spacing w:after="0"/>
        <w:tabs>
          <w:tab w:leader="none" w:pos="7980" w:val="left"/>
        </w:tabs>
        <w:rPr>
          <w:sz w:val="20"/>
          <w:szCs w:val="20"/>
          <w:color w:val="auto"/>
        </w:rPr>
      </w:pPr>
      <w:r>
        <w:rPr>
          <w:rFonts w:ascii="Arial" w:cs="Arial" w:eastAsia="Arial" w:hAnsi="Arial"/>
          <w:sz w:val="18"/>
          <w:szCs w:val="18"/>
          <w:i w:val="1"/>
          <w:iCs w:val="1"/>
          <w:color w:val="auto"/>
        </w:rPr>
        <w:t>We have granted the underwriters an option for a period of 30 days to purchase up to an additional</w:t>
      </w:r>
      <w:r>
        <w:rPr>
          <w:sz w:val="20"/>
          <w:szCs w:val="20"/>
          <w:color w:val="auto"/>
        </w:rPr>
        <w:tab/>
      </w:r>
      <w:r>
        <w:rPr>
          <w:rFonts w:ascii="Arial" w:cs="Arial" w:eastAsia="Arial" w:hAnsi="Arial"/>
          <w:sz w:val="16"/>
          <w:szCs w:val="16"/>
          <w:i w:val="1"/>
          <w:iCs w:val="1"/>
          <w:color w:val="auto"/>
        </w:rPr>
        <w:t>shares of our common stock.</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380" w:type="dxa"/>
            <w:vAlign w:val="bottom"/>
            <w:gridSpan w:val="5"/>
          </w:tcPr>
          <w:p>
            <w:pPr>
              <w:spacing w:after="0"/>
              <w:rPr>
                <w:sz w:val="20"/>
                <w:szCs w:val="20"/>
                <w:color w:val="auto"/>
              </w:rPr>
            </w:pPr>
            <w:r>
              <w:rPr>
                <w:rFonts w:ascii="Arial" w:cs="Arial" w:eastAsia="Arial" w:hAnsi="Arial"/>
                <w:sz w:val="18"/>
                <w:szCs w:val="18"/>
                <w:i w:val="1"/>
                <w:iCs w:val="1"/>
                <w:color w:val="auto"/>
                <w:w w:val="90"/>
              </w:rPr>
              <w:t>The underwriters expect to deliver the shares of common stock against payment in New York, New York on or about</w:t>
            </w:r>
          </w:p>
        </w:tc>
        <w:tc>
          <w:tcPr>
            <w:tcW w:w="2640" w:type="dxa"/>
            <w:vAlign w:val="bottom"/>
          </w:tcPr>
          <w:p>
            <w:pPr>
              <w:jc w:val="right"/>
              <w:ind w:right="1403"/>
              <w:spacing w:after="0"/>
              <w:rPr>
                <w:sz w:val="20"/>
                <w:szCs w:val="20"/>
                <w:color w:val="auto"/>
              </w:rPr>
            </w:pPr>
            <w:r>
              <w:rPr>
                <w:rFonts w:ascii="Arial" w:cs="Arial" w:eastAsia="Arial" w:hAnsi="Arial"/>
                <w:sz w:val="18"/>
                <w:szCs w:val="18"/>
                <w:i w:val="1"/>
                <w:iCs w:val="1"/>
                <w:color w:val="auto"/>
              </w:rPr>
              <w:t>, 2021.</w:t>
            </w:r>
          </w:p>
        </w:tc>
      </w:tr>
      <w:tr>
        <w:trPr>
          <w:trHeight w:val="351"/>
        </w:trPr>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tcBorders>
              <w:bottom w:val="single" w:sz="8" w:color="auto"/>
            </w:tcBorders>
            <w:gridSpan w:val="2"/>
          </w:tcPr>
          <w:p>
            <w:pPr>
              <w:spacing w:after="0"/>
              <w:rPr>
                <w:sz w:val="24"/>
                <w:szCs w:val="24"/>
                <w:color w:val="auto"/>
              </w:rPr>
            </w:pPr>
          </w:p>
        </w:tc>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25"/>
        </w:trPr>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40" w:type="dxa"/>
            <w:vAlign w:val="bottom"/>
            <w:gridSpan w:val="3"/>
          </w:tcPr>
          <w:p>
            <w:pPr>
              <w:jc w:val="right"/>
              <w:ind w:right="1760"/>
              <w:spacing w:after="0"/>
              <w:rPr>
                <w:sz w:val="20"/>
                <w:szCs w:val="20"/>
                <w:color w:val="auto"/>
              </w:rPr>
            </w:pPr>
            <w:r>
              <w:rPr>
                <w:rFonts w:ascii="Arial" w:cs="Arial" w:eastAsia="Arial" w:hAnsi="Arial"/>
                <w:sz w:val="18"/>
                <w:szCs w:val="18"/>
                <w:i w:val="1"/>
                <w:iCs w:val="1"/>
                <w:color w:val="auto"/>
                <w:w w:val="93"/>
              </w:rPr>
              <w:t>Joint Book-Running Managers</w:t>
            </w:r>
          </w:p>
        </w:tc>
        <w:tc>
          <w:tcPr>
            <w:tcW w:w="2640" w:type="dxa"/>
            <w:vAlign w:val="bottom"/>
          </w:tcPr>
          <w:p>
            <w:pPr>
              <w:spacing w:after="0"/>
              <w:rPr>
                <w:sz w:val="24"/>
                <w:szCs w:val="24"/>
                <w:color w:val="auto"/>
              </w:rPr>
            </w:pPr>
          </w:p>
        </w:tc>
      </w:tr>
      <w:tr>
        <w:trPr>
          <w:trHeight w:val="494"/>
        </w:trPr>
        <w:tc>
          <w:tcPr>
            <w:tcW w:w="2660" w:type="dxa"/>
            <w:vAlign w:val="bottom"/>
          </w:tcPr>
          <w:p>
            <w:pPr>
              <w:spacing w:after="0"/>
              <w:rPr>
                <w:sz w:val="20"/>
                <w:szCs w:val="20"/>
                <w:color w:val="auto"/>
              </w:rPr>
            </w:pPr>
            <w:r>
              <w:rPr>
                <w:rFonts w:ascii="Arial" w:cs="Arial" w:eastAsia="Arial" w:hAnsi="Arial"/>
                <w:sz w:val="21"/>
                <w:szCs w:val="21"/>
                <w:i w:val="1"/>
                <w:iCs w:val="1"/>
                <w:color w:val="auto"/>
              </w:rPr>
              <w:t>MORGAN STANLEY</w:t>
            </w:r>
          </w:p>
        </w:tc>
        <w:tc>
          <w:tcPr>
            <w:tcW w:w="2620" w:type="dxa"/>
            <w:vAlign w:val="bottom"/>
            <w:gridSpan w:val="2"/>
          </w:tcPr>
          <w:p>
            <w:pPr>
              <w:ind w:left="920"/>
              <w:spacing w:after="0"/>
              <w:rPr>
                <w:sz w:val="20"/>
                <w:szCs w:val="20"/>
                <w:color w:val="auto"/>
              </w:rPr>
            </w:pPr>
            <w:r>
              <w:rPr>
                <w:rFonts w:ascii="Arial" w:cs="Arial" w:eastAsia="Arial" w:hAnsi="Arial"/>
                <w:sz w:val="21"/>
                <w:szCs w:val="21"/>
                <w:i w:val="1"/>
                <w:iCs w:val="1"/>
                <w:color w:val="auto"/>
              </w:rPr>
              <w:t>JEFFERIES</w:t>
            </w:r>
          </w:p>
        </w:tc>
        <w:tc>
          <w:tcPr>
            <w:tcW w:w="3100" w:type="dxa"/>
            <w:vAlign w:val="bottom"/>
            <w:gridSpan w:val="2"/>
          </w:tcPr>
          <w:p>
            <w:pPr>
              <w:jc w:val="right"/>
              <w:ind w:right="1760"/>
              <w:spacing w:after="0"/>
              <w:rPr>
                <w:sz w:val="20"/>
                <w:szCs w:val="20"/>
                <w:color w:val="auto"/>
              </w:rPr>
            </w:pPr>
            <w:r>
              <w:rPr>
                <w:rFonts w:ascii="Arial" w:cs="Arial" w:eastAsia="Arial" w:hAnsi="Arial"/>
                <w:sz w:val="21"/>
                <w:szCs w:val="21"/>
                <w:i w:val="1"/>
                <w:iCs w:val="1"/>
                <w:color w:val="auto"/>
              </w:rPr>
              <w:t>STIFEL</w:t>
            </w:r>
          </w:p>
        </w:tc>
        <w:tc>
          <w:tcPr>
            <w:tcW w:w="2640" w:type="dxa"/>
            <w:vAlign w:val="bottom"/>
          </w:tcPr>
          <w:p>
            <w:pPr>
              <w:jc w:val="right"/>
              <w:spacing w:after="0"/>
              <w:rPr>
                <w:sz w:val="20"/>
                <w:szCs w:val="20"/>
                <w:color w:val="auto"/>
              </w:rPr>
            </w:pPr>
            <w:r>
              <w:rPr>
                <w:rFonts w:ascii="Arial" w:cs="Arial" w:eastAsia="Arial" w:hAnsi="Arial"/>
                <w:sz w:val="21"/>
                <w:szCs w:val="21"/>
                <w:i w:val="1"/>
                <w:iCs w:val="1"/>
                <w:color w:val="auto"/>
                <w:w w:val="94"/>
              </w:rPr>
              <w:t>GUGGENHEIM SECURITIES</w:t>
            </w:r>
          </w:p>
        </w:tc>
      </w:tr>
    </w:tbl>
    <w:p>
      <w:pPr>
        <w:spacing w:after="0" w:line="1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tabs>
          <w:tab w:leader="none" w:pos="2960" w:val="left"/>
        </w:tabs>
        <w:rPr>
          <w:sz w:val="20"/>
          <w:szCs w:val="20"/>
          <w:color w:val="auto"/>
        </w:rPr>
      </w:pPr>
      <w:r>
        <w:rPr>
          <w:rFonts w:ascii="Arial" w:cs="Arial" w:eastAsia="Arial" w:hAnsi="Arial"/>
          <w:sz w:val="18"/>
          <w:szCs w:val="18"/>
          <w:i w:val="1"/>
          <w:iCs w:val="1"/>
          <w:color w:val="auto"/>
        </w:rPr>
        <w:t>The date of this prospectus is</w:t>
      </w:r>
      <w:r>
        <w:rPr>
          <w:sz w:val="20"/>
          <w:szCs w:val="20"/>
          <w:color w:val="auto"/>
        </w:rPr>
        <w:tab/>
      </w:r>
      <w:r>
        <w:rPr>
          <w:rFonts w:ascii="Arial" w:cs="Arial" w:eastAsia="Arial" w:hAnsi="Arial"/>
          <w:sz w:val="15"/>
          <w:szCs w:val="15"/>
          <w:i w:val="1"/>
          <w:iCs w:val="1"/>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00" w:type="dxa"/>
            <w:vAlign w:val="bottom"/>
            <w:gridSpan w:val="1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Page</w:t>
            </w:r>
          </w:p>
        </w:tc>
        <w:tc>
          <w:tcPr>
            <w:tcW w:w="5000" w:type="dxa"/>
            <w:vAlign w:val="bottom"/>
            <w:gridSpan w:val="13"/>
            <w:vMerge w:val="restart"/>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900" w:type="dxa"/>
            <w:vAlign w:val="bottom"/>
            <w:gridSpan w:val="14"/>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4"/>
                <w:szCs w:val="14"/>
                <w:color w:val="auto"/>
              </w:rPr>
            </w:pPr>
          </w:p>
        </w:tc>
        <w:tc>
          <w:tcPr>
            <w:tcW w:w="500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3380" w:type="dxa"/>
            <w:vAlign w:val="bottom"/>
            <w:gridSpan w:val="6"/>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13</w:t>
            </w:r>
          </w:p>
        </w:tc>
        <w:tc>
          <w:tcPr>
            <w:tcW w:w="5000" w:type="dxa"/>
            <w:vAlign w:val="bottom"/>
            <w:gridSpan w:val="13"/>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Special Note Regarding Forward-Looking Statements</w:t>
              </w:r>
            </w:hyperlink>
          </w:p>
        </w:tc>
        <w:tc>
          <w:tcPr>
            <w:tcW w:w="1020" w:type="dxa"/>
            <w:vAlign w:val="bottom"/>
            <w:gridSpan w:val="2"/>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82</w:t>
            </w:r>
          </w:p>
        </w:tc>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87">
              <w:r>
                <w:rPr>
                  <w:rFonts w:ascii="Arial" w:cs="Arial" w:eastAsia="Arial" w:hAnsi="Arial"/>
                  <w:sz w:val="18"/>
                  <w:szCs w:val="18"/>
                  <w:color w:val="0000EE"/>
                  <w:w w:val="90"/>
                </w:rPr>
                <w:t>Principal Stockholders</w:t>
              </w:r>
            </w:hyperlink>
          </w:p>
        </w:tc>
        <w:tc>
          <w:tcPr>
            <w:tcW w:w="33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184</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Market and Industry Data</w:t>
              </w:r>
            </w:hyperlink>
          </w:p>
        </w:tc>
        <w:tc>
          <w:tcPr>
            <w:tcW w:w="3040" w:type="dxa"/>
            <w:vAlign w:val="bottom"/>
            <w:gridSpan w:val="5"/>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84</w:t>
            </w: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92">
              <w:r>
                <w:rPr>
                  <w:rFonts w:ascii="Arial" w:cs="Arial" w:eastAsia="Arial" w:hAnsi="Arial"/>
                  <w:sz w:val="18"/>
                  <w:szCs w:val="18"/>
                  <w:color w:val="0000EE"/>
                  <w:w w:val="92"/>
                </w:rPr>
                <w:t>Description of Capital Stock</w:t>
              </w:r>
            </w:hyperlink>
          </w:p>
        </w:tc>
        <w:tc>
          <w:tcPr>
            <w:tcW w:w="29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Use of Proceeds</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85</w:t>
            </w:r>
          </w:p>
        </w:tc>
        <w:tc>
          <w:tcPr>
            <w:tcW w:w="5000" w:type="dxa"/>
            <w:vAlign w:val="bottom"/>
            <w:gridSpan w:val="13"/>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7"/>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Dividend Policy</w:t>
              </w:r>
            </w:hyperlink>
          </w:p>
        </w:tc>
        <w:tc>
          <w:tcPr>
            <w:tcW w:w="3720" w:type="dxa"/>
            <w:vAlign w:val="bottom"/>
            <w:gridSpan w:val="7"/>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86</w:t>
            </w:r>
          </w:p>
        </w:tc>
        <w:tc>
          <w:tcPr>
            <w:tcW w:w="5000" w:type="dxa"/>
            <w:vAlign w:val="bottom"/>
            <w:gridSpan w:val="13"/>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Capitalization</w:t>
              </w:r>
            </w:hyperlink>
          </w:p>
        </w:tc>
        <w:tc>
          <w:tcPr>
            <w:tcW w:w="3720" w:type="dxa"/>
            <w:vAlign w:val="bottom"/>
            <w:gridSpan w:val="7"/>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87</w:t>
            </w:r>
          </w:p>
        </w:tc>
        <w:tc>
          <w:tcPr>
            <w:tcW w:w="18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Holders</w:t>
              </w:r>
            </w:hyperlink>
          </w:p>
        </w:tc>
        <w:tc>
          <w:tcPr>
            <w:tcW w:w="5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Dilution</w:t>
              </w:r>
            </w:hyperlink>
          </w:p>
        </w:tc>
        <w:tc>
          <w:tcPr>
            <w:tcW w:w="3900" w:type="dxa"/>
            <w:vAlign w:val="bottom"/>
            <w:gridSpan w:val="9"/>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89</w:t>
            </w:r>
          </w:p>
        </w:tc>
        <w:tc>
          <w:tcPr>
            <w:tcW w:w="5000" w:type="dxa"/>
            <w:vAlign w:val="bottom"/>
            <w:gridSpan w:val="13"/>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Selected Consolidated Financial Data</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92</w:t>
            </w:r>
          </w:p>
        </w:tc>
        <w:tc>
          <w:tcPr>
            <w:tcW w:w="5000" w:type="dxa"/>
            <w:vAlign w:val="bottom"/>
            <w:gridSpan w:val="13"/>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w w:val="98"/>
              </w:rPr>
            </w:pPr>
            <w:hyperlink w:anchor="page97">
              <w:r>
                <w:rPr>
                  <w:rFonts w:ascii="Arial" w:cs="Arial" w:eastAsia="Arial" w:hAnsi="Arial"/>
                  <w:sz w:val="18"/>
                  <w:szCs w:val="18"/>
                  <w:color w:val="0000EE"/>
                  <w:w w:val="98"/>
                </w:rPr>
                <w:t>Management’s Discussion and Analysis of Financial Condition</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gridSpan w:val="12"/>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and Results of Operations</w:t>
              </w:r>
            </w:hyperlink>
          </w:p>
        </w:tc>
        <w:tc>
          <w:tcPr>
            <w:tcW w:w="360" w:type="dxa"/>
            <w:vAlign w:val="bottom"/>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94</w:t>
            </w:r>
          </w:p>
        </w:tc>
        <w:tc>
          <w:tcPr>
            <w:tcW w:w="5000" w:type="dxa"/>
            <w:vAlign w:val="bottom"/>
            <w:gridSpan w:val="13"/>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Where You Can Find Additional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Business</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w w:val="99"/>
              </w:rPr>
              <w:t>112</w:t>
            </w:r>
          </w:p>
        </w:tc>
        <w:tc>
          <w:tcPr>
            <w:tcW w:w="5000" w:type="dxa"/>
            <w:vAlign w:val="bottom"/>
            <w:gridSpan w:val="13"/>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61">
              <w:r>
                <w:rPr>
                  <w:rFonts w:ascii="Arial" w:cs="Arial" w:eastAsia="Arial" w:hAnsi="Arial"/>
                  <w:sz w:val="18"/>
                  <w:szCs w:val="18"/>
                  <w:color w:val="0000EE"/>
                  <w:w w:val="91"/>
                </w:rPr>
                <w:t>Management</w:t>
              </w:r>
            </w:hyperlink>
          </w:p>
        </w:tc>
        <w:tc>
          <w:tcPr>
            <w:tcW w:w="3900" w:type="dxa"/>
            <w:vAlign w:val="bottom"/>
            <w:gridSpan w:val="9"/>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w w:val="99"/>
              </w:rPr>
              <w:t>158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300" w:firstLine="426"/>
        <w:spacing w:after="0" w:line="255" w:lineRule="auto"/>
        <w:rPr>
          <w:sz w:val="20"/>
          <w:szCs w:val="20"/>
          <w:color w:val="auto"/>
        </w:rPr>
      </w:pPr>
      <w:r>
        <w:rPr>
          <w:rFonts w:ascii="Arial" w:cs="Arial" w:eastAsia="Arial" w:hAnsi="Arial"/>
          <w:sz w:val="18"/>
          <w:szCs w:val="18"/>
          <w:i w:val="1"/>
          <w:iCs w:val="1"/>
          <w:color w:val="auto"/>
        </w:rPr>
        <w:t>This summary highlights, and is qualified in its entirety by, information contained elsewhere in this prospectus. This summary does not contain all of the information you should consider before investing in our common stock. You should read this entire prospectus carefully, especially the sections titled “Risk Factors” and “Management’s Discussion and Analysis of Financial Condition and Results of Operations” and our consolidated financial statements and the related notes appearing elsewhere in this prospectus, before making an investment decision. As used in this prospectus, unless the context otherwise requires, references to “we,” “us,” “our,” “the company,” “Adagio” and “Adagio Therapeutics” refer to Adagio Therapeutics, Inc.</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firstLine="426"/>
        <w:spacing w:after="0" w:line="289" w:lineRule="auto"/>
        <w:rPr>
          <w:sz w:val="20"/>
          <w:szCs w:val="20"/>
          <w:color w:val="auto"/>
        </w:rPr>
      </w:pPr>
      <w:r>
        <w:rPr>
          <w:rFonts w:ascii="Arial" w:cs="Arial" w:eastAsia="Arial" w:hAnsi="Arial"/>
          <w:sz w:val="16"/>
          <w:szCs w:val="16"/>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 over 40 of which have advanced into clinical trials.</w:t>
      </w:r>
    </w:p>
    <w:p>
      <w:pPr>
        <w:spacing w:after="0" w:line="166"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auto"/>
        </w:rPr>
        <w:t>ADG20 is designed to be a potent, long-acting and broadly neutralizing antibody for both the treatment and prevention of COVID-19 as either a single or combination agent. Unlike other antibody-based therapies specifically targeting SARS-CoV-2, ADG20 has demonstrated an ability to potently neutralize SARS-CoV-2, including variants of concern, as well as a broad range of SARS-like viruses in non-clinical studies. We believe potent neutralization will translate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following administration of ADG20 were within the range of peak serum neutralizing antibody titers reported for mRNA COVID-19 vaccine recipients.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79" w:lineRule="exact"/>
        <w:rPr>
          <w:sz w:val="20"/>
          <w:szCs w:val="20"/>
          <w:color w:val="auto"/>
        </w:rPr>
      </w:pPr>
    </w:p>
    <w:p>
      <w:pPr>
        <w:jc w:val="both"/>
        <w:ind w:left="300" w:firstLine="426"/>
        <w:spacing w:after="0" w:line="291" w:lineRule="auto"/>
        <w:rPr>
          <w:sz w:val="20"/>
          <w:szCs w:val="20"/>
          <w:color w:val="auto"/>
        </w:rPr>
      </w:pPr>
      <w:r>
        <w:rPr>
          <w:rFonts w:ascii="Arial" w:cs="Arial" w:eastAsia="Arial" w:hAnsi="Arial"/>
          <w:sz w:val="16"/>
          <w:szCs w:val="16"/>
          <w:color w:val="auto"/>
        </w:rPr>
        <w:t>Over the past 20 years, three pathogenic novel coronaviruses have spilled over into the human population from animal reservoirs to cause outbreaks of deadly pneumonia, including COVID-19, severe acute respiratory syndrome, or SARS, and Middle East respiratory syndrome, or MERS. Most recently, SARS-CoV-2 has given rise to a global pandemic that swept rapidly throughout the world in 2020. Of significant current concern is the emergence of a number of SARS-CoV-2 variants with increased transmissibility and/or the ability to evade neutralizing antibodies. In addition to the emergence of these variants, there are multiple factors that we believe contribute to the likelihood of COVID-19 becoming an endemic threat, including (1) uneven global rollout of vaccinations; (2) ongoing vaccine hesitancy; (3) unknown duration of immunity and efficacy against current and future viral variants conferred by currently available vaccines; (4) uncertain impact of vaccines on transmission; and</w:t>
      </w:r>
    </w:p>
    <w:p>
      <w:pPr>
        <w:spacing w:after="0" w:line="3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077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hanging="2"/>
        <w:spacing w:after="0" w:line="259" w:lineRule="auto"/>
        <w:tabs>
          <w:tab w:leader="none" w:pos="558"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implementation of virus mitigation efforts, such as wearing masks and social distancing. As a result, our epidemiological modeling has suggested that as much as 50% of the global population may be susceptible to SARS-CoV-2 infection within three years. We also believe that future pandemics similar to the COVID-19 pandemic are likely because, in many parts of the world, humans live in close proximity to animal species harboring SARS-like viruses that are capable of infecting humans.</w:t>
      </w:r>
    </w:p>
    <w:p>
      <w:pPr>
        <w:spacing w:after="0" w:line="187"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6"/>
          <w:szCs w:val="16"/>
          <w:color w:val="auto"/>
        </w:rPr>
        <w:t xml:space="preserve">In response to the ongoing pandemic, multiple agents have been discovered, developed and authorized at an unprecedented speed to address COVID-19. Several vaccines have been authorized for the prevention of COVID-19 under public health emergency guidelines both in the United States and abroad. In addition, some mAb therapies, either as a monotherapy or a combination cocktail, have been granted an EUA in the United States and India and are available for use as unauthorized products in certain EU member states for the treatment of mild to moderate COVID-19 in patients at high risk of disease progression. However, we believe additional solutions are required. The recent emergence of SARS-CoV-2 variants has attenuated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of certain currently available mAbs. For example, the U.S. Food and Drug Administration, or the FDA, recently revoked the EUA for one of these mAbs due to its lack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against key variants of concern as a single agent and distribution of a second agent, bamlanvimab/etesevimab, has been paused in the United States due to data showing that the combined frequency of two variants resistant to this product, the Gamma (P.1) and Beta (B.1.351) variants, now exceeds 11% in the United States and is trending upward. In addition, the use of currently available mAbs for the treatment of COVID-19 has been limited by the inconvenience of their intravenous, or IV, administration, which requires specialized facilities that are properly equipped to accommodate IV infusions in actively infected patients and may lead to a delay in administration. Additional factors that have limited use of mAbs include lack of awareness and education on appropriate use as well as perceived difficulty accessing treatment. We anticipate that these same limitations will apply to any IV-administered mAbs that may be authorized or approved for the prevention of COVID-19. Furthermore, in the setting of prevention, mAbs without sufficiently long half-lives will likely require frequent and periodic administration in order to achieve long-lasting protection.</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Approach to COVID-19 and Development of Coronavirus mAbs</w:t>
      </w:r>
    </w:p>
    <w:p>
      <w:pPr>
        <w:spacing w:after="0" w:line="121"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auto"/>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believe that a mAb therapy with the following characteristics will have the potential to address the limitations of currently available treatment and prevention options for COVID-19 as well as future diseases that may arise from SARS-like viruses with pandemic potential:</w:t>
      </w:r>
    </w:p>
    <w:p>
      <w:pPr>
        <w:spacing w:after="0" w:line="93" w:lineRule="exact"/>
        <w:rPr>
          <w:sz w:val="20"/>
          <w:szCs w:val="20"/>
          <w:color w:val="auto"/>
        </w:rPr>
      </w:pPr>
    </w:p>
    <w:p>
      <w:pPr>
        <w:ind w:left="1240" w:hanging="523"/>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potency and broad neutralizing activity to address SARS-CoV-2, including variants of concern, and additional SARS-like viruses, or sarbecoviruses;</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 mechanisms of action, including direct virus neutralization by blocking viral entry into the host cell and elimination of infected host cells through innate immune effector activity to clear infection;</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Convenient outpatient administration as a single-dose IM injection;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provide both rapid and durable protection with potential protection against COVID-19 for up to one year.</w:t>
      </w:r>
    </w:p>
    <w:p>
      <w:pPr>
        <w:spacing w:after="0" w:line="225"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To develop mAb therapies with these characteristics, we optimize both the antigen-binding fragment, or Fab, and constant fragment, or Fc, regions of candidate molecules to improve breadth, potency, half-life and developability. The Fab region binds to the viral antigen and is a key determinant of specificity and potency. The</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Fc portion binds to host cell receptors to activate the innate immune system to eliminate infected host cells and is a key determinant of serum half-life. Key elements that differentiate our approach include:</w:t>
      </w:r>
    </w:p>
    <w:p>
      <w:pPr>
        <w:spacing w:after="0" w:line="72" w:lineRule="exact"/>
        <w:rPr>
          <w:sz w:val="20"/>
          <w:szCs w:val="20"/>
          <w:color w:val="auto"/>
        </w:rPr>
      </w:pPr>
    </w:p>
    <w:p>
      <w:pPr>
        <w:jc w:val="both"/>
        <w:ind w:left="1240" w:hanging="523"/>
        <w:spacing w:after="0" w:line="266"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Recognition of the importance of broadly neutralizing antibodies: </w:t>
      </w:r>
      <w:r>
        <w:rPr>
          <w:rFonts w:ascii="Arial" w:cs="Arial" w:eastAsia="Arial" w:hAnsi="Arial"/>
          <w:sz w:val="18"/>
          <w:szCs w:val="18"/>
          <w:color w:val="auto"/>
        </w:rPr>
        <w:t>From the outset, we chose to focus on mAbs capable of broadly</w:t>
      </w:r>
      <w:r>
        <w:rPr>
          <w:rFonts w:ascii="Arial" w:cs="Arial" w:eastAsia="Arial" w:hAnsi="Arial"/>
          <w:sz w:val="18"/>
          <w:szCs w:val="18"/>
          <w:b w:val="1"/>
          <w:bCs w:val="1"/>
          <w:color w:val="auto"/>
        </w:rPr>
        <w:t xml:space="preserve"> </w:t>
      </w:r>
      <w:r>
        <w:rPr>
          <w:rFonts w:ascii="Arial" w:cs="Arial" w:eastAsia="Arial" w:hAnsi="Arial"/>
          <w:sz w:val="18"/>
          <w:szCs w:val="18"/>
          <w:color w:val="auto"/>
        </w:rPr>
        <w:t>neutralizing not only SARS-CoV-2 and its variants, but also the entire viral class of sarbecoviruses that target the human angiotensin-converting enzyme 2, or hACE2, receptor.</w:t>
      </w:r>
    </w:p>
    <w:p>
      <w:pPr>
        <w:spacing w:after="0" w:line="81" w:lineRule="exact"/>
        <w:rPr>
          <w:rFonts w:ascii="Arial" w:cs="Arial" w:eastAsia="Arial" w:hAnsi="Arial"/>
          <w:sz w:val="18"/>
          <w:szCs w:val="18"/>
          <w:color w:val="auto"/>
        </w:rPr>
      </w:pPr>
    </w:p>
    <w:p>
      <w:pPr>
        <w:jc w:val="both"/>
        <w:ind w:left="1240" w:hanging="523"/>
        <w:spacing w:after="0" w:line="255"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Industry-leading B-cell mining, protein engineering and developability screening capabilities through our partnership with Adimab: </w:t>
      </w:r>
      <w:r>
        <w:rPr>
          <w:rFonts w:ascii="Arial" w:cs="Arial" w:eastAsia="Arial" w:hAnsi="Arial"/>
          <w:sz w:val="18"/>
          <w:szCs w:val="18"/>
          <w:color w:val="auto"/>
        </w:rPr>
        <w:t>We leverage nature’s solutions using Adimab’s deep B-cell mining capabilities to isolate broadly neutralizing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from a disease survivor of an earlier SARS infection. We then utilize Adimab’s leading protein engineering capabilities to improve the potency, breadth and half-life of the antibody candidates we advance into preclinical development. We specifically engineer our antibodies to extend their half-lives without affecting Fc-mediated innate immune effector activity. In addition, we have access to Adimab’s extensive suite of developability assays that allow for selection of lead candidates most likely to be readily manufactured and formulated for use in humans.</w:t>
      </w:r>
    </w:p>
    <w:p>
      <w:pPr>
        <w:spacing w:after="0" w:line="94" w:lineRule="exact"/>
        <w:rPr>
          <w:rFonts w:ascii="Arial" w:cs="Arial" w:eastAsia="Arial" w:hAnsi="Arial"/>
          <w:sz w:val="18"/>
          <w:szCs w:val="18"/>
          <w:color w:val="auto"/>
        </w:rPr>
      </w:pPr>
    </w:p>
    <w:p>
      <w:pPr>
        <w:jc w:val="both"/>
        <w:ind w:left="1240" w:hanging="523"/>
        <w:spacing w:after="0" w:line="298"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Reduced risk of clinical resistance: </w:t>
      </w:r>
      <w:r>
        <w:rPr>
          <w:rFonts w:ascii="Arial" w:cs="Arial" w:eastAsia="Arial" w:hAnsi="Arial"/>
          <w:sz w:val="16"/>
          <w:szCs w:val="16"/>
          <w:color w:val="auto"/>
        </w:rPr>
        <w:t>We are developing antibodies that target conserved residues in the receptor-binding domain, or</w:t>
      </w:r>
      <w:r>
        <w:rPr>
          <w:rFonts w:ascii="Arial" w:cs="Arial" w:eastAsia="Arial" w:hAnsi="Arial"/>
          <w:sz w:val="16"/>
          <w:szCs w:val="16"/>
          <w:b w:val="1"/>
          <w:bCs w:val="1"/>
          <w:color w:val="auto"/>
        </w:rPr>
        <w:t xml:space="preserve"> </w:t>
      </w:r>
      <w:r>
        <w:rPr>
          <w:rFonts w:ascii="Arial" w:cs="Arial" w:eastAsia="Arial" w:hAnsi="Arial"/>
          <w:sz w:val="16"/>
          <w:szCs w:val="16"/>
          <w:color w:val="auto"/>
        </w:rPr>
        <w:t>RBD, of the viral S protein. Importantly, these residues are distinct from those recognized by other SARS-CoV-2-specific antibodies that are currently available or in development. In addition, the residues that our antibodies target are not readily targeted by antibodies induced by natural infection, which are referred to as public antibodies. These two factors suggest that the residues our antibodies target are less likely to mutate, which we believe will reduce the risk of resistance to our antibodies.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ADG20: Our Solution for the Treatment and Prevention of COVID-19</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ADG20, our lead product candidate, is designed to be a potent, broadly neutralizing antibody for both the treatment and prevention of COVID-19, including disease caused by variants, as either a single or combination agent. We believe ADG20 will have the following key clinical and commercial attributes:</w:t>
      </w:r>
    </w:p>
    <w:p>
      <w:pPr>
        <w:spacing w:after="0" w:line="89" w:lineRule="exact"/>
        <w:rPr>
          <w:sz w:val="20"/>
          <w:szCs w:val="20"/>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Broadly neutralizing activity across sarbecoviruses;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 onset of protection;</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Differentiated durability;</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Convenient, single-dose IM injection for use in the outpatient setting;</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Ability to both complement and supplement currently available COVID-19 vaccines, including for immunocompromised individuals;</w:t>
      </w:r>
    </w:p>
    <w:p>
      <w:pPr>
        <w:spacing w:after="0" w:line="153" w:lineRule="exact"/>
        <w:rPr>
          <w:rFonts w:ascii="Arial" w:cs="Arial" w:eastAsia="Arial" w:hAnsi="Arial"/>
          <w:sz w:val="16"/>
          <w:szCs w:val="16"/>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titer, high yield manufacturing process;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Standard refrigeration requirements to facilitate worldwide distribution and storage;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 shelf life to enable stockpiling.</w:t>
      </w:r>
    </w:p>
    <w:p>
      <w:pPr>
        <w:spacing w:after="0" w:line="225" w:lineRule="exact"/>
        <w:rPr>
          <w:sz w:val="20"/>
          <w:szCs w:val="20"/>
          <w:color w:val="auto"/>
        </w:rPr>
      </w:pPr>
    </w:p>
    <w:p>
      <w:pPr>
        <w:jc w:val="both"/>
        <w:ind w:left="300" w:firstLine="426"/>
        <w:spacing w:after="0" w:line="273" w:lineRule="auto"/>
        <w:rPr>
          <w:sz w:val="20"/>
          <w:szCs w:val="20"/>
          <w:color w:val="auto"/>
        </w:rPr>
      </w:pPr>
      <w:r>
        <w:rPr>
          <w:rFonts w:ascii="Arial" w:cs="Arial" w:eastAsia="Arial" w:hAnsi="Arial"/>
          <w:sz w:val="17"/>
          <w:szCs w:val="17"/>
          <w:color w:val="auto"/>
        </w:rPr>
        <w:t xml:space="preserve">ADG20 has been evaluated in a series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to demonstrate its potency and breadth as well as safety and efficacy in various animal models.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binding studies have demonstrated that ADG20 binds with high affinity to a diverse set of RBD subdomain 1, or RBD SD1, molecules from naturally circulating SARS-CoV-2 variants and related sarbecoviruses.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ADG20 has demonstrated potent neutralizing activity against SARS-CoV-2 and the emerging variants that have been associated with lower efficacy rates of certain vaccines and are resistant or partially resistant to a subset of currently available or clinical-stage mAbs.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ADG20 demonstrated an ability to prevent and treat SARS-CoV-2 infection and associated disease as well as a prolonged serum half-life.</w:t>
      </w: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70" w:lineRule="auto"/>
        <w:rPr>
          <w:sz w:val="20"/>
          <w:szCs w:val="20"/>
          <w:color w:val="auto"/>
        </w:rPr>
      </w:pPr>
      <w:r>
        <w:rPr>
          <w:rFonts w:ascii="Arial" w:cs="Arial" w:eastAsia="Arial" w:hAnsi="Arial"/>
          <w:sz w:val="17"/>
          <w:szCs w:val="17"/>
          <w:color w:val="auto"/>
        </w:rPr>
        <w:t>We have completed enrollment in our first-in-human Phase 1 clinical trial in healthy volunteers. Interim data demonstrated that ADG20 was well tolerated and displayed a pharmacokinetic profile consistent with an extended half-life mAb. Serum virus neutralizing antibody titers measured following administration of ADG20 were within the range of peak serum neutralizing antibody titers reported for mRNA COVID-19 vaccine recipients. For the treatment of mild to moderate COVID-19 in patients at high risk of disease progression, we are conducting our STAMP trial, a combined Phase 2/3 global clinical trial designed to provide a near-term path to authorization, marketing approval and commercial launch. For the prevention of COVID-19, we are conducting our EVADE trial, a combined Phase 2/3 global clinical trial, in both post-exposure and pre-exposure populations. As shown in the graphic below, we believe that intervention with an antiviral neutralizing antibody before exposure to SARS-CoV-2, post-exposure but prior to the onset of symptoms, or early in the course of symptomatic disease when viral replication is high but prior to the onset of significant immune pathology is likely to provide the greatest benefit to patients.</w:t>
      </w: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ADG20 for Treatment and Prevention of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00" w:firstLine="426"/>
        <w:spacing w:after="0" w:line="301" w:lineRule="auto"/>
        <w:rPr>
          <w:sz w:val="20"/>
          <w:szCs w:val="20"/>
          <w:color w:val="auto"/>
        </w:rPr>
      </w:pPr>
      <w:r>
        <w:rPr>
          <w:rFonts w:ascii="Arial" w:cs="Arial" w:eastAsia="Arial" w:hAnsi="Arial"/>
          <w:sz w:val="16"/>
          <w:szCs w:val="16"/>
          <w:color w:val="auto"/>
        </w:rPr>
        <w:t>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In addition, we are developing a clinical plan to support the use of ADG20 in the pediatric population for both the treatment and prevention of COVID-19.</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Broadly Neutralizing Antibodies and Discovery Programs Beyond ADG20</w:t>
      </w:r>
    </w:p>
    <w:p>
      <w:pPr>
        <w:spacing w:after="0" w:line="121" w:lineRule="exact"/>
        <w:rPr>
          <w:sz w:val="20"/>
          <w:szCs w:val="20"/>
          <w:color w:val="auto"/>
        </w:rPr>
      </w:pPr>
    </w:p>
    <w:p>
      <w:pPr>
        <w:jc w:val="both"/>
        <w:ind w:left="300" w:firstLine="426"/>
        <w:spacing w:after="0" w:line="271" w:lineRule="auto"/>
        <w:rPr>
          <w:sz w:val="20"/>
          <w:szCs w:val="20"/>
          <w:color w:val="auto"/>
        </w:rPr>
      </w:pPr>
      <w:r>
        <w:rPr>
          <w:rFonts w:ascii="Arial" w:cs="Arial" w:eastAsia="Arial" w:hAnsi="Arial"/>
          <w:sz w:val="17"/>
          <w:szCs w:val="17"/>
          <w:color w:val="auto"/>
        </w:rPr>
        <w:t>We are currently evaluating additional broadly neutralizing antibodies, such as ADG10, for potential use in combination with ADG20 for COVID-19. We believe the incorporation of a second broadly neutralizing antibody that targets a distinct viral epitope from the epitope targeted by ADG20 will ensure long-lasting product activity against COVID-19 as new variants of SARS-CoV-2 emerge, as well as against future potential outbreaks of disease that may arise from additional SARS-like viruses with pandemic potential. In addition, we plan to leverage the robust antibody discovery and development capabilities that have enabled our expedited advancement of ADG20 into clinical trials to develop therapeutic or preventative options for other respiratory viral infections, such as additional coronaviruses and seasonal and pandemic influenza. In addition to building a portfolio of broadly neutralizing antibodies, we are leveraging our knowledge around broadly neutralizing antibody responses to inform the rational design of coronavirus vaccine antigens.</w:t>
      </w: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Our goal is to develop and commercialize differentiated antibody-based solutions with broadly neutralizing activity for the treatment and prevention of diseases caused by SARS-CoV-2, its variants and additional SARS-like viruses with pandemic potential. In order to achieve this goal, our strategy involves executing on the following key elements:</w:t>
      </w:r>
    </w:p>
    <w:p>
      <w:pPr>
        <w:spacing w:after="0" w:line="89" w:lineRule="exact"/>
        <w:rPr>
          <w:sz w:val="20"/>
          <w:szCs w:val="20"/>
          <w:color w:val="auto"/>
        </w:rPr>
      </w:pPr>
    </w:p>
    <w:p>
      <w:pPr>
        <w:ind w:left="124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our team’s collective expertise in development, manufacturing and commercialization to efficiently bring ADG20 to patients.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development and obtain global approval for our lead product candidate, ADG20, for both the treatment and prevention of COVID-19.</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commercialize ADG20, if approved, through our own organization in the United States and Europe, and partners in the rest of the world.</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secure additional manufacturing capacity with trusted contract development and manufacturing organization, or CDMO, partners to enable a near-term worldwide commercial launch.</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additional antibodies for use in potential combination with ADG20 to address future potential variants of SARS-CoV-2 and other sarbecovirus outbreaks.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relationships with Adimab and academic institutions to discover additional antibody-based solutions to address coronavirus and influenza infections.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History and Team</w:t>
      </w:r>
    </w:p>
    <w:p>
      <w:pPr>
        <w:spacing w:after="0" w:line="121"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auto"/>
        </w:rPr>
        <w:t>We were founded in June 2020 to develop a portfolio of anti-coronavirus antibodies discovered by Adimab for both the treatment and prevention of COVID-19 and future coronavirus outbreaks. Our founding scientists discovered ADG20, our lead product candidate, while working at Adimab, an industry leader in translating target hypotheses into therapeutically relevant antibodies. The Adimab platform has been used in more than 385 antibody discovery and optimization programs, more than 40 of which have advanced into clinical trials, including five programs in pivotal clinical trials. In order to maximize ADG20’s potential and to ensure its development and commercialization with appropriate infectious disease resources and development expertise, we were launched as a new biotechnology company. Since our founding, we have assembled a team of industry veterans with substantial experience in discovering, developing and commercializing novel treatments for infectious diseases, including extensive experience discovering and optimizing mAbs. Many of our team members have held senior positions at companies such as Cubist Pharmaceuticals, Inc., Vir Biotechnology Inc., Adimab, Biogen and Ironwood Pharmaceuticals, among others. Our leadership team has more than 100 years of combined development and commercialization experience with small and large molecules in infectious disease, as well as decades of domain expertise in B-cell immunology of viral diseases.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Since our inception, we have raised approximately $470 million of capital from leading institutional healthcare investors and our partners.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the section titled “Risk Factors” and include, among others:</w:t>
      </w:r>
    </w:p>
    <w:p>
      <w:pPr>
        <w:spacing w:after="0" w:line="76" w:lineRule="exact"/>
        <w:rPr>
          <w:sz w:val="20"/>
          <w:szCs w:val="20"/>
          <w:color w:val="auto"/>
        </w:rPr>
      </w:pPr>
    </w:p>
    <w:p>
      <w:pPr>
        <w:ind w:left="1240" w:right="2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recurring losses from operations and financial condition raise substantial doubt about our ability to continue as a going concern.</w:t>
      </w:r>
    </w:p>
    <w:p>
      <w:pPr>
        <w:spacing w:after="0" w:line="153" w:lineRule="exact"/>
        <w:rPr>
          <w:rFonts w:ascii="Arial" w:cs="Arial" w:eastAsia="Arial" w:hAnsi="Arial"/>
          <w:sz w:val="16"/>
          <w:szCs w:val="16"/>
          <w:color w:val="auto"/>
        </w:rPr>
      </w:pPr>
    </w:p>
    <w:p>
      <w:pPr>
        <w:jc w:val="both"/>
        <w:ind w:left="1240" w:right="20" w:hanging="523"/>
        <w:spacing w:after="0" w:line="286"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70" w:lineRule="exact"/>
        <w:rPr>
          <w:rFonts w:ascii="Arial" w:cs="Arial" w:eastAsia="Arial" w:hAnsi="Arial"/>
          <w:sz w:val="17"/>
          <w:szCs w:val="17"/>
          <w:color w:val="auto"/>
        </w:rPr>
      </w:pPr>
    </w:p>
    <w:p>
      <w:pPr>
        <w:jc w:val="both"/>
        <w:ind w:left="124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89" w:lineRule="exact"/>
        <w:rPr>
          <w:rFonts w:ascii="Arial" w:cs="Arial" w:eastAsia="Arial" w:hAnsi="Arial"/>
          <w:sz w:val="18"/>
          <w:szCs w:val="18"/>
          <w:color w:val="auto"/>
        </w:rPr>
      </w:pPr>
    </w:p>
    <w:p>
      <w:pPr>
        <w:jc w:val="both"/>
        <w:ind w:left="1240" w:hanging="523"/>
        <w:spacing w:after="0" w:line="273"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83" w:lineRule="exact"/>
        <w:rPr>
          <w:rFonts w:ascii="Arial" w:cs="Arial" w:eastAsia="Arial" w:hAnsi="Arial"/>
          <w:sz w:val="17"/>
          <w:szCs w:val="17"/>
          <w:color w:val="auto"/>
        </w:rPr>
      </w:pPr>
    </w:p>
    <w:p>
      <w:pPr>
        <w:ind w:left="124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75" w:lineRule="exact"/>
        <w:rPr>
          <w:rFonts w:ascii="Arial" w:cs="Arial" w:eastAsia="Arial" w:hAnsi="Arial"/>
          <w:sz w:val="18"/>
          <w:szCs w:val="18"/>
          <w:color w:val="auto"/>
        </w:rPr>
      </w:pPr>
    </w:p>
    <w:p>
      <w:pPr>
        <w:jc w:val="both"/>
        <w:ind w:left="1240" w:right="2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awareness or negative public opinion of monoclonal antibody therapies and increased regulatory scrutiny of monoclonal antibody therapies to treat symptomatic COVID-19 may adversely impact the development or commercial success of our current and future product candidates.</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build a pipeline of additional product candidates.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and operations may be adversely affected by the evolving and ongoing COVID-19 global pandemic.</w:t>
      </w:r>
    </w:p>
    <w:p>
      <w:pPr>
        <w:spacing w:after="0" w:line="130" w:lineRule="exact"/>
        <w:rPr>
          <w:rFonts w:ascii="Arial" w:cs="Arial" w:eastAsia="Arial" w:hAnsi="Arial"/>
          <w:sz w:val="18"/>
          <w:szCs w:val="18"/>
          <w:color w:val="auto"/>
        </w:rPr>
      </w:pPr>
    </w:p>
    <w:p>
      <w:pPr>
        <w:jc w:val="both"/>
        <w:ind w:left="124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89"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ADG20 and our other monoclonal antibody product candidates may face significant competition from vaccines and other treatments for COVID-19 that are currently available or in development.</w:t>
      </w:r>
    </w:p>
    <w:p>
      <w:pPr>
        <w:spacing w:after="0" w:line="75" w:lineRule="exact"/>
        <w:rPr>
          <w:rFonts w:ascii="Arial" w:cs="Arial" w:eastAsia="Arial" w:hAnsi="Arial"/>
          <w:sz w:val="18"/>
          <w:szCs w:val="18"/>
          <w:color w:val="auto"/>
        </w:rPr>
      </w:pPr>
    </w:p>
    <w:p>
      <w:pPr>
        <w:jc w:val="both"/>
        <w:ind w:left="1240" w:hanging="523"/>
        <w:spacing w:after="0" w:line="259"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92"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7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hanging="523"/>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89" w:lineRule="exact"/>
        <w:rPr>
          <w:rFonts w:ascii="Arial" w:cs="Arial" w:eastAsia="Arial" w:hAnsi="Arial"/>
          <w:sz w:val="18"/>
          <w:szCs w:val="18"/>
          <w:color w:val="auto"/>
        </w:rPr>
      </w:pPr>
    </w:p>
    <w:p>
      <w:pPr>
        <w:jc w:val="both"/>
        <w:ind w:left="1240" w:hanging="523"/>
        <w:spacing w:after="0" w:line="259"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As such, we may take advantage of certain exemptions from various reporting requirements that are otherwise applicable to public companies. These exemptions include, but are not limited to:</w:t>
      </w:r>
    </w:p>
    <w:p>
      <w:pPr>
        <w:spacing w:after="0" w:line="89" w:lineRule="exact"/>
        <w:rPr>
          <w:sz w:val="20"/>
          <w:szCs w:val="20"/>
          <w:color w:val="auto"/>
        </w:rPr>
      </w:pPr>
    </w:p>
    <w:p>
      <w:pPr>
        <w:jc w:val="both"/>
        <w:ind w:left="1240" w:hanging="523"/>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in the assessment of our internal control over financial reporting;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30"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70" w:lineRule="exact"/>
        <w:rPr>
          <w:sz w:val="20"/>
          <w:szCs w:val="20"/>
          <w:color w:val="auto"/>
        </w:rPr>
      </w:pPr>
    </w:p>
    <w:p>
      <w:pPr>
        <w:jc w:val="both"/>
        <w:ind w:left="300" w:firstLine="426"/>
        <w:spacing w:after="0" w:line="284"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completion of this offering. However, if prior to the end of such five-year period, (i) our annual gross revenue exceeds $1.07 billion, (ii) we issue more than $1.0 billion of non-convertible debt in the previous three-year period or (iii) we become a “large accelerated filer” (as defined in Rule 12b-2 under the Securities Exchange Act of 1934, as amended, or the Exchange Act), we will cease to be an emerging growth company prior to the end of such five-year period. We will be deemed to be a “large accelerated filer” at such time that we (a) have an aggregate worldwide market value of our common stock held by non-affiliates of $700.0 million or more as of the last business day of our most recently completed second fiscal quarter,</w:t>
      </w:r>
    </w:p>
    <w:p>
      <w:pPr>
        <w:spacing w:after="0" w:line="4" w:lineRule="exact"/>
        <w:rPr>
          <w:sz w:val="20"/>
          <w:szCs w:val="20"/>
          <w:color w:val="auto"/>
        </w:rPr>
      </w:pPr>
    </w:p>
    <w:p>
      <w:pPr>
        <w:ind w:left="300" w:hanging="2"/>
        <w:spacing w:after="0" w:line="260" w:lineRule="auto"/>
        <w:tabs>
          <w:tab w:leader="none" w:pos="5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been required to file annual and quarterly reports under the Exchange Act for a period of at least 12 months and (c) have filed at least one annual report pursuant to the Exchange Act.</w:t>
      </w:r>
    </w:p>
    <w:p>
      <w:pPr>
        <w:spacing w:after="0" w:line="185" w:lineRule="exact"/>
        <w:rPr>
          <w:sz w:val="20"/>
          <w:szCs w:val="20"/>
          <w:color w:val="auto"/>
        </w:rPr>
      </w:pPr>
    </w:p>
    <w:p>
      <w:pPr>
        <w:jc w:val="both"/>
        <w:ind w:left="300" w:firstLine="426"/>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9" w:lineRule="exact"/>
        <w:rPr>
          <w:sz w:val="20"/>
          <w:szCs w:val="20"/>
          <w:color w:val="auto"/>
        </w:rPr>
      </w:pPr>
    </w:p>
    <w:p>
      <w:pPr>
        <w:jc w:val="both"/>
        <w:ind w:left="300" w:firstLine="426"/>
        <w:spacing w:after="0" w:line="30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elected not to “opt out” of the exemption for the delayed adoption of certain accounting standards, and, therefore, we will adopt new or revised accounting standards at the time private companies adopt the new or revised accounting standards and will do so until such time that we either (i) irrevocably elect to “opt out” of such extended transition period or (ii) no longer</w:t>
      </w:r>
    </w:p>
    <w:p>
      <w:pPr>
        <w:spacing w:after="0" w:line="3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67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3167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qualify as an emerging growth company. We may choose to early adopt any new or revised accounting standards whenever such early adoption is permitted for private companies.</w:t>
      </w:r>
    </w:p>
    <w:p>
      <w:pPr>
        <w:spacing w:after="0" w:line="170"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auto"/>
        </w:rPr>
        <w:t>We are also a “smaller reporting company” as defined under the Securities Exchange Act. We may continue to be a smaller reporting company for so long as either (i) the market value of our common stock held by non-affiliates is less than $250 million as of the last business day of our most recently completed second fiscal quarter or (ii) our annual revenue was less than $100 million during the most recently completed fiscal year and the market value of our common stock held by non-affiliates is less than $700 million as of the last business day of our most recently completed second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auto"/>
        </w:rPr>
        <w:t>We were incorporated under the laws of the State of Delaware in June of 2020. Our principal executive offices are located at 303 Wyman Street, Suite 300, Waltham, MA 02451 and our telephone number is (781) 819-0080. Our website address is adagiotx.com.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 We have included our website in this prospectus solely as an inactive textual reference.</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36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8"/>
                <w:szCs w:val="18"/>
                <w:b w:val="1"/>
                <w:bCs w:val="1"/>
                <w:color w:val="auto"/>
              </w:rPr>
              <w:t>THE OFFERING</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2000" w:type="dxa"/>
            <w:vAlign w:val="bottom"/>
          </w:tcPr>
          <w:p>
            <w:pPr>
              <w:ind w:left="1440"/>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w w:val="91"/>
              </w:rPr>
              <w:t>Common stock to be outstanding immediately after this offering</w:t>
            </w:r>
          </w:p>
        </w:tc>
        <w:tc>
          <w:tcPr>
            <w:tcW w:w="2420" w:type="dxa"/>
            <w:vAlign w:val="bottom"/>
            <w:gridSpan w:val="2"/>
            <w:vMerge w:val="restart"/>
          </w:tcPr>
          <w:p>
            <w:pPr>
              <w:ind w:left="1560"/>
              <w:spacing w:after="0"/>
              <w:rPr>
                <w:sz w:val="20"/>
                <w:szCs w:val="20"/>
                <w:color w:val="auto"/>
              </w:rPr>
            </w:pPr>
            <w:r>
              <w:rPr>
                <w:rFonts w:ascii="Arial" w:cs="Arial" w:eastAsia="Arial" w:hAnsi="Arial"/>
                <w:sz w:val="18"/>
                <w:szCs w:val="18"/>
                <w:color w:val="auto"/>
              </w:rPr>
              <w:t>shares (or</w:t>
            </w:r>
          </w:p>
        </w:tc>
        <w:tc>
          <w:tcPr>
            <w:tcW w:w="3580" w:type="dxa"/>
            <w:vAlign w:val="bottom"/>
            <w:gridSpan w:val="3"/>
            <w:vMerge w:val="restart"/>
          </w:tcPr>
          <w:p>
            <w:pPr>
              <w:jc w:val="right"/>
              <w:spacing w:after="0"/>
              <w:rPr>
                <w:sz w:val="20"/>
                <w:szCs w:val="20"/>
                <w:color w:val="auto"/>
              </w:rPr>
            </w:pPr>
            <w:r>
              <w:rPr>
                <w:rFonts w:ascii="Arial" w:cs="Arial" w:eastAsia="Arial" w:hAnsi="Arial"/>
                <w:sz w:val="18"/>
                <w:szCs w:val="18"/>
                <w:color w:val="auto"/>
              </w:rPr>
              <w:t>shares if the underwriters exercise in full</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3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3440" w:type="dxa"/>
            <w:vAlign w:val="bottom"/>
            <w:gridSpan w:val="3"/>
          </w:tcPr>
          <w:p>
            <w:pPr>
              <w:ind w:left="900"/>
              <w:spacing w:after="0"/>
              <w:rPr>
                <w:sz w:val="20"/>
                <w:szCs w:val="20"/>
                <w:color w:val="auto"/>
              </w:rPr>
            </w:pPr>
            <w:r>
              <w:rPr>
                <w:rFonts w:ascii="Arial" w:cs="Arial" w:eastAsia="Arial" w:hAnsi="Arial"/>
                <w:sz w:val="18"/>
                <w:szCs w:val="18"/>
                <w:color w:val="auto"/>
              </w:rPr>
              <w:t>their option to purchase up to</w:t>
            </w:r>
          </w:p>
        </w:tc>
        <w:tc>
          <w:tcPr>
            <w:tcW w:w="1560" w:type="dxa"/>
            <w:vAlign w:val="bottom"/>
          </w:tcPr>
          <w:p>
            <w:pPr>
              <w:ind w:left="200"/>
              <w:spacing w:after="0"/>
              <w:rPr>
                <w:sz w:val="20"/>
                <w:szCs w:val="20"/>
                <w:color w:val="auto"/>
              </w:rPr>
            </w:pPr>
            <w:r>
              <w:rPr>
                <w:rFonts w:ascii="Arial" w:cs="Arial" w:eastAsia="Arial" w:hAnsi="Arial"/>
                <w:sz w:val="18"/>
                <w:szCs w:val="18"/>
                <w:color w:val="auto"/>
                <w:w w:val="91"/>
              </w:rPr>
              <w:t>additional shares).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0"/>
                <w:szCs w:val="20"/>
                <w:color w:val="auto"/>
              </w:rPr>
            </w:pPr>
            <w:r>
              <w:rPr>
                <w:rFonts w:ascii="Arial" w:cs="Arial" w:eastAsia="Arial" w:hAnsi="Arial"/>
                <w:sz w:val="18"/>
                <w:szCs w:val="18"/>
                <w:color w:val="auto"/>
              </w:rPr>
              <w:t>Option to purchase additional shares offered by us</w:t>
            </w: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1"/>
              </w:rPr>
              <w:t>We have granted the underwriters an option for a period of 30 days to</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2000" w:type="dxa"/>
            <w:vAlign w:val="bottom"/>
          </w:tcPr>
          <w:p>
            <w:pPr>
              <w:ind w:left="900"/>
              <w:spacing w:after="0"/>
              <w:rPr>
                <w:sz w:val="20"/>
                <w:szCs w:val="20"/>
                <w:color w:val="auto"/>
              </w:rPr>
            </w:pPr>
            <w:r>
              <w:rPr>
                <w:rFonts w:ascii="Arial" w:cs="Arial" w:eastAsia="Arial" w:hAnsi="Arial"/>
                <w:sz w:val="18"/>
                <w:szCs w:val="18"/>
                <w:color w:val="auto"/>
                <w:w w:val="90"/>
              </w:rPr>
              <w:t>purchase up to</w:t>
            </w:r>
          </w:p>
        </w:tc>
        <w:tc>
          <w:tcPr>
            <w:tcW w:w="420" w:type="dxa"/>
            <w:vAlign w:val="bottom"/>
          </w:tcPr>
          <w:p>
            <w:pPr>
              <w:spacing w:after="0"/>
              <w:rPr>
                <w:sz w:val="20"/>
                <w:szCs w:val="20"/>
                <w:color w:val="auto"/>
              </w:rPr>
            </w:pPr>
          </w:p>
        </w:tc>
        <w:tc>
          <w:tcPr>
            <w:tcW w:w="3580" w:type="dxa"/>
            <w:vAlign w:val="bottom"/>
            <w:gridSpan w:val="3"/>
          </w:tcPr>
          <w:p>
            <w:pPr>
              <w:jc w:val="right"/>
              <w:ind w:right="770"/>
              <w:spacing w:after="0"/>
              <w:rPr>
                <w:sz w:val="20"/>
                <w:szCs w:val="20"/>
                <w:color w:val="auto"/>
              </w:rPr>
            </w:pPr>
            <w:r>
              <w:rPr>
                <w:rFonts w:ascii="Arial" w:cs="Arial" w:eastAsia="Arial" w:hAnsi="Arial"/>
                <w:sz w:val="18"/>
                <w:szCs w:val="18"/>
                <w:color w:val="auto"/>
                <w:w w:val="95"/>
              </w:rPr>
              <w:t>additional shares of common stock.</w:t>
            </w: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0"/>
                <w:szCs w:val="20"/>
                <w:color w:val="auto"/>
              </w:rPr>
            </w:pPr>
            <w:r>
              <w:rPr>
                <w:rFonts w:ascii="Arial" w:cs="Arial" w:eastAsia="Arial" w:hAnsi="Arial"/>
                <w:sz w:val="18"/>
                <w:szCs w:val="18"/>
                <w:color w:val="auto"/>
              </w:rPr>
              <w:t>Use of proceeds</w:t>
            </w: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8"/>
              </w:rPr>
              <w:t>We  estimate  that  the  net  proceeds  from  this  offering  will  be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420" w:type="dxa"/>
            <w:vAlign w:val="bottom"/>
            <w:gridSpan w:val="2"/>
          </w:tcPr>
          <w:p>
            <w:pPr>
              <w:ind w:left="900"/>
              <w:spacing w:after="0"/>
              <w:rPr>
                <w:sz w:val="20"/>
                <w:szCs w:val="20"/>
                <w:color w:val="auto"/>
              </w:rPr>
            </w:pPr>
            <w:r>
              <w:rPr>
                <w:rFonts w:ascii="Arial" w:cs="Arial" w:eastAsia="Arial" w:hAnsi="Arial"/>
                <w:sz w:val="18"/>
                <w:szCs w:val="18"/>
                <w:color w:val="auto"/>
              </w:rPr>
              <w:t>approximately $</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million, or approximately $</w:t>
            </w:r>
          </w:p>
        </w:tc>
        <w:tc>
          <w:tcPr>
            <w:tcW w:w="1000" w:type="dxa"/>
            <w:vAlign w:val="bottom"/>
          </w:tcPr>
          <w:p>
            <w:pPr>
              <w:jc w:val="right"/>
              <w:spacing w:after="0"/>
              <w:rPr>
                <w:sz w:val="20"/>
                <w:szCs w:val="20"/>
                <w:color w:val="auto"/>
              </w:rPr>
            </w:pPr>
            <w:r>
              <w:rPr>
                <w:rFonts w:ascii="Arial" w:cs="Arial" w:eastAsia="Arial" w:hAnsi="Arial"/>
                <w:sz w:val="18"/>
                <w:szCs w:val="18"/>
                <w:color w:val="auto"/>
              </w:rPr>
              <w:t>million if the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rPr>
              <w:t>underwriters exercise in full their option to purchase up to</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1"/>
              </w:rPr>
              <w:t>additional shares of common stock, assuming an initial public offering</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000" w:type="dxa"/>
            <w:vAlign w:val="bottom"/>
          </w:tcPr>
          <w:p>
            <w:pPr>
              <w:ind w:left="900"/>
              <w:spacing w:after="0"/>
              <w:rPr>
                <w:sz w:val="20"/>
                <w:szCs w:val="20"/>
                <w:color w:val="auto"/>
              </w:rPr>
            </w:pPr>
            <w:r>
              <w:rPr>
                <w:rFonts w:ascii="Arial" w:cs="Arial" w:eastAsia="Arial" w:hAnsi="Arial"/>
                <w:sz w:val="18"/>
                <w:szCs w:val="18"/>
                <w:color w:val="auto"/>
              </w:rPr>
              <w:t>price of $</w:t>
            </w:r>
          </w:p>
        </w:tc>
        <w:tc>
          <w:tcPr>
            <w:tcW w:w="4000" w:type="dxa"/>
            <w:vAlign w:val="bottom"/>
            <w:gridSpan w:val="4"/>
          </w:tcPr>
          <w:p>
            <w:pPr>
              <w:jc w:val="right"/>
              <w:spacing w:after="0"/>
              <w:rPr>
                <w:sz w:val="20"/>
                <w:szCs w:val="20"/>
                <w:color w:val="auto"/>
              </w:rPr>
            </w:pPr>
            <w:r>
              <w:rPr>
                <w:rFonts w:ascii="Arial" w:cs="Arial" w:eastAsia="Arial" w:hAnsi="Arial"/>
                <w:sz w:val="18"/>
                <w:szCs w:val="18"/>
                <w:color w:val="auto"/>
                <w:w w:val="92"/>
              </w:rPr>
              <w:t>per share, which is the midpoint of the estimated price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4"/>
              </w:rPr>
              <w:t>range set forth on the cover page of this prospectus, after deducting</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6"/>
              </w:rPr>
              <w:t>estimated underwriting discounts and commissions and estimated</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3440" w:type="dxa"/>
            <w:vAlign w:val="bottom"/>
            <w:gridSpan w:val="3"/>
          </w:tcPr>
          <w:p>
            <w:pPr>
              <w:ind w:left="900"/>
              <w:spacing w:after="0"/>
              <w:rPr>
                <w:sz w:val="20"/>
                <w:szCs w:val="20"/>
                <w:color w:val="auto"/>
              </w:rPr>
            </w:pPr>
            <w:r>
              <w:rPr>
                <w:rFonts w:ascii="Arial" w:cs="Arial" w:eastAsia="Arial" w:hAnsi="Arial"/>
                <w:sz w:val="18"/>
                <w:szCs w:val="18"/>
                <w:color w:val="auto"/>
                <w:w w:val="95"/>
              </w:rPr>
              <w:t>offering expenses payable by us.</w:t>
            </w: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640" w:type="dxa"/>
            <w:vAlign w:val="bottom"/>
          </w:tcPr>
          <w:p>
            <w:pPr>
              <w:spacing w:after="0"/>
              <w:rPr>
                <w:sz w:val="24"/>
                <w:szCs w:val="24"/>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1"/>
              </w:rPr>
              <w:t>We intend to use the net proceeds from this offering, together with our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8"/>
              </w:rPr>
              <w:t>existing cash and cash equivalents, to fund clinical development,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3"/>
              </w:rPr>
              <w:t>manufacturing supply and initial commercialization costs for ADG20,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7"/>
              </w:rPr>
              <w:t>and the remainder for working capital and other general corporate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5"/>
              </w:rPr>
              <w:t>purposes,  including  development  of  additional  programs  in  our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rPr>
              <w:t>pipeline. See the section titled “Use of Proceeds” for additional</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2000" w:type="dxa"/>
            <w:vAlign w:val="bottom"/>
          </w:tcPr>
          <w:p>
            <w:pPr>
              <w:ind w:left="900"/>
              <w:spacing w:after="0"/>
              <w:rPr>
                <w:sz w:val="20"/>
                <w:szCs w:val="20"/>
                <w:color w:val="auto"/>
              </w:rPr>
            </w:pPr>
            <w:r>
              <w:rPr>
                <w:rFonts w:ascii="Arial" w:cs="Arial" w:eastAsia="Arial" w:hAnsi="Arial"/>
                <w:sz w:val="18"/>
                <w:szCs w:val="18"/>
                <w:color w:val="auto"/>
              </w:rPr>
              <w:t>information.</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640" w:type="dxa"/>
            <w:vAlign w:val="bottom"/>
          </w:tcPr>
          <w:p>
            <w:pPr>
              <w:spacing w:after="0"/>
              <w:rPr>
                <w:sz w:val="20"/>
                <w:szCs w:val="20"/>
                <w:color w:val="auto"/>
              </w:rPr>
            </w:pPr>
            <w:r>
              <w:rPr>
                <w:rFonts w:ascii="Arial" w:cs="Arial" w:eastAsia="Arial" w:hAnsi="Arial"/>
                <w:sz w:val="18"/>
                <w:szCs w:val="18"/>
                <w:color w:val="auto"/>
              </w:rPr>
              <w:t>Risk factors</w:t>
            </w: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5"/>
              </w:rPr>
              <w:t>You should read the section titled “Risk Factors” for a discussion of</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rPr>
              <w:t>factors you should consider carefully, together with all the other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5"/>
              </w:rPr>
              <w:t>information included in this prospectus, before deciding to invest in</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2420" w:type="dxa"/>
            <w:vAlign w:val="bottom"/>
            <w:gridSpan w:val="2"/>
          </w:tcPr>
          <w:p>
            <w:pPr>
              <w:ind w:left="900"/>
              <w:spacing w:after="0"/>
              <w:rPr>
                <w:sz w:val="20"/>
                <w:szCs w:val="20"/>
                <w:color w:val="auto"/>
              </w:rPr>
            </w:pPr>
            <w:r>
              <w:rPr>
                <w:rFonts w:ascii="Arial" w:cs="Arial" w:eastAsia="Arial" w:hAnsi="Arial"/>
                <w:sz w:val="18"/>
                <w:szCs w:val="18"/>
                <w:color w:val="auto"/>
                <w:w w:val="98"/>
              </w:rPr>
              <w:t>our common stock.</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2000" w:type="dxa"/>
            <w:vAlign w:val="bottom"/>
          </w:tcPr>
          <w:p>
            <w:pPr>
              <w:ind w:left="900"/>
              <w:spacing w:after="0"/>
              <w:rPr>
                <w:sz w:val="20"/>
                <w:szCs w:val="20"/>
                <w:color w:val="auto"/>
              </w:rPr>
            </w:pPr>
            <w:r>
              <w:rPr>
                <w:rFonts w:ascii="Arial" w:cs="Arial" w:eastAsia="Arial" w:hAnsi="Arial"/>
                <w:sz w:val="18"/>
                <w:szCs w:val="18"/>
                <w:color w:val="auto"/>
              </w:rPr>
              <w:t>“ADGI”</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The number of shares of our common stock to be outstanding after this offering is based on 18,063,132 shares of our common stock outstanding as of March 31, 2021, assuming the automatic conversion of all outstanding shares of our preferred stock, including 4,296,550 shares of Series C preferred stock issued in April 2021, into an aggregate of 16,944,484 shares of common stock upon the closing of this offering, and excludes:</w:t>
      </w:r>
    </w:p>
    <w:p>
      <w:pPr>
        <w:spacing w:after="0" w:line="92" w:lineRule="exact"/>
        <w:rPr>
          <w:sz w:val="20"/>
          <w:szCs w:val="20"/>
          <w:color w:val="auto"/>
        </w:rPr>
      </w:pPr>
    </w:p>
    <w:p>
      <w:pPr>
        <w:jc w:val="both"/>
        <w:ind w:left="1240" w:hanging="523"/>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1,073,214 shares of our common stock issuable upon the exercise of options outstanding as of March 31, 2021 under our 2020 Equity Incentive Plan, or the 2020 Plan, at a weighted-average exercise price of $12.45 per share (which does not include options to purchase an aggregate of 1,508,098 shares of our common stock, at a weighted-average exercise price of $49.27 per share, that were granted subsequent to March 31, 2021);</w:t>
      </w:r>
    </w:p>
    <w:p>
      <w:pPr>
        <w:spacing w:after="0" w:line="92"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2,372,199 shares of our common stock available for future issuance as of March 31, 2021 under the 2020 Plan, which such shares will cease to be available for issuance under the 2020 Plan at the time our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32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34328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2021 Equity Incentive Plan, or the 2021 Plan, becomes effective and will be added to, and become available for issuance under, the</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2021 Plan;</w:t>
      </w:r>
    </w:p>
    <w:p>
      <w:pPr>
        <w:spacing w:after="0" w:line="116" w:lineRule="exact"/>
        <w:rPr>
          <w:sz w:val="20"/>
          <w:szCs w:val="20"/>
          <w:color w:val="auto"/>
        </w:rPr>
      </w:pPr>
    </w:p>
    <w:p>
      <w:pPr>
        <w:jc w:val="both"/>
        <w:ind w:left="1240" w:right="20" w:hanging="523"/>
        <w:spacing w:after="0" w:line="286" w:lineRule="auto"/>
        <w:tabs>
          <w:tab w:leader="none" w:pos="18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of our common stock that will become available for future issuance under the 2021 Plan, which will become effective one day prior to the effectiveness of the registration statement of which this prospectus forms a part, as well as any automatic increases in the number of shares of common stock reserved for future issuance under the 2021 Plan; and</w:t>
      </w:r>
    </w:p>
    <w:p>
      <w:pPr>
        <w:spacing w:after="0" w:line="70" w:lineRule="exact"/>
        <w:rPr>
          <w:rFonts w:ascii="Arial" w:cs="Arial" w:eastAsia="Arial" w:hAnsi="Arial"/>
          <w:sz w:val="17"/>
          <w:szCs w:val="17"/>
          <w:color w:val="auto"/>
        </w:rPr>
      </w:pPr>
    </w:p>
    <w:p>
      <w:pPr>
        <w:jc w:val="both"/>
        <w:ind w:left="1240" w:right="20" w:hanging="523"/>
        <w:spacing w:after="0" w:line="259" w:lineRule="auto"/>
        <w:tabs>
          <w:tab w:leader="none" w:pos="18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2021 Employee Stock Purchase Plan, or the 2021 ESPP, which will become effective one day prior to the effectiveness of the registration statement of which this prospectus forms a part, as well as any automatic increases in the number of shares of common stock reserved for future issuance under the 2021 ESPP.</w:t>
      </w:r>
    </w:p>
    <w:p>
      <w:pPr>
        <w:spacing w:after="0" w:line="18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common stock that will be outstanding after this offering, assumes or gives effect to:</w:t>
      </w:r>
    </w:p>
    <w:p>
      <w:pPr>
        <w:spacing w:after="0" w:line="76" w:lineRule="exact"/>
        <w:rPr>
          <w:sz w:val="20"/>
          <w:szCs w:val="20"/>
          <w:color w:val="auto"/>
        </w:rPr>
      </w:pPr>
    </w:p>
    <w:p>
      <w:pPr>
        <w:ind w:left="1240" w:right="20" w:hanging="523"/>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16,944,484 shares of our common stock, which will occur upon the closing of this offering;</w:t>
      </w:r>
    </w:p>
    <w:p>
      <w:pPr>
        <w:spacing w:after="0" w:line="76" w:lineRule="exact"/>
        <w:rPr>
          <w:sz w:val="20"/>
          <w:szCs w:val="20"/>
          <w:color w:val="auto"/>
        </w:rPr>
      </w:pPr>
    </w:p>
    <w:p>
      <w:pPr>
        <w:ind w:left="720"/>
        <w:spacing w:after="0"/>
        <w:tabs>
          <w:tab w:leader="none" w:pos="1220" w:val="left"/>
          <w:tab w:leader="none" w:pos="1880" w:val="left"/>
          <w:tab w:leader="none" w:pos="2740" w:val="left"/>
          <w:tab w:leader="none" w:pos="6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split of our common stock effected on</w:t>
      </w:r>
      <w:r>
        <w:rPr>
          <w:sz w:val="20"/>
          <w:szCs w:val="20"/>
          <w:color w:val="auto"/>
        </w:rPr>
        <w:tab/>
      </w:r>
      <w:r>
        <w:rPr>
          <w:rFonts w:ascii="Arial" w:cs="Arial" w:eastAsia="Arial" w:hAnsi="Arial"/>
          <w:sz w:val="16"/>
          <w:szCs w:val="16"/>
          <w:color w:val="auto"/>
        </w:rPr>
        <w:t>, 2021;</w:t>
      </w:r>
    </w:p>
    <w:p>
      <w:pPr>
        <w:spacing w:after="0" w:line="131" w:lineRule="exact"/>
        <w:rPr>
          <w:sz w:val="20"/>
          <w:szCs w:val="20"/>
          <w:color w:val="auto"/>
        </w:rPr>
      </w:pPr>
    </w:p>
    <w:p>
      <w:pPr>
        <w:ind w:left="1240" w:hanging="523"/>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immediately prior to the completion of this offering;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 after March 31, 2021;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jc w:val="both"/>
        <w:ind w:left="300" w:firstLine="426"/>
        <w:spacing w:after="0" w:line="270" w:lineRule="auto"/>
        <w:rPr>
          <w:sz w:val="20"/>
          <w:szCs w:val="20"/>
          <w:color w:val="auto"/>
        </w:rPr>
      </w:pPr>
      <w:r>
        <w:rPr>
          <w:rFonts w:ascii="Arial" w:cs="Arial" w:eastAsia="Arial" w:hAnsi="Arial"/>
          <w:sz w:val="17"/>
          <w:szCs w:val="17"/>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period from June 3, 2020 (inception) to December 31, 2020 from our audited consolidated financial statements appearing at the end of this prospectus. The consolidated statement of operations data for the three months ended March 31, 2021 and the consolidated balance sheet data as of March 31, 2021 have been derived from our unaudited consolidated financial statements appearing at the end of this prospectus and have been prepared on the same basis as the audited consolidated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the results that may be expected in any future period.</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December 31, 2020</w:t>
            </w:r>
          </w:p>
        </w:tc>
        <w:tc>
          <w:tcPr>
            <w:tcW w:w="3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231"/>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34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40,125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tcPr>
          <w:p>
            <w:pPr>
              <w:ind w:left="70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(65,327)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23"/>
        </w:trPr>
        <w:tc>
          <w:tcPr>
            <w:tcW w:w="72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tcPr>
          <w:p>
            <w:pPr>
              <w:ind w:left="700"/>
              <w:spacing w:after="0"/>
              <w:rPr>
                <w:sz w:val="20"/>
                <w:szCs w:val="20"/>
                <w:color w:val="auto"/>
              </w:rPr>
            </w:pPr>
            <w:r>
              <w:rPr>
                <w:rFonts w:ascii="Arial" w:cs="Arial" w:eastAsia="Arial" w:hAnsi="Arial"/>
                <w:sz w:val="18"/>
                <w:szCs w:val="18"/>
                <w:color w:val="auto"/>
              </w:rPr>
              <w:t>Total other income</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(65,319)</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(3)</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r>
              <w:rPr>
                <w:rFonts w:ascii="Arial" w:cs="Arial" w:eastAsia="Arial" w:hAnsi="Arial"/>
                <w:sz w:val="15"/>
                <w:szCs w:val="15"/>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color w:val="auto"/>
                <w:w w:val="94"/>
              </w:rPr>
              <w:t>Pro forma net loss per share attributable to common stockholders, basic and diluted (unaudited)</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gridSpan w:val="3"/>
            <w:vMerge w:val="continue"/>
          </w:tcPr>
          <w:p>
            <w:pPr>
              <w:spacing w:after="0"/>
              <w:rPr>
                <w:sz w:val="17"/>
                <w:szCs w:val="17"/>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(6.26)</w:t>
            </w:r>
          </w:p>
        </w:tc>
        <w:tc>
          <w:tcPr>
            <w:tcW w:w="54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75"/>
        </w:trPr>
        <w:tc>
          <w:tcPr>
            <w:tcW w:w="1160" w:type="dxa"/>
            <w:vAlign w:val="bottom"/>
            <w:gridSpan w:val="2"/>
          </w:tcPr>
          <w:p>
            <w:pPr>
              <w:ind w:left="180"/>
              <w:spacing w:after="0"/>
              <w:rPr>
                <w:sz w:val="20"/>
                <w:szCs w:val="20"/>
                <w:color w:val="auto"/>
              </w:rPr>
            </w:pPr>
            <w:r>
              <w:rPr>
                <w:rFonts w:ascii="Arial" w:cs="Arial" w:eastAsia="Arial" w:hAnsi="Arial"/>
                <w:sz w:val="15"/>
                <w:szCs w:val="15"/>
                <w:color w:val="auto"/>
              </w:rPr>
              <w:t>(3)</w:t>
            </w:r>
          </w:p>
        </w:tc>
        <w:tc>
          <w:tcPr>
            <w:tcW w:w="6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Pro forma weighted-average common shares outstanding, basic and diluted</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(3)</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20" w:hanging="422"/>
        <w:spacing w:after="0" w:line="274"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related-party amounts of $0.6 million for the period from June 3, 2020 (inception) to December 31, 2020 and $0.2 million for the three months ended March 31, 2021. See Note 6 to our consolidated financial statements appearing at the end of this prospectus.</w:t>
      </w:r>
    </w:p>
    <w:p>
      <w:pPr>
        <w:ind w:left="720" w:hanging="422"/>
        <w:spacing w:after="0" w:line="265"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related-party amounts of $39.9 million for the period from June 3, 2020 (inception) to December 31, 2020 and $1.0 million for the three months ended March 31, 2021. See Note 6 to our consolidated financial statements appearing at the end of this prospectus.</w:t>
      </w:r>
    </w:p>
    <w:p>
      <w:pPr>
        <w:jc w:val="both"/>
        <w:ind w:left="720" w:hanging="422"/>
        <w:spacing w:after="0" w:line="302"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Note 13 to our consolidated financial statements appearing at the end of this prospectus for details on the calculation of basic and diluted net loss per share attributable to common stockholders and the “Selected Consolidated Financial Data” section of this prospectus for details on the calculation of unaudited basic and diluted pro forma net loss per share attributable to common stockholders.</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30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42303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 2021</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Actual</w:t>
            </w:r>
          </w:p>
        </w:tc>
        <w:tc>
          <w:tcPr>
            <w:tcW w:w="15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(2)</w:t>
            </w:r>
          </w:p>
        </w:tc>
        <w:tc>
          <w:tcPr>
            <w:tcW w:w="96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2"/>
          </w:tcPr>
          <w:p>
            <w:pPr>
              <w:jc w:val="right"/>
              <w:ind w:right="108"/>
              <w:spacing w:after="0"/>
              <w:rPr>
                <w:sz w:val="20"/>
                <w:szCs w:val="20"/>
                <w:color w:val="auto"/>
              </w:rPr>
            </w:pPr>
            <w:r>
              <w:rPr>
                <w:rFonts w:ascii="Arial" w:cs="Arial" w:eastAsia="Arial" w:hAnsi="Arial"/>
                <w:sz w:val="18"/>
                <w:szCs w:val="18"/>
                <w:color w:val="auto"/>
              </w:rPr>
              <w:t>$  91,247</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  426,746</w:t>
            </w:r>
          </w:p>
        </w:tc>
        <w:tc>
          <w:tcPr>
            <w:tcW w:w="96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2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66,197</w:t>
            </w:r>
          </w:p>
        </w:tc>
        <w:tc>
          <w:tcPr>
            <w:tcW w:w="15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401,696</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assets</w:t>
            </w:r>
          </w:p>
        </w:tc>
        <w:tc>
          <w:tcPr>
            <w:tcW w:w="3200" w:type="dxa"/>
            <w:vAlign w:val="bottom"/>
            <w:gridSpan w:val="2"/>
          </w:tcPr>
          <w:p>
            <w:pPr>
              <w:jc w:val="right"/>
              <w:ind w:right="108"/>
              <w:spacing w:after="0"/>
              <w:rPr>
                <w:sz w:val="20"/>
                <w:szCs w:val="20"/>
                <w:color w:val="auto"/>
              </w:rPr>
            </w:pPr>
            <w:r>
              <w:rPr>
                <w:rFonts w:ascii="Arial" w:cs="Arial" w:eastAsia="Arial" w:hAnsi="Arial"/>
                <w:sz w:val="18"/>
                <w:szCs w:val="18"/>
                <w:color w:val="auto"/>
              </w:rPr>
              <w:t>94,874</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430,373</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2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169,548</w:t>
            </w:r>
          </w:p>
        </w:tc>
        <w:tc>
          <w:tcPr>
            <w:tcW w:w="15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3200" w:type="dxa"/>
            <w:vAlign w:val="bottom"/>
            <w:gridSpan w:val="2"/>
          </w:tcPr>
          <w:p>
            <w:pPr>
              <w:jc w:val="right"/>
              <w:ind w:right="48"/>
              <w:spacing w:after="0"/>
              <w:rPr>
                <w:sz w:val="20"/>
                <w:szCs w:val="20"/>
                <w:color w:val="auto"/>
              </w:rPr>
            </w:pPr>
            <w:r>
              <w:rPr>
                <w:rFonts w:ascii="Arial" w:cs="Arial" w:eastAsia="Arial" w:hAnsi="Arial"/>
                <w:sz w:val="18"/>
                <w:szCs w:val="18"/>
                <w:color w:val="auto"/>
              </w:rPr>
              <w:t>(103,362)</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401,685</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hanging="42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 w:lineRule="exact"/>
        <w:rPr>
          <w:rFonts w:ascii="Arial" w:cs="Arial" w:eastAsia="Arial" w:hAnsi="Arial"/>
          <w:sz w:val="18"/>
          <w:szCs w:val="18"/>
          <w:color w:val="auto"/>
        </w:rPr>
      </w:pPr>
    </w:p>
    <w:p>
      <w:pPr>
        <w:ind w:left="720" w:hanging="422"/>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 forma consolidated balance sheet data give effect to (i) our issuance and sale in April 2021 of 4,296,550 shares of our Series C</w:t>
      </w:r>
    </w:p>
    <w:p>
      <w:pPr>
        <w:spacing w:after="0" w:line="21" w:lineRule="exact"/>
        <w:rPr>
          <w:sz w:val="20"/>
          <w:szCs w:val="20"/>
          <w:color w:val="auto"/>
        </w:rPr>
      </w:pPr>
    </w:p>
    <w:p>
      <w:pPr>
        <w:jc w:val="both"/>
        <w:ind w:left="720"/>
        <w:spacing w:after="0" w:line="265" w:lineRule="auto"/>
        <w:rPr>
          <w:sz w:val="20"/>
          <w:szCs w:val="20"/>
          <w:color w:val="auto"/>
        </w:rPr>
      </w:pPr>
      <w:r>
        <w:rPr>
          <w:rFonts w:ascii="Arial" w:cs="Arial" w:eastAsia="Arial" w:hAnsi="Arial"/>
          <w:sz w:val="17"/>
          <w:szCs w:val="17"/>
          <w:color w:val="auto"/>
        </w:rPr>
        <w:t>preferred stock for gross proceeds of $335.5 million and (ii) the automatic conversion of all outstanding shares of our preferred stock, including our Series C preferred stock, into an aggregate of 16,944,484 shares of common stock upon the closing of this offering.</w:t>
      </w:r>
    </w:p>
    <w:p>
      <w:pPr>
        <w:ind w:left="300"/>
        <w:spacing w:after="0"/>
        <w:tabs>
          <w:tab w:leader="none" w:pos="700" w:val="left"/>
          <w:tab w:leader="none" w:pos="8860" w:val="left"/>
        </w:tabs>
        <w:rPr>
          <w:sz w:val="20"/>
          <w:szCs w:val="20"/>
          <w:color w:val="auto"/>
        </w:rPr>
      </w:pPr>
      <w:r>
        <w:rPr>
          <w:rFonts w:ascii="Arial" w:cs="Arial" w:eastAsia="Arial" w:hAnsi="Arial"/>
          <w:sz w:val="18"/>
          <w:szCs w:val="18"/>
          <w:color w:val="auto"/>
        </w:rPr>
        <w:t>(3)</w:t>
        <w:tab/>
        <w:t>The pro forma as adjusted consolidated balance sheet data give further effect to our issuance and sale of</w:t>
      </w:r>
      <w:r>
        <w:rPr>
          <w:sz w:val="20"/>
          <w:szCs w:val="20"/>
          <w:color w:val="auto"/>
        </w:rPr>
        <w:tab/>
      </w:r>
      <w:r>
        <w:rPr>
          <w:rFonts w:ascii="Arial" w:cs="Arial" w:eastAsia="Arial" w:hAnsi="Arial"/>
          <w:sz w:val="16"/>
          <w:szCs w:val="16"/>
          <w:color w:val="auto"/>
        </w:rPr>
        <w:t>shares of our common stock</w:t>
      </w:r>
    </w:p>
    <w:p>
      <w:pPr>
        <w:spacing w:after="0" w:line="9" w:lineRule="exact"/>
        <w:rPr>
          <w:sz w:val="20"/>
          <w:szCs w:val="20"/>
          <w:color w:val="auto"/>
        </w:rPr>
      </w:pPr>
    </w:p>
    <w:p>
      <w:pPr>
        <w:jc w:val="both"/>
        <w:ind w:left="720"/>
        <w:spacing w:after="0" w:line="255" w:lineRule="auto"/>
        <w:rPr>
          <w:sz w:val="20"/>
          <w:szCs w:val="20"/>
          <w:color w:val="auto"/>
        </w:rPr>
      </w:pPr>
      <w:r>
        <w:rPr>
          <w:rFonts w:ascii="Arial" w:cs="Arial" w:eastAsia="Arial" w:hAnsi="Arial"/>
          <w:sz w:val="18"/>
          <w:szCs w:val="18"/>
          <w:color w:val="auto"/>
        </w:rPr>
        <w:t>in this offering at an assumed initial public offering price of $ per share, which is the midpoint of the estimated price range set forth on the cover page of this prospectus, after deducting estimated underwriting discounts and commissions and estimated offering expenses payable by us.</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pro forma as adjusted information discussed above is illustrative only and will change based on the actual initial public offering price and</w:t>
      </w:r>
    </w:p>
    <w:p>
      <w:pPr>
        <w:spacing w:after="0" w:line="46" w:lineRule="exact"/>
        <w:rPr>
          <w:sz w:val="20"/>
          <w:szCs w:val="20"/>
          <w:color w:val="auto"/>
        </w:rPr>
      </w:pPr>
    </w:p>
    <w:p>
      <w:pPr>
        <w:jc w:val="both"/>
        <w:ind w:left="720"/>
        <w:spacing w:after="0" w:line="281" w:lineRule="auto"/>
        <w:rPr>
          <w:sz w:val="20"/>
          <w:szCs w:val="20"/>
          <w:color w:val="auto"/>
        </w:rPr>
      </w:pPr>
      <w:r>
        <w:rPr>
          <w:rFonts w:ascii="Arial" w:cs="Arial" w:eastAsia="Arial" w:hAnsi="Arial"/>
          <w:sz w:val="16"/>
          <w:szCs w:val="16"/>
          <w:color w:val="auto"/>
        </w:rPr>
        <w:t>other terms of this offering determined at pricing. Each $1.00 increase (decrease) in the assumed initial public offering price of $ per share, which is the midpoint of the estimated price range set forth on the cover page of this prospectus, would increase (decrease) the pro</w:t>
      </w:r>
    </w:p>
    <w:p>
      <w:pPr>
        <w:spacing w:after="0" w:line="1" w:lineRule="exact"/>
        <w:rPr>
          <w:sz w:val="20"/>
          <w:szCs w:val="20"/>
          <w:color w:val="auto"/>
        </w:rPr>
      </w:pPr>
    </w:p>
    <w:p>
      <w:pPr>
        <w:jc w:val="both"/>
        <w:ind w:left="720"/>
        <w:spacing w:after="0" w:line="281" w:lineRule="auto"/>
        <w:rPr>
          <w:sz w:val="20"/>
          <w:szCs w:val="20"/>
          <w:color w:val="auto"/>
        </w:rPr>
      </w:pPr>
      <w:r>
        <w:rPr>
          <w:rFonts w:ascii="Arial" w:cs="Arial" w:eastAsia="Arial" w:hAnsi="Arial"/>
          <w:sz w:val="16"/>
          <w:szCs w:val="16"/>
          <w:color w:val="auto"/>
        </w:rPr>
        <w:t>forma as adjusted amount of each of cash and cash equivalents, working capital, total 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w:t>
      </w:r>
    </w:p>
    <w:p>
      <w:pPr>
        <w:spacing w:after="0" w:line="2" w:lineRule="exact"/>
        <w:rPr>
          <w:sz w:val="20"/>
          <w:szCs w:val="20"/>
          <w:color w:val="auto"/>
        </w:rPr>
      </w:pPr>
    </w:p>
    <w:p>
      <w:pPr>
        <w:jc w:val="both"/>
        <w:ind w:left="720"/>
        <w:spacing w:after="0" w:line="255" w:lineRule="auto"/>
        <w:rPr>
          <w:sz w:val="20"/>
          <w:szCs w:val="20"/>
          <w:color w:val="auto"/>
        </w:rPr>
      </w:pPr>
      <w:r>
        <w:rPr>
          <w:rFonts w:ascii="Arial" w:cs="Arial" w:eastAsia="Arial" w:hAnsi="Arial"/>
          <w:sz w:val="18"/>
          <w:szCs w:val="18"/>
          <w:color w:val="auto"/>
        </w:rPr>
        <w:t>adjusted amount of each of cash and cash equivalents, working capital, total assets and total stockholders’ equity by $ million, assuming no change in the assumed initial public offering price per share and after deducting estimated underwriting discounts and commissions and estimated offering expenses payable by us.</w:t>
      </w:r>
    </w:p>
    <w:p>
      <w:pPr>
        <w:spacing w:after="0" w:line="3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The risks and uncertainties described below are not the only ones we face. Additional risks and uncertainties that we are unaware of, or that we currently believe are not material, may also become important factors that affect us.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Since our inception, we have incurred significant losses, and we expect to continue to incur significant expenses and operating losses for the foreseeable future. Our net losses were $65.3 million for the period from June 3, 2020 (inception) to December 31, 2020 and $38.7 million for the three months ended March 31, 2021. As of March 31, 2021, we had an accumulated deficit of $104.0 million. Since our inception, we have financed our operations with gross proceeds of $465.4 million raised in our private placements of preferred stock, including the sale of our Series C preferred stock in April 2021. We have no products approved for commercialization and have never generated any revenue from product sales.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All of our product candidates are still in clinical and preclinical testing.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9" w:lineRule="exact"/>
        <w:rPr>
          <w:sz w:val="20"/>
          <w:szCs w:val="20"/>
          <w:color w:val="auto"/>
        </w:rPr>
      </w:pPr>
    </w:p>
    <w:p>
      <w:pPr>
        <w:ind w:left="1080" w:hanging="532"/>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marketing approvals or Emergency Use Authorization, or EUA, and reimbursement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material under current good manufacturing practices, or cGMP, for clinical trials and potential commercial sales at our contracted manufacturing facilities;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validating manufacturing processes, obtaining regulatory approval or EUA, and manufacturing, marketing and selling any product candidates for which we may obtain regulatory approval or EUA, as well as discovering and developing additional product candidates. All of our product candidates are in clinical or preclinical development. We may never succeed in these activities and, even if we do, may never generate any revenue or revenue that is significant enough to achieve profitability.</w:t>
      </w:r>
    </w:p>
    <w:p>
      <w:pPr>
        <w:spacing w:after="0" w:line="16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95"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We are a clinical-stage biopharmaceutical company with a limited operating history. We commenced operations in June 2020, and our operations to date have been largely focused on organizing and staffing our company, business planning, raising capital, acquiring our technology and product candidates, developing our manufacturing capabilities and developing our clinical and preclinical product candidates, including undertaking preclinical studies and conducting clinical trials. To date, we have not yet demonstrated our ability to successfully complete pivotal clinical trials, obtain regulatory approvals or EUA, manufacture a product on a commercial scale, or conduct sales and marketing activities necessary for successful commercialization, and we may not be successful in doing so. Consequently, any predictions you make about our future success or viability may not be as accurate as they could be if we had a longer operating history or a history of successfully developing and commercializing products.</w:t>
      </w:r>
    </w:p>
    <w:p>
      <w:pPr>
        <w:spacing w:after="0" w:line="166"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273"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operations have consumed substantial amounts of cash since inception, and we expect to continue to incur significant expenses and operating losses over the next several years as we continue to develop our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candidate pipeline and build out our manufacturing capabilities for our product candidates, which, if approved, may not achieve commercial success. Our revenue, if any, will be derived from sales of products that may not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p>
    <w:p>
      <w:pPr>
        <w:spacing w:after="0" w:line="161"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As of March 31, 2021, we had cash and cash equivalents of $91.2 million. In addition, in April 2021, we received gross proceeds of $335.5 million from sales of our Series C preferred stock. We believe that the anticipated net proceeds from this offering, together with our existing cash and</w:t>
      </w:r>
    </w:p>
    <w:p>
      <w:pPr>
        <w:jc w:val="both"/>
        <w:ind w:left="120"/>
        <w:spacing w:after="0" w:line="251" w:lineRule="auto"/>
        <w:rPr>
          <w:sz w:val="20"/>
          <w:szCs w:val="20"/>
          <w:color w:val="auto"/>
        </w:rPr>
      </w:pPr>
      <w:r>
        <w:rPr>
          <w:rFonts w:ascii="Arial" w:cs="Arial" w:eastAsia="Arial" w:hAnsi="Arial"/>
          <w:sz w:val="18"/>
          <w:szCs w:val="18"/>
          <w:color w:val="auto"/>
        </w:rPr>
        <w:t>cash equivalents, will be sufficient to fund our operating expenses and capital expenditure requirements through . This estimate is based on assumptions that may prove to be wrong, and we could exhaust our available capital resources sooner than we expect. We plan to use the net proceeds from this offering to fund clinical development, manufacturing supply and initial commercialization costs for ADG20, and the remainder for working capital and other general corporate purposes, including development of additional programs in our pipeline. The net proceeds from this offering, together with our existing cash and cash equivalents, may not be sufficient to fund any of our product candidates through regulatory approval.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10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progress in the development of AGD20 and our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303"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recurring losses from operations and financial condition raise substantial doubt about our ability to continue as a going concern.</w:t>
      </w:r>
    </w:p>
    <w:p>
      <w:pPr>
        <w:spacing w:after="0" w:line="14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recurring losses from operations and financial condition raise substantial doubt about our ability to continue as a going concern. In our financial statements for the period from June 3, 2020 (inception) to December 31, 2020, we concluded that our recurring losses from operations and need for additional financing to fund future operations raise substantial doubt about our ability to continue as a going concern. Similarly, our independent registered public accounting firm included an explanatory paragraph in its report on our financial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statements for the period from June 3, 2020 (inception) to December 31, 2020 with respect to this uncertainty. Our ability to continue as a going concern will require us to obtain additional funding. If we are unable to obtain sufficient funding, our business, prospects, financial condition and results of operations will be materially and adversely affected, and we may be unable to continue as a going concern. If we are unable to raise capital when needed or on acceptable terms, we would be forced to delay, limit, reduce or terminate our product development or future commercialization efforts of one or more of our product candidates, or may be forced to reduce or terminate our operations. If we are unable to continue as a going concern, we may have to liquidate our assets and may receive less than the value at which those assets are carried on our audited financial statements, and it is likely that investors will lose all or a part of their investment. After this offering, in our own required quarterly assessments, we may again conclude that there is substantial doubt about our ability to continue as a going concern, and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if at all.</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b w:val="1"/>
          <w:bCs w:val="1"/>
          <w:i w:val="1"/>
          <w:iCs w:val="1"/>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5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currently have no products approved for commercial sale, and all of our product candidates are currently in clinical and preclinical development. In February 2021, we initiated a Phase 1 clinical trial evaluating ADG20, our lead monoclonal antibody product candidate. We have also advanced ADG20 into global pivotal trials for the treatment and prevention of COVID-19, including in countries with high rates of resistant variants. We have initiated conduct of our first prospective, randomized, multi-center clinical trials, have not previously conducted any later stage or pivotal clinical trials, have limited experience in preparing, submitting and prosecuting regulatory filings and have not previously submitted a biologics license application, or BLA, for any product candidate.</w:t>
      </w:r>
    </w:p>
    <w:p>
      <w:pPr>
        <w:spacing w:after="0" w:line="19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Our ability to generate revenue from our product candidates, which may not occur for several years, if ever, will depend heavily on the successful development, regulatory approval or granting of EUA, obtaining of manufacturing supply, capacity and expertise and eventual commercialization of our product candidates. In the absence of a public health emergency, we will not be able to receive an EUA. The success of ADG20 or any other product candidates that we develop or otherwise may acquire will depend on several factors, including:</w:t>
      </w:r>
    </w:p>
    <w:p>
      <w:pPr>
        <w:spacing w:after="0" w:line="77"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30"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filing acceptable investigational new drug applications, or INDs, with the U.S. Food and Drug Administration, or the FDA, or comparable foreign applications that allow commencement of our planned clinical trials or future clinical trials for our product candidates;</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89" w:lineRule="exact"/>
        <w:rPr>
          <w:rFonts w:ascii="Arial" w:cs="Arial" w:eastAsia="Arial" w:hAnsi="Arial"/>
          <w:sz w:val="18"/>
          <w:szCs w:val="18"/>
          <w:color w:val="auto"/>
        </w:rPr>
      </w:pPr>
    </w:p>
    <w:p>
      <w:pPr>
        <w:ind w:left="5540" w:right="180" w:hanging="4992"/>
        <w:spacing w:after="0" w:line="449" w:lineRule="auto"/>
        <w:tabs>
          <w:tab w:leader="none" w:pos="10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enrollment and timely completion of clinical trials, including our ability to generate positive data from any such clinical trials; 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and expanding sales, marketing and distribution capabilities and launching commercial sales of products, if approved, whether alone or in collaboration with others;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ADG20 or any other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perceived advantages, cost, safety and efficacy of alternative therapies for any product candidate that we develop;</w:t>
      </w:r>
    </w:p>
    <w:p>
      <w:pPr>
        <w:spacing w:after="0" w:line="142" w:lineRule="exact"/>
        <w:rPr>
          <w:rFonts w:ascii="Arial" w:cs="Arial" w:eastAsia="Arial" w:hAnsi="Arial"/>
          <w:sz w:val="17"/>
          <w:szCs w:val="17"/>
          <w:color w:val="auto"/>
        </w:rPr>
      </w:pPr>
    </w:p>
    <w:p>
      <w:pPr>
        <w:ind w:left="1080" w:right="20" w:hanging="532"/>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continuing need for therapies for the treatment and prevention of COVID-19, including due to the continuation of the pandemic, the development of SARS-CoV-2 into an endemic disease or the inability of other available therapies to address COVID-19;</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including Good Clinical Practices, or GCPs, current Good Laboratory Practices, or cGLPs, and cGMPs, and to comply effectively with other rules, regulations and procedures applicable to the development and sale of pharmaceutical products;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significant and changing government regulation, regulatory guidance and requirements and evolving treatment guidelines;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 continued acceptable safety, tolerability and efficacy profile of the products following approval;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292" w:lineRule="exact"/>
        <w:rPr>
          <w:sz w:val="20"/>
          <w:szCs w:val="20"/>
          <w:color w:val="auto"/>
        </w:rPr>
      </w:pPr>
    </w:p>
    <w:p>
      <w:pPr>
        <w:jc w:val="both"/>
        <w:ind w:left="560" w:right="440"/>
        <w:spacing w:after="0" w:line="375" w:lineRule="auto"/>
        <w:rPr>
          <w:sz w:val="20"/>
          <w:szCs w:val="20"/>
          <w:color w:val="auto"/>
        </w:rPr>
      </w:pPr>
      <w:r>
        <w:rPr>
          <w:rFonts w:ascii="Arial" w:cs="Arial" w:eastAsia="Arial" w:hAnsi="Arial"/>
          <w:sz w:val="15"/>
          <w:szCs w:val="15"/>
          <w:b w:val="1"/>
          <w:bCs w:val="1"/>
          <w:i w:val="1"/>
          <w:iCs w:val="1"/>
          <w:color w:val="auto"/>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COVID-19 is a new disease, the treatment and prevention of which is not yet well understood. Although monoclonal antibody products have been used in the treatment of many indications, to date, the FDA has not yet approved the use of any monoclonal antibodies to treat COVID-19, although the FDA has issued an EUA for several monoclonal antibody products for the treatment of COVID-19 in patients at high risk of disease progression, including bamlanivimab, casirivimab/imdevimab, bamlanvimab/etesevimab and sotrovimab. Because this is a relatively new and expanding area of novel therapeutic interventions, there are many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uncertainties related to development, marketing, reimbursement and the commercial potential for our product candidates. There can be no assurance as to the length of the clinical trials, the number of patients the FDA will require to be enrolled in the trials in order to establish the safety, efficacy, purity and potency of antibody products or that the design of or data generated in these trials will be acceptable to the FDA to support marketing approval.</w:t>
      </w:r>
    </w:p>
    <w:p>
      <w:pPr>
        <w:spacing w:after="0" w:line="149"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In addition, the FDA may take longer than usual to come to a decision on any BLA that we submit and may ultimately determine that there is insufficient data, information or experience with our product candidates to support an approval decision. The FDA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success of our business depends in part upon our ability to develop engineered monoclonal antibodies that can broadly neutralize SARS-CoV-2, SARS-CoV and additional pre-emergent coronaviruses. We may fail to deliver monoclonal antibodies that are effective in the treatment or prevention of symptomatic COVID-19. Even if we are able to identify and develop such antibodies, we cannot ensure that such product candidates will achieve marketing approval to safely and effectively treat or prevent symptomatic COVID-19 or other future coronavirus diseases.</w:t>
      </w:r>
    </w:p>
    <w:p>
      <w:pPr>
        <w:spacing w:after="0" w:line="15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18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There is no assurance that the approaches offered by our product candidates will gain broad acceptance among doctors or patients or that governmental agencies or third-party medical insurers will be willing to provide reimbursement coverage for our proposed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292"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 we will not be able to commercialize our product candidates, and our ability to generate product revenue will be adversely affected.</w:t>
      </w:r>
    </w:p>
    <w:p>
      <w:pPr>
        <w:spacing w:after="0" w:line="7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All of our product candidates are in clinical and preclinical development and their risk of failure is high. The clinical trials and manufacturing of our product candidates are, and the manufacturing and marketing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19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addition, even if such trials are successfully completed, we cannot guarantee that the FDA, the European Medicines Agency, or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195"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or NDA,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19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Furthermore, even if we obtain regulatory approval for our product candidates, we may still need to develop a commercial organization, establish a commercially viable pricing structure and obtain approval for coverage and adequate reimbursement from commercial and government payors, including government health administration authorities. If we are unable to successfully commercialize our product candidates, we may not be able to generate sufficient revenue to continue our business.</w:t>
      </w:r>
    </w:p>
    <w:p>
      <w:pPr>
        <w:spacing w:after="0" w:line="295" w:lineRule="exact"/>
        <w:rPr>
          <w:sz w:val="20"/>
          <w:szCs w:val="20"/>
          <w:color w:val="auto"/>
        </w:rPr>
      </w:pPr>
    </w:p>
    <w:p>
      <w:pPr>
        <w:jc w:val="both"/>
        <w:ind w:left="560" w:right="240"/>
        <w:spacing w:after="0" w:line="375" w:lineRule="auto"/>
        <w:rPr>
          <w:sz w:val="20"/>
          <w:szCs w:val="20"/>
          <w:color w:val="auto"/>
        </w:rPr>
      </w:pPr>
      <w:r>
        <w:rPr>
          <w:rFonts w:ascii="Arial" w:cs="Arial" w:eastAsia="Arial" w:hAnsi="Arial"/>
          <w:sz w:val="15"/>
          <w:szCs w:val="15"/>
          <w:b w:val="1"/>
          <w:bCs w:val="1"/>
          <w:i w:val="1"/>
          <w:iCs w:val="1"/>
          <w:color w:val="auto"/>
        </w:rPr>
        <w:t>We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spacing w:after="0" w:line="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experience delays in conducting any clinical trials, and we do not know whether our clinical trials will begin on time, need to be redesigned, recruit and enroll patients on time or be completed on schedule, or 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all. We may experience numerous unforeseen events before, during or as a result of clinical trials that could delay or prevent our ability to complete such trials or receive marketing approval for or commercialize our product candidates, or that could significantly increase the cost of such trials, including:</w:t>
      </w:r>
    </w:p>
    <w:p>
      <w:pPr>
        <w:spacing w:after="0" w:line="2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developing suitable assays for screening patients for eligibility for trials with respect to certain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in reaching agreement with the FDA, EMA or other regulatory authorities as to the design or implementation of our clinical trials;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regulatory authorization to commence a clinical trial;</w:t>
      </w:r>
    </w:p>
    <w:p>
      <w:pPr>
        <w:spacing w:after="0" w:line="130"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challenges in 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institutional review board, or IRB, approval at each trial site;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recruiting suitable patients to participate in a clinical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inspections of clinical trial sites or operations by applicable regulatory authorities, or the imposition of a clinical hold;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sites, CROs or other third parties deviating from trial protocol or dropping out of a trial;</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perform in accordance with the applicable regulatory requirements, including the FDA’s regulations and GCP requirements, or applicable regulatory requirements in other countries;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an insufficient number of clinical trial sites;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manufacturing sufficient quantities of product candidate for use in clinical trials;</w:t>
      </w:r>
    </w:p>
    <w:p>
      <w:pPr>
        <w:spacing w:after="0" w:line="130"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suspensions or terminations by IRBs of the institutions at which such trials are being conducted, by the independent Data Monitoring Committee for such trial or by the FDA or other regulatory authorities due to a number of factors, including those described above;</w:t>
      </w:r>
    </w:p>
    <w:p>
      <w:pPr>
        <w:spacing w:after="0" w:line="51" w:lineRule="exact"/>
        <w:rPr>
          <w:rFonts w:ascii="Arial" w:cs="Arial" w:eastAsia="Arial" w:hAnsi="Arial"/>
          <w:sz w:val="17"/>
          <w:szCs w:val="17"/>
          <w:color w:val="auto"/>
        </w:rPr>
      </w:pPr>
    </w:p>
    <w:p>
      <w:pPr>
        <w:jc w:val="both"/>
        <w:ind w:left="1080" w:right="2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or guidance, or feedback from regulatory authorities that requires us to modify the design or conduct of our clinical trials; for example, in April 2021, the FDA informed us that it had changed its view on allowing high risk patients to be randomized to placebo in the United States in our STAMP treatment trial, which has resulted in modification of the design and conduct of this trial exclusively outside of the United States;</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especially if regulatory bodies require the completion of non-inferiority trials, enrollment in these clinical trials may be slower than we anticipate or participants may drop out of these clinical trials at a higher rate than we anticipate;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75" w:lineRule="exact"/>
        <w:rPr>
          <w:rFonts w:ascii="Arial" w:cs="Arial" w:eastAsia="Arial" w:hAnsi="Arial"/>
          <w:sz w:val="18"/>
          <w:szCs w:val="18"/>
          <w:color w:val="auto"/>
        </w:rPr>
      </w:pPr>
    </w:p>
    <w:p>
      <w:pPr>
        <w:jc w:val="both"/>
        <w:ind w:left="1080" w:right="20" w:hanging="532"/>
        <w:spacing w:after="0" w:line="254"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for example, we intend to conduct our STAMP treatment trial at sites outside of the United States, and the applicable foreign regulatory authorities may determine that a placebo-controlled trial would expose patients to unacceptable health risks (for example, if alternative effective therapies become available in these regions during the conduct of the trial), which could delay enrollment of our trial and the authorization or approval of ADG20;</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and we may not have funds to cover the costs;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8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 or</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to impose restrictions on its distribution after obtaining marketing approval.</w:t>
      </w:r>
    </w:p>
    <w:p>
      <w:pPr>
        <w:spacing w:after="0" w:line="170"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72"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b w:val="1"/>
          <w:bCs w:val="1"/>
          <w:i w:val="1"/>
          <w:iCs w:val="1"/>
          <w:color w:val="auto"/>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70"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7"/>
          <w:szCs w:val="17"/>
          <w:color w:val="auto"/>
        </w:rPr>
        <w:t>We may seek an EUA from the FDA or similar authorization from regulatory authorities outside of the United States, such as conditional marketing authorization from the EMA. If we apply for an EUA and it is granted, an EUA will authorize us to market and sell our COVID-19 monoclonal antibody under certain conditions of authorization as long as the public health emergency exists. The FDA expects that companies that receive an EUA for COVID-19 antibodies will proceed to licensure of their products under a full BLA. The FDA may issue an EUA during a public health emergency if the agency determines that the potential benefits of a product outweigh the potential risks and if other regulatory criteria are met. There is no guarantee that we will apply for an EUA or other similar authorization or, if we do apply, that we will be able to obtain such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An EUA authorizing the marketing and sale of our product will terminate upon expiration of the public health emergency, which is a determination made by the Secretary of the Department of Health and Human Services, or HHS. The FDA may also terminate an EUA if safety issues or other concerns about our product arise or if we fail to comply with the conditions of authorization. If we apply for an EUA or similar authorization from regulatory authorities outside of the United States,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and the Medicines and Healthcare products Regulatory Agency regarding clinical development programs or regulatory approval for any product candidate within the United States and United Kingdom, respectively. In addition, we have had no discussions with other comparable foreign authorities regarding clinical development programs or regulatory approval for any product candidate outside of those jurisdictions.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Prior to obtaining approval to commercialize any drug product candidate in the United States or abroad, we must demonstrate with substantial evidence from well-controlled clinical trials, and to the satisfaction of the FDA, EMA or other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collect sufficient data from clinical trials of our product candidates to support the submission and filing of a BLA with the FDA, MAA with the EMA or other submission;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and testing laboratories with which we contract for clinical and commercial supplies;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authorities may significantly change in a manner rendering our clinical data insufficient for approval.</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95"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6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17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57" w:lineRule="exact"/>
        <w:rPr>
          <w:sz w:val="20"/>
          <w:szCs w:val="20"/>
          <w:color w:val="auto"/>
        </w:rPr>
      </w:pPr>
    </w:p>
    <w:p>
      <w:pPr>
        <w:ind w:left="560" w:right="2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1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196"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304"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approval of our product candidates, limit their commercialization, increase our costs or necessitate the abandonment or limitation of the development of some of our product candidates.</w:t>
      </w:r>
    </w:p>
    <w:p>
      <w:pPr>
        <w:spacing w:after="0" w:line="63"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To obtain the requisite regulatory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may fail to demonstrate with substantial evidence from adequate and well-controlled trials, and to the satisfaction of the FDA or comparable foreign regulatory authorities, that our product candidates are safe and potent for their intended uses. In addition, the FDA may determine that antibody monotherapy products are not sufficient and that combination antibody therapies should become the standard of care.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These side effects may not be appropriately recognized or managed by the treating medical staff, as toxicities resulting from monoclonal antibody therapy, as with our ADG20 product candidate, are not normally encountered in the general patient population and by medical personnel.</w:t>
      </w:r>
    </w:p>
    <w:p>
      <w:pPr>
        <w:spacing w:after="0" w:line="16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8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76" w:lineRule="exact"/>
        <w:rPr>
          <w:sz w:val="20"/>
          <w:szCs w:val="20"/>
          <w:color w:val="auto"/>
        </w:rPr>
      </w:pPr>
    </w:p>
    <w:p>
      <w:pPr>
        <w:ind w:left="1080" w:right="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suspend, withdraw or limit approvals of such product, or seek an injunction against its manufacture or distribution;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73" w:lineRule="exact"/>
        <w:rPr>
          <w:sz w:val="20"/>
          <w:szCs w:val="20"/>
          <w:color w:val="auto"/>
        </w:rPr>
      </w:pPr>
    </w:p>
    <w:p>
      <w:pPr>
        <w:jc w:val="both"/>
        <w:ind w:left="560" w:right="340"/>
        <w:spacing w:after="0" w:line="263" w:lineRule="auto"/>
        <w:rPr>
          <w:sz w:val="20"/>
          <w:szCs w:val="20"/>
          <w:color w:val="auto"/>
        </w:rPr>
      </w:pPr>
      <w:r>
        <w:rPr>
          <w:rFonts w:ascii="Arial" w:cs="Arial" w:eastAsia="Arial" w:hAnsi="Arial"/>
          <w:sz w:val="18"/>
          <w:szCs w:val="18"/>
          <w:b w:val="1"/>
          <w:bCs w:val="1"/>
          <w:i w:val="1"/>
          <w:iCs w:val="1"/>
          <w:color w:val="auto"/>
        </w:rPr>
        <w:t>Lack of awareness or negative public opinion of monoclonal antibody therapies and increased regulatory scrutiny of monoclonal antibody therapies to treat symptomatic COVID-19 may adversely impact the development or commercial success of our current and future product candidates.</w:t>
      </w:r>
    </w:p>
    <w:p>
      <w:pPr>
        <w:spacing w:after="0" w:line="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clinical and commercial success of our monoclonal antibody therapies will depend in part on public acceptance of the use of monoclonal antibody therapies to treat symptomatic COVID-19. To date, the FDA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not yet approved any monoclonal antibodies to treat or prevent COVID-19, although the FDA has issued an EUA for several monoclonal antibody products for the treatment of COVID-19 in patients at high risk of disease progression, including bamlanivimab, casirivimab/imdevimab, bamlanvimab/etesevimab and sotrovimab.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300"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We may experience delays or difficulties in the enrollment and/or retention of patients in clinical trials, which could delay or prevent our receipt of necessary regulatory approvals.</w:t>
      </w:r>
    </w:p>
    <w:p>
      <w:pPr>
        <w:spacing w:after="0" w:line="6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92"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severity and difficulty of diagnosing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contraction of the public health crisis caused by COVID-19;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 in question;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of the trial protocol, including but not limited to the use of a placebo control or active comparator;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 including relating to monoclonal antibody approaches;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therapeutic candidates’ clinical trials for the disease or condition under investigation;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patients to be enrolled in our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our ability to import and export clinical trial supplies, raw materials and commercial supply and other factors;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inability to enroll, or maintain the enrollment of,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296" w:lineRule="exact"/>
        <w:rPr>
          <w:sz w:val="20"/>
          <w:szCs w:val="20"/>
          <w:color w:val="auto"/>
        </w:rPr>
      </w:pPr>
    </w:p>
    <w:p>
      <w:pPr>
        <w:ind w:left="560" w:right="660"/>
        <w:spacing w:after="0" w:line="342" w:lineRule="auto"/>
        <w:rPr>
          <w:sz w:val="20"/>
          <w:szCs w:val="20"/>
          <w:color w:val="auto"/>
        </w:rPr>
      </w:pPr>
      <w:r>
        <w:rPr>
          <w:rFonts w:ascii="Arial" w:cs="Arial" w:eastAsia="Arial" w:hAnsi="Arial"/>
          <w:sz w:val="16"/>
          <w:szCs w:val="16"/>
          <w:b w:val="1"/>
          <w:bCs w:val="1"/>
          <w:i w:val="1"/>
          <w:i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16"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78"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272"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Because we have limited financial and management resources, we must focus on development programs and product candidates that we identify for specific indications. As such, we are currently primarily focused on the development of ADG20 for the treatment and prevention of symptomatic COVID-19.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 conducted in locations outside of their jurisdiction.</w:t>
      </w:r>
    </w:p>
    <w:p>
      <w:pPr>
        <w:spacing w:after="0" w:line="1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intend to conduct clinical trials outside the United States. The acceptance of trial data from clinical trials conducted outside the United States by the FDA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in accordance with GCP standards,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and ongoing COVID-19 global pandemic.</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evolving and constantly changing impact of COVID-19, which was declared a global pandemic by the World Health Organization, or WHO, will directly affect the potential commercial prospects of our lead product candidate for the treatment and prevention of COVID-19. The severity of the global pandemic, the availability, administration and acceptance of vaccines and monoclonal antibodies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76"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Although our planned clinical trials have not been materially delayed by the COVID-19 pandemic to date, in December 2020 shipment of ADG20 clinical supply by WuXi Biologics (Hong Kong) Limited, or WuXi, was delayed due to the introduction by the Chinese government of a new procedure for the approval of the export of products for the treatment of COVID-19. However, this type of delay is not anticipated to occur in the future, now that this export procedure has been implemented. In addition, we may experience related disruptions in the future that could severely impact our clinical trials, including:</w:t>
      </w:r>
    </w:p>
    <w:p>
      <w:pPr>
        <w:spacing w:after="0" w:line="93" w:lineRule="exact"/>
        <w:rPr>
          <w:sz w:val="20"/>
          <w:szCs w:val="20"/>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interruptions in our ability to manufacture and deliver drug supply for trials due to capacity constraints or lack of raw materials;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2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prospectus,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financial condition and results of operations, it may also have the effect of heightening many of the other risks and uncertainties described in this “Risk Factors” section.</w:t>
      </w:r>
    </w:p>
    <w:p>
      <w:pPr>
        <w:spacing w:after="0" w:line="278" w:lineRule="exact"/>
        <w:rPr>
          <w:sz w:val="20"/>
          <w:szCs w:val="20"/>
          <w:color w:val="auto"/>
        </w:rPr>
      </w:pPr>
    </w:p>
    <w:p>
      <w:pPr>
        <w:ind w:left="560" w:right="620"/>
        <w:spacing w:after="0" w:line="308" w:lineRule="auto"/>
        <w:rPr>
          <w:sz w:val="20"/>
          <w:szCs w:val="20"/>
          <w:color w:val="auto"/>
        </w:rPr>
      </w:pPr>
      <w:r>
        <w:rPr>
          <w:rFonts w:ascii="Arial" w:cs="Arial" w:eastAsia="Arial" w:hAnsi="Arial"/>
          <w:sz w:val="17"/>
          <w:szCs w:val="17"/>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revenue we are able to generate in the future from product sales will be dependent, in part, upon the size of the market in the United States and any other jurisdiction for which we gain regulatory approval and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commercial rights. If the markets or patient subsets that we are targeting are not as significant as we estimate, we may not generate significant revenues from sales of such products, even if approved.</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potentially addressable patient population for our current or future product candidates may be limited, if and when approved. Further, even if any of our product candidates are approved by the FDA or comparable foreign regulators, their approved indications may be limited to a subset of the indications that we targeted. Even if we obtain significant market share for any product candidate, if and when approved, if the potential target populations are small, we may never achieve profitability without obtaining marketing approval for additional indications, including to be used as first-or second-line therapy.</w:t>
      </w:r>
    </w:p>
    <w:p>
      <w:pPr>
        <w:spacing w:after="0" w:line="296"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Newly emerging SARS-CoV-2 variants could reduce the activity and effectiveness of ADG20 as a potential treatment for or prevention of symptomatic COVID-19.</w:t>
      </w:r>
    </w:p>
    <w:p>
      <w:pPr>
        <w:spacing w:after="0" w:line="62"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Multiple variants of the virus that causes COVID-19 have been documented in the United States and globally during this pandemic. Although we have shown in pre-clinical studies that ADG20 has the potential to broadly neutralize SARS-CoV-2 and the predominantly circulating variants, new SARS-CoV-2 variants could be less impacted by ADG20 and its mechanism of action, or the results shown in pre-clinical studies may not be replicated in clinical studies. This would significantly and adversely affect our ability to obtain authorization or approval of and to commercialize ADG20.</w:t>
      </w:r>
    </w:p>
    <w:p>
      <w:pPr>
        <w:spacing w:after="0" w:line="265"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may develop ADG20 and future product candidates for use in combination with other therapies or third-party product candidates, which exposes us to additional regulatory risks.</w:t>
      </w:r>
    </w:p>
    <w:p>
      <w:pPr>
        <w:spacing w:after="0" w:line="6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may develop ADG20 and future product candidates for use in combination with one or more currently authorized or approved therapies to treat symptomatic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and in the future the FDA, EMA and comparable foreign regulatory authorities may determine that monotherapy products should not be approved, eliminating our ability to commercialize ADG20 as a monotherapy treatment.</w:t>
      </w:r>
    </w:p>
    <w:p>
      <w:pPr>
        <w:spacing w:after="0" w:line="17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may also evaluate ADG20 or any future product candidate in combination with one or more other third-party product candidates that have not yet been approved for marketing by the FDA, EMA or comparable foreign regulatory authorities. If so, we will not be able to market and sell ADG20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ADG20 or any product candidate we develop, we may be unable to obtain approval of or market any such product candidate.</w:t>
      </w:r>
    </w:p>
    <w:p>
      <w:pPr>
        <w:spacing w:after="0" w:line="286"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or the Transition Period, during which European Union rules continued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auto"/>
        </w:rPr>
        <w:t>Since a significant proportion of the regulatory framework in the United Kingdom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European Union-wide marketing authorizations from the EMA and, unless a specific agreement is entered into, a separate process for authorization of drug products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121"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b w:val="1"/>
          <w:bCs w:val="1"/>
          <w:i w:val="1"/>
          <w:iCs w:val="1"/>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manufacture of monoclonal antibody therapies is technically complex and necessitates substantial expertise and capital investment.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Production difficulties caused by unforeseen events may delay the availability of material for our clinical studies or commercialization efforts.</w:t>
      </w:r>
    </w:p>
    <w:p>
      <w:pPr>
        <w:spacing w:after="0" w:line="22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18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Biological products are inherently difficult and time-consuming to manufacture. Our program materials are manufactured using technically complex processes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manufacturing, may lead to an inability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manufacture our product candidate, resulting in delays in clinical development or commercialization plans. Any changes in the manufacturing of components of the raw materials we use could result in unanticipated or unfavorable effects in our manufacturing processes or product quality, resulting in delays.</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Any delay, failure or inability to manufacture on a timely basis can impact the timelines for our clinical trials or our commercialization plans. Such delay, failure or inability to manufacture can result from:</w:t>
      </w:r>
    </w:p>
    <w:p>
      <w:pPr>
        <w:spacing w:after="0" w:line="76" w:lineRule="exact"/>
        <w:rPr>
          <w:sz w:val="20"/>
          <w:szCs w:val="20"/>
          <w:color w:val="auto"/>
        </w:rPr>
      </w:pPr>
    </w:p>
    <w:p>
      <w:pPr>
        <w:jc w:val="both"/>
        <w:ind w:left="1080" w:right="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92" w:lineRule="exact"/>
        <w:rPr>
          <w:rFonts w:ascii="Arial" w:cs="Arial" w:eastAsia="Arial" w:hAnsi="Arial"/>
          <w:sz w:val="18"/>
          <w:szCs w:val="18"/>
          <w:color w:val="auto"/>
        </w:rPr>
      </w:pPr>
    </w:p>
    <w:p>
      <w:pPr>
        <w:jc w:val="both"/>
        <w:ind w:left="1080" w:right="20" w:hanging="532"/>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70" w:lineRule="exact"/>
        <w:rPr>
          <w:rFonts w:ascii="Arial" w:cs="Arial" w:eastAsia="Arial" w:hAnsi="Arial"/>
          <w:sz w:val="17"/>
          <w:szCs w:val="17"/>
          <w:color w:val="auto"/>
        </w:rPr>
      </w:pPr>
    </w:p>
    <w:p>
      <w:pPr>
        <w:jc w:val="both"/>
        <w:ind w:left="1080" w:right="2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obtain manufacturing slots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procure raw materials and reagents;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depletion or performance degradation of the cell line starting material;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or close-down of any manufacturing facility used in the manufacture of our product candidates, or the inability to find alternative manufacturing capability in a timely fashion.</w:t>
      </w:r>
    </w:p>
    <w:p>
      <w:pPr>
        <w:spacing w:after="0" w:line="278"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p>
    <w:p>
      <w:pPr>
        <w:spacing w:after="0" w:line="7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our existing contract manufacturers, are subject to extensive regulation.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ensure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any of our CDMOs do not pass such audit or inspections. Certain of our CDMO’s facilities are or may be under construction and have not completed installation of equipment for and establishment of routine manufacturing and testing operations and have not yet been inspected by regulatory authorities. If any of our CDMO’s facilities do not pass a pre-approval plant inspection, FDA or EMA approval of the products will not be granted.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The regulatory authorities also may, at any time following approval of a product for sale, inspect or audit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 FDA or EMA can impose regulatory sanctions, including, among other things, refusal to approve a pending application for a new drug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17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intend to rely on third parties to produce clinical and commercial supplies of our product candidates.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We are currently manufacturing material for our product candidates in partnership with a CDMO. We do not own or operate any facilities for product manufacturing, storage and distribution or testing. We are dependent on third parties to manufacture the clinical and commercial supplies of our current and any future product candidates. We have established a relationship with WuXi to produce material to support our clinical development program and our initial commercial supply for our products, if approved. We have not yet fully manufactured our product candidates on a commercial scale, and we do not yet have sufficient information to reliably estimate the cost of the commercial manufacturing of our product candidates. Certain of our product candidates may have to compete with existing and future products, such as the annual influenza vaccine, that may have a lower price point. The actual cost to manufacture our product candidates could materially and adversely affect the commercial viability of our product candidates.</w:t>
      </w:r>
    </w:p>
    <w:p>
      <w:pPr>
        <w:spacing w:after="0" w:line="16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The facilities used by our contract manufacturers and contract testing labs to manufacture and test our product candidates must be approved by the FDA pursuant to inspections that will be conducted after we submit our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also intend to rely on third-party manufacturers to supply us with sufficient quantities of our product candidates to be used, if approved, for commercialization. If we are not able to meet market demand for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engaged WuXi for development and generation of the production cell line starting material for ADG20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addition, we currently rely on WuXi, a CDMO in China, for clinical supply of ADG20 and will rely on WuXi for commercial supply of ADG20.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United States.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19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Further, our reliance on third-party manufacturers entails risks to which we would not be subject if we manufactured product candidates ourselves, including:</w:t>
      </w:r>
    </w:p>
    <w:p>
      <w:pPr>
        <w:spacing w:after="0" w:line="76"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access sufficient manufacturing capacity;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inability of our third-party manufacturers to execute our manufacturing procedures and other logistical support requirements appropriately;</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negotiate additional manufacturing agreements with third parties under commercially reasonable terms, if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breach, termination or nonrenewal of manufacturing agreements with third parties in a manner or at a time that is costly or damaging to us;</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lack of ownership of the intellectual property rights in any improvements made by our third-party manufacturers in the manufacturing process for our product candidates;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to operations of our third-party manufacturers or suppliers by conditions unrelated to our business or operations, including the bankruptcy of the manufacturer or supplier.</w:t>
      </w:r>
    </w:p>
    <w:p>
      <w:pPr>
        <w:spacing w:after="0" w:line="170"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cannot be sure that single-source suppliers for our manufacturing raw materials will remain in business or that they will not be purchased by one of our competitors or another company that is not interested in continuing to produce these raw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adversely impact our business, financial condition and results of operations.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our current or any future product candidates, if approved. Some of these events could be the basis for FDA action, including injunction, request for recall, seizure or total or partial suspension of production.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311" w:lineRule="auto"/>
        <w:rPr>
          <w:sz w:val="20"/>
          <w:szCs w:val="20"/>
          <w:color w:val="auto"/>
        </w:rPr>
      </w:pPr>
      <w:r>
        <w:rPr>
          <w:rFonts w:ascii="Arial" w:cs="Arial" w:eastAsia="Arial" w:hAnsi="Arial"/>
          <w:sz w:val="16"/>
          <w:szCs w:val="16"/>
          <w:b w:val="1"/>
          <w:bCs w:val="1"/>
          <w:i w:val="1"/>
          <w:iCs w:val="1"/>
          <w:color w:val="auto"/>
        </w:rPr>
        <w:t>We depend on sole-source third-party suppliers for materials that are necessary for the conduct of preclinical studies and manufacture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4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Manufacturing our product candidates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For example, we are reliant on WuXi as the sole procurer of the raw materials used in the manufacture of our product candidates, including certain purification resins and cell culture media, which increases the risk of delays in production. In addition, to date, we have relied on WuXi as our only CDMO. The loss of this CDMO or its failure to supply us with material to support our clinical development program on a timely basis could impair our ability to develop our product candidates or otherwise delay the development process, which could adversely affect our business, financial condition and results of operations.</w:t>
      </w:r>
    </w:p>
    <w:p>
      <w:pPr>
        <w:spacing w:after="0" w:line="17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Some of our CDMO’s raw material suppliers may not have the capacity to support clinical trials and commercial products manufactured under cGMP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p>
    <w:p>
      <w:pPr>
        <w:spacing w:after="0" w:line="17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80" w:lineRule="exact"/>
        <w:rPr>
          <w:sz w:val="20"/>
          <w:szCs w:val="20"/>
          <w:color w:val="auto"/>
        </w:rPr>
      </w:pPr>
    </w:p>
    <w:p>
      <w:pPr>
        <w:ind w:left="560" w:right="500"/>
        <w:spacing w:after="0" w:line="308" w:lineRule="auto"/>
        <w:rPr>
          <w:sz w:val="20"/>
          <w:szCs w:val="20"/>
          <w:color w:val="auto"/>
        </w:rPr>
      </w:pPr>
      <w:r>
        <w:rPr>
          <w:rFonts w:ascii="Arial" w:cs="Arial" w:eastAsia="Arial" w:hAnsi="Arial"/>
          <w:sz w:val="17"/>
          <w:szCs w:val="17"/>
          <w:b w:val="1"/>
          <w:bCs w:val="1"/>
          <w:i w:val="1"/>
          <w:iCs w:val="1"/>
          <w:color w:val="auto"/>
        </w:rPr>
        <w:t>The third parties upon whom we depend may be adversely affected by earthquakes, wildfires or other natural disasters, and our business continuity and disaster recovery plans may not adequately protect us from a serious disaster.</w:t>
      </w:r>
    </w:p>
    <w:p>
      <w:pPr>
        <w:spacing w:after="0" w:line="3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Any unplanned event, such as flood, fire, explosion, earthquake, extreme weather condition, medical epidemics or pandemics, power shortage, telecommunication failure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89"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3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Given the nature of monoclonal antibody manufacturing, there is a risk of contamination, including in the manufacture of raw materials and in the manufacturing of our product candidates, or in the manufacturing facility itself.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3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92" w:lineRule="exact"/>
        <w:rPr>
          <w:sz w:val="20"/>
          <w:szCs w:val="20"/>
          <w:color w:val="auto"/>
        </w:rPr>
      </w:pPr>
    </w:p>
    <w:p>
      <w:pPr>
        <w:ind w:left="5540" w:right="2620" w:hanging="4992"/>
        <w:spacing w:after="0" w:line="449" w:lineRule="auto"/>
        <w:tabs>
          <w:tab w:leader="none" w:pos="10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 including oral options; 37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 for ADG20 and any other product candidates, once approved;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 or requirements that our products be used in combination with other products;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be effective against emerging variants as a monotherapy.</w:t>
      </w:r>
    </w:p>
    <w:p>
      <w:pPr>
        <w:spacing w:after="0" w:line="333" w:lineRule="exact"/>
        <w:rPr>
          <w:sz w:val="20"/>
          <w:szCs w:val="20"/>
          <w:color w:val="auto"/>
        </w:rPr>
      </w:pPr>
    </w:p>
    <w:p>
      <w:pPr>
        <w:ind w:left="560" w:right="660"/>
        <w:spacing w:after="0" w:line="375"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for ADG20 or any other product candidate that may receive regulatory approval, we may not be successful in commercializing those product candidates if and when they are approved.</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We are currently establishing our commercial infrastructure to support the anticipated marketing and distribution of our product candidates, which we will need to achieve commercial success for ADG20 or any other product candidate for which we may obtain marketing approval. We are currently in the process of building a sales, marketing and market access infrastructure to market our product candidates in the United States and Europe, if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13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in order to educate physicians about our product candidates, once approved;</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independent sales, marketing and market access organizations.</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Our projections of the number of people who are candidates to receive COVID-19 treatments and preventatives are estimates based on our knowledge and understanding of these diseases. These estimates may prove to be incorrect and new studies may further reduce the estimated incidence or prevalence of these diseases. The number of patients in the United States, the European Union and elsewhere may turn out to be lower than expected, may not be otherwise amenable to treatment with our product candidates or patients may become increasingly difficult to identify and access, all of which would adversely affect our business, financial condition, results of operations and prospects. Further, even if we obtain approval for our product candidates, the FDA or other regulators may limit their approved indications to more narrow uses or subpopulations within the populations for which we are targeting development of our product candidates.</w:t>
      </w:r>
    </w:p>
    <w:p>
      <w:pPr>
        <w:spacing w:after="0" w:line="195"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A decline, or a widespread perception of a decline, in the spread or severity of the ongoing COVID-19 pandemic, including disease due to variants with relative or absolute resistance to other products, or an increase in available alternative treatments for or widespread immunity to COVID-19, could reduce the total addressable market for our lead product candidate for the treatment and prevention of COVID-19. Similarly, if new SARS-CoV-2 variants are less impacted by ADG20 and its mechanism of action than expected and such variants become more prevalent in the ongoing pandemic, the number of patients that we will be able to successfully treat with ADG20, if approved, will be decreased.</w:t>
      </w:r>
    </w:p>
    <w:p>
      <w:pPr>
        <w:spacing w:after="0" w:line="176"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range for the indications we are targeting has involved using a third-party to model the future populations susceptible to and immune from SARS-CoV-2, based on assumptions such as vaccine adoption, efficacy, duration of effect, viral infectiousness and other factors we cannot control. Accordingly, these estimates included in this prospectus may turn out to be inaccurate. Further, the data and statistical information used in this prospectus, including estimates derived from them, may differ from information and estimates made by our competitors or from current or future studies conducted by independent sources.</w:t>
      </w:r>
    </w:p>
    <w:p>
      <w:pPr>
        <w:spacing w:after="0" w:line="289" w:lineRule="exact"/>
        <w:rPr>
          <w:sz w:val="20"/>
          <w:szCs w:val="20"/>
          <w:color w:val="auto"/>
        </w:rPr>
      </w:pPr>
    </w:p>
    <w:p>
      <w:pPr>
        <w:ind w:left="560" w:right="20"/>
        <w:spacing w:after="0" w:line="375" w:lineRule="auto"/>
        <w:rPr>
          <w:sz w:val="20"/>
          <w:szCs w:val="20"/>
          <w:color w:val="auto"/>
        </w:rPr>
      </w:pPr>
      <w:r>
        <w:rPr>
          <w:rFonts w:ascii="Arial" w:cs="Arial" w:eastAsia="Arial" w:hAnsi="Arial"/>
          <w:sz w:val="15"/>
          <w:szCs w:val="15"/>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If our product candidates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that might require significant financial and management resources and that could harm our reputation.</w:t>
      </w:r>
    </w:p>
    <w:p>
      <w:pPr>
        <w:spacing w:after="0" w:line="16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U.S. Federal Trade Commission, the Department of Justice, or the DOJ, the Office of Inspector General of HHS, state attorneys general, members of the U.S. Congress, and the public. Additionally, advertising and promotion of any product candidate that obtains approval outside of the United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States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295" w:lineRule="exact"/>
        <w:rPr>
          <w:sz w:val="20"/>
          <w:szCs w:val="20"/>
          <w:color w:val="auto"/>
        </w:rPr>
      </w:pPr>
    </w:p>
    <w:p>
      <w:pPr>
        <w:ind w:left="560" w:right="520"/>
        <w:spacing w:after="0" w:line="277" w:lineRule="auto"/>
        <w:rPr>
          <w:sz w:val="20"/>
          <w:szCs w:val="20"/>
          <w:color w:val="auto"/>
        </w:rPr>
      </w:pPr>
      <w:r>
        <w:rPr>
          <w:rFonts w:ascii="Arial" w:cs="Arial" w:eastAsia="Arial" w:hAnsi="Arial"/>
          <w:sz w:val="18"/>
          <w:szCs w:val="18"/>
          <w:b w:val="1"/>
          <w:bCs w:val="1"/>
          <w:i w:val="1"/>
          <w:iCs w:val="1"/>
          <w:color w:val="auto"/>
        </w:rPr>
        <w:t>ADG20 and our other monoclonal antibody product candidates may face significant competition from vaccines and other treatments for COVID-19 that are currently available or in development.</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therapeutics and vaccines for the treatment or prevention of COVID-19 developed or marketed by other companies, many of which are large, established biotechnology and pharmaceutical companies. Additional vaccines and therapeutics are in development by other pharmaceutical and biopharmaceutical companies. Given the products currently approved or authorized for use as well as those in development by others, any treatment we may develop could face significant competition. If any other company develops treatments more rapidly or effectively than we do, develops a treatment that becomes the standard of care, develops a treatment at a lower cost or is more successful at commercializing an approved therapeutic, we may not be able to successfully commercialize ADG20 for the treatment and prevention of symptomatic COVID-19, even if approved, or compete with other treatments or vaccines, which could adversely impact our business and operations.</w:t>
      </w:r>
    </w:p>
    <w:p>
      <w:pPr>
        <w:spacing w:after="0" w:line="18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United States and in foreign countries. Our current and potential future competitors may also have significantly more experience commercializing drugs, particularly monoclonal antibodies and other biological products, that have been approved for marketing. Mergers and acquisitions in the pharmaceutical and biotechnology industries could result in even more resources being concentrated among a small number of our competitors.</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will face competition from other drugs or from other non-drug products currently approved or that will be approved in the future for the treatment of diseases we intend to target. Therefore, our ability to compete successfully will depend largely on our ability to:</w:t>
      </w:r>
    </w:p>
    <w:p>
      <w:pPr>
        <w:spacing w:after="0" w:line="76"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 and commercialize drugs that are differentiated from products in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placement in COVID-19 treatment and prevention guidelines from organizations such as the CDC, WHO and the Infectious Diseases Society of America, or IDSA, and equivalent European guidelines;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medicines.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monoclonal antibodies by other companies could impact the anticipated reimbursement structure of our monoclonal antibodies, if approved, and our business, financial condition, results of operations and prospects.</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Government entities, such as the Centers for Disease Control and Prevention, or CDC, the WHO and non-government professional societies, such as the IDSA and the European Society of Clinical Microbiology and Infectious Diseases, or ESCMID, may produce treatment and/or prevention guidelines for COVID-19, including the use of monoclonal antibodies for these indications. If ADG20 fails to be added to these guidelines, or if it receives poor positioning within those guidelines, payors and other customers may be less inclined to add ADG20 to their formularies, significantly reducing demand for ADG20, if approved.</w:t>
      </w:r>
    </w:p>
    <w:p>
      <w:pPr>
        <w:spacing w:after="0" w:line="188"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Any product candidates for which we intend to seek approval as biologic products may face biosimilar competition sooner than anticipated.</w:t>
      </w:r>
    </w:p>
    <w:p>
      <w:pPr>
        <w:spacing w:after="0" w:line="15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If we are successful in achieving regulatory approval to commercialize any biologic product candidate that we develop, it may face competition from biosimilar products. In the United States, our product candidates are regulated by the FDA as biologic products subject to approval under the BLA pathway. 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186"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9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6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believe our success depends on obtaining and maintaining coverage and adequate reimbursement for our product candidates, including ADG20 for the treatment and prevention of COVID-19,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6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IDSA and ESCMID, may produce treatment and/or prevention guidelines for the treatment and prevention of COVID-19, including guidance regarding the use of monoclonal antibodies in these indications. If ADG20 fails to be added to these guidelines, or if it receives poor positioning within these guidelines, payors and other customers may be less inclined to add ADG20 to their formularies, significantly reducing demand for ADG20, if approved.</w:t>
      </w:r>
    </w:p>
    <w:p>
      <w:pPr>
        <w:spacing w:after="0" w:line="19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There can be no assurance that ADG20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79"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7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or our CDMO’s, CROs’, manufacturers’ contractors’, consultants’ or collaborators’ cybersecurity.</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among other things, computer viruses, malware, natural disasters, terrorism, war, telecommunication and electrical failures, system malfunctions, cyberattacks or cyber-intrusions over the Internet, attachments to emails, phishing attacks,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w:t>
      </w:r>
    </w:p>
    <w:p>
      <w:pPr>
        <w:spacing w:after="0" w:line="182"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We cannot ensure that our data protection efforts and our investment in information technology, or the efforts or investments of CDMOs,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16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To the extent that any disruption or security breach was to result in a loss of or damage to our data or applications, or inappropriate disclosure of confidential or proprietary information or personal data, we could incur material legal claims and liability and damage to our reputation,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192"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or dissemination of, our data, including personal data, or other information that is processed or maintained on our behalf, we could be exposed to litigation and governmental investigations and inquiries, the further development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and commercialization of our product candidates could be delayed and we could be subject to significant fines or penalties for any noncompliance with applicable state, federal and foreign privacy and security laws, rules, regulations and standards.</w:t>
      </w:r>
    </w:p>
    <w:p>
      <w:pPr>
        <w:spacing w:after="0" w:line="278"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6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or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Europe, the General Data Protection Regulation, or the GDPR, took effect in May 2018. The GDPR governs the collection, use, disclosure, transfer or other processing of personal data of individuals within the European Economic Area, or the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requires changes to informed consent practices, as well as more detailed notices for clinical trial subjects and investigators.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the use of standard contractual clauses, which could increase our costs and our ability to efficiently process personal data from the EEA. The GDPR imposes substantial fines for breaches and violations (up to the greater of €20 million or 4% of our consolidated annual worldwide gross revenue), and confers a private right of action on data subjects and consumer associations to lodge complaints with supervisory authorities, seek judicial remedies and obtain compensation for damages resulting from violations of the GDPR.</w:t>
      </w:r>
    </w:p>
    <w:p>
      <w:pPr>
        <w:spacing w:after="0" w:line="17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On January 1, 2021, the United Kingdom became a third country for purposes of the GDPR. The relationship between the United Kingdom and the European Union in relation to certain aspects of data protection law remains unclear, for example with respect to how data can lawfully be transferred between each jurisdiction, which exposes us to further compliance risk. Pursuant to the EU-UK Trade and Cooperation Agreement of December 24, 2020, transfers of personal data from the European Union to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United Kingdom may continue to take place without a need for additional safeguards during a further transition period, which expires on the earlier of</w:t>
      </w:r>
    </w:p>
    <w:p>
      <w:pPr>
        <w:spacing w:after="0" w:line="46" w:lineRule="exact"/>
        <w:rPr>
          <w:sz w:val="20"/>
          <w:szCs w:val="20"/>
          <w:color w:val="auto"/>
        </w:rPr>
      </w:pPr>
    </w:p>
    <w:p>
      <w:pPr>
        <w:jc w:val="both"/>
        <w:ind w:left="120" w:right="20" w:hanging="4"/>
        <w:spacing w:after="0" w:line="270" w:lineRule="auto"/>
        <w:tabs>
          <w:tab w:leader="none" w:pos="3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date on which an adequacy decision with respect to the United Kingdom is adopted by the European Commission; or (ii) the expiry of four months, which shall be extended by a further two months unless either the European Union or the United Kingdom objects. On February 19, 2021 the European Commission published its draft decision finding the United Kingdom to be adequate under the GDPR, though it remains unclear whether the European Commission will formally adopt an adequacy decision with respect to the United Kingdom. In the absence of such decision, after the expiry of the additional transition period we may need to put in place additional safeguards for transfers of personal data from the European Union to the United Kingdom, such as standard contractual clauses approved by the European Commission.</w:t>
      </w:r>
    </w:p>
    <w:p>
      <w:pPr>
        <w:spacing w:after="0" w:line="17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Further, the California Privacy Rights Act, or the CPRA, recently passed in California and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proposed in other states and at the federal level and, if passed, such laws may have potentially conflicting requirements that would make compliance challenging.</w:t>
      </w:r>
    </w:p>
    <w:p>
      <w:pPr>
        <w:spacing w:after="0" w:line="17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With the GDPR, CCPA, CPRA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p>
    <w:p>
      <w:pPr>
        <w:spacing w:after="0" w:line="273"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66"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left="560" w:right="160"/>
        <w:spacing w:after="0" w:line="301" w:lineRule="auto"/>
        <w:rPr>
          <w:sz w:val="20"/>
          <w:szCs w:val="20"/>
          <w:color w:val="auto"/>
        </w:rPr>
      </w:pPr>
      <w:r>
        <w:rPr>
          <w:rFonts w:ascii="Arial" w:cs="Arial" w:eastAsia="Arial" w:hAnsi="Arial"/>
          <w:sz w:val="16"/>
          <w:szCs w:val="16"/>
          <w:b w:val="1"/>
          <w:bCs w:val="1"/>
          <w:i w:val="1"/>
          <w:i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4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have engaged CROs and other third parties to conduct our planned preclinical studies or clinical trials, including our ongoing clinical trials of ADG20,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p>
    <w:p>
      <w:pPr>
        <w:spacing w:after="0" w:line="16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82"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24"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ADG20 or any other product candidates.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92" w:lineRule="exact"/>
        <w:rPr>
          <w:sz w:val="20"/>
          <w:szCs w:val="20"/>
          <w:color w:val="auto"/>
        </w:rPr>
      </w:pPr>
    </w:p>
    <w:p>
      <w:pPr>
        <w:ind w:left="560" w:right="100"/>
        <w:spacing w:after="0" w:line="308" w:lineRule="auto"/>
        <w:rPr>
          <w:sz w:val="20"/>
          <w:szCs w:val="20"/>
          <w:color w:val="auto"/>
        </w:rPr>
      </w:pPr>
      <w:r>
        <w:rPr>
          <w:rFonts w:ascii="Arial" w:cs="Arial" w:eastAsia="Arial" w:hAnsi="Arial"/>
          <w:sz w:val="17"/>
          <w:szCs w:val="17"/>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3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31"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4"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30"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75"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41"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United States and in other countries with respect to our proprietary technology and product candidates. The risks associated with patent rights generally apply to patent rights that we in-license now or in the future, as well as patent rights that we may own now or in the future. Although we own a number of pending patent applications that have not yet issued as patents, we do not own or license any issued patents with claims directed to our product candidates, including ADG20, and we may not be successful in prosecuting our filed patent applications. Accordingly, there can be no assurance that we will be able to obtain patent protection for any of our product candidates, including ADG20. Our pending Patent Cooperation Treaty, or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United States Patent and Trademark Office, or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We cannot offer any assurances about which of our patent applications will issue,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179"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courts or patent offices in the United States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19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165"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p>
    <w:p>
      <w:pPr>
        <w:spacing w:after="0" w:line="181"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w:t>
      </w:r>
    </w:p>
    <w:p>
      <w:pPr>
        <w:spacing w:after="0" w:line="16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18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Monitoring unauthorized uses and disclosures is difficult, and we do not know whether the steps we have taken to protect our proprietary technologies will be effective.</w:t>
      </w:r>
    </w:p>
    <w:p>
      <w:pPr>
        <w:spacing w:after="0" w:line="170"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7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284" w:lineRule="exact"/>
        <w:rPr>
          <w:sz w:val="20"/>
          <w:szCs w:val="20"/>
          <w:color w:val="auto"/>
        </w:rPr>
      </w:pPr>
    </w:p>
    <w:p>
      <w:pPr>
        <w:ind w:left="560" w:right="40"/>
        <w:spacing w:after="0" w:line="375" w:lineRule="auto"/>
        <w:rPr>
          <w:sz w:val="20"/>
          <w:szCs w:val="20"/>
          <w:color w:val="auto"/>
        </w:rPr>
      </w:pPr>
      <w:r>
        <w:rPr>
          <w:rFonts w:ascii="Arial" w:cs="Arial" w:eastAsia="Arial" w:hAnsi="Arial"/>
          <w:sz w:val="15"/>
          <w:szCs w:val="15"/>
          <w:b w:val="1"/>
          <w:bCs w:val="1"/>
          <w:i w:val="1"/>
          <w:iCs w:val="1"/>
          <w:color w:val="auto"/>
        </w:rPr>
        <w:t>We are a party to an assignment and license agreement with Adimab, pursuant to which we are obligated to make payments upon achievement of milestone events and royalties. If this agreement is terminated, our business and prospects will be materially and adversely affected.</w:t>
      </w:r>
    </w:p>
    <w:p>
      <w:pPr>
        <w:spacing w:after="0" w:line="1"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are party to an assignment and license agreement, or the Adimab Assignment Agreement, with Adimab, LLC, or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grants us a non-exclusive, worldwide, sublicensable license under Adimab’s antibody discovery and optimization platform technology to research, develop, make, use, and sell coronavirus antibodies and products 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 Our business is reliant upon the intellectual property rights assigned and licensed to us under the Adimab Assignment Agreement. If we materially breach the Adimab Assignment Agreement, our license under the Adimab Assignment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is terminated as a result of our breach or otherwise, our business and prospects will be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materially and adversely affected. For more information on the Adimab Assignment Agreement, see the section titled “Business—Licensing, Collaborations and Partnerships—Assignment and License Agreement with Adimab.” For more information regarding our relationship with Adimab, see the section titled “Certain Relationships and Related Party Transactions.”</w:t>
      </w:r>
    </w:p>
    <w:p>
      <w:pPr>
        <w:spacing w:after="0" w:line="292" w:lineRule="exact"/>
        <w:rPr>
          <w:sz w:val="20"/>
          <w:szCs w:val="20"/>
          <w:color w:val="auto"/>
        </w:rPr>
      </w:pPr>
    </w:p>
    <w:p>
      <w:pPr>
        <w:ind w:left="560" w:right="240"/>
        <w:spacing w:after="0" w:line="259"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and future collaborations and licenses could subject us to a number of risks, including:</w:t>
      </w:r>
    </w:p>
    <w:p>
      <w:pPr>
        <w:spacing w:after="0" w:line="131"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jc w:val="both"/>
        <w:ind w:left="1080" w:right="20" w:hanging="532"/>
        <w:spacing w:after="0" w:line="25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stockholders’ percentage ownership of our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jc w:val="both"/>
        <w:ind w:left="1080" w:hanging="532"/>
        <w:spacing w:after="0" w:line="25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strategic collaborators may select indications or design clinical trials in a way that may be less successful than if we were doing so;</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 from these products;</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18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15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284"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6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and factual issues. Changes in either patent laws or interpretations of patent laws in the United States and other countries may diminish the value of our intellectual property or narrow the scope of our patent protection.</w:t>
      </w:r>
    </w:p>
    <w:p>
      <w:pPr>
        <w:spacing w:after="0" w:line="170"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auto"/>
        </w:rPr>
        <w:t xml:space="preserve">For example, on September 16, 2011, the Leahy-Smith America Invents Act, or the Leahy-Smith Act, was signed into law. The Leahy-Smith Act included a number of significant changes to United States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derivation proceedings. Finally, the Leahy-Smith Act contained new statutory provisions that require the USPTO to issue new</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9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74"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7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licensed or future owned patents at risk of being invalidated, held unenforceable or interpreted narrowly, and could put any of our owned or licensed patent applications at risk of not yielding an issued patent.</w:t>
      </w:r>
    </w:p>
    <w:p>
      <w:pPr>
        <w:spacing w:after="0" w:line="170"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 xml:space="preserve">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equivalent proceedings in foreign jurisdictions (for example, opposition proceedings, nullity proceedings or litigation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An unfavorable outcome could result in the loss of our exclusive rights in our technology,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United States.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174"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WuXi has provided only high-level information to us identifying the general nature of the licensed control elements in the expression vector used in the production cell line starting material for ADG20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ADG20, and a third party may claim that our development or commercialization of ADG20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ADG20, which may not be feasible on a technical or commercial basis in a timely manner, and we may have to delay or abandon development of ADG20, which could have a material adverse effect on our business.</w:t>
      </w:r>
    </w:p>
    <w:p>
      <w:pPr>
        <w:spacing w:after="0" w:line="179"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272"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62" w:lineRule="exact"/>
        <w:rPr>
          <w:sz w:val="20"/>
          <w:szCs w:val="20"/>
          <w:color w:val="auto"/>
        </w:rPr>
      </w:pPr>
    </w:p>
    <w:p>
      <w:pPr>
        <w:jc w:val="both"/>
        <w:ind w:left="120" w:right="20" w:firstLine="440"/>
        <w:spacing w:after="0" w:line="268"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misappropriating or otherwise violating the patents and proprietary rights of third parties. As our current and future product candidates progress toward commercialization, the possibility of a patent infringement claim against us increases. There is a substantial amount of litigation involving patents and other intellectual property rights in the biotechnology and pharmaceutical industries, including patent infringement lawsuits, interferences, derivation proceedings, post grant reviews,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or other intellectual property rights.</w:t>
      </w:r>
    </w:p>
    <w:p>
      <w:pPr>
        <w:spacing w:after="0" w:line="18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 xml:space="preserve">We cannot provide any assurance that our current and future product candidates do not infringe, misappropriate or otherwise violate other parties’ patents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current and future product candidates, including oppositions, interference proceedings, reexaminations,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derivation proceedings before the USPTO in the United States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ADG20 or any future product candidates. In order to successfully challenge the validity of any United States patents asserted against us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17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7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300"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future patents and other intellectual property.</w:t>
      </w:r>
    </w:p>
    <w:p>
      <w:pPr>
        <w:spacing w:after="0" w:line="12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9"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6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290"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technologies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w:t>
      </w:r>
    </w:p>
    <w:p>
      <w:pPr>
        <w:spacing w:after="0" w:line="18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5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In addition,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19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7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otherwise violated, or successfully challenged, resulting in harm to our business.</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We expect to rely on trademarks as one means to distinguish our product candidates, if approved for marketing, from the drugs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2" w:lineRule="exact"/>
        <w:rPr>
          <w:sz w:val="20"/>
          <w:szCs w:val="20"/>
          <w:color w:val="auto"/>
        </w:rPr>
      </w:pPr>
    </w:p>
    <w:p>
      <w:pPr>
        <w:ind w:left="1080" w:right="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or otherwise competitive with our product candidates but that are not covered by the claims of any of our patents, should they issue;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in-license necessary for the manufacture, use, sale, offer for sale or importation of one or more of our product candidates may be terminated by the licensor;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collaborators might not have been the first to make the inventions covered by our future issued patents or our pending patent applications;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collaborators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issued patents that we own or in-license may be held invalid or unenforceable as a result of legal challenges by our competitors;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coverage for all aspects of our product candidates in all countries;</w:t>
      </w:r>
    </w:p>
    <w:p>
      <w:pPr>
        <w:spacing w:after="0" w:line="130"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121"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7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97" w:lineRule="exact"/>
        <w:rPr>
          <w:sz w:val="20"/>
          <w:szCs w:val="20"/>
          <w:color w:val="auto"/>
        </w:rPr>
      </w:pPr>
    </w:p>
    <w:p>
      <w:pPr>
        <w:jc w:val="both"/>
        <w:ind w:left="1080" w:hanging="532"/>
        <w:spacing w:after="0" w:line="25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76" w:lineRule="exact"/>
        <w:rPr>
          <w:sz w:val="20"/>
          <w:szCs w:val="20"/>
          <w:color w:val="auto"/>
        </w:rPr>
      </w:pPr>
    </w:p>
    <w:p>
      <w:pPr>
        <w:jc w:val="both"/>
        <w:ind w:left="1080" w:hanging="532"/>
        <w:spacing w:after="0" w:line="287"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77"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Effective January 1, 2022, these reporting obligations will extend to include transfers of value made during the previous year to physician assistants, nurse practitioners, clinical nurse specialists, anesthesiologist assistants, certified registered nurse anesthetists and certified nurse midwives; and</w:t>
      </w:r>
    </w:p>
    <w:p>
      <w:pPr>
        <w:spacing w:after="0" w:line="71" w:lineRule="exact"/>
        <w:rPr>
          <w:rFonts w:ascii="Arial" w:cs="Arial" w:eastAsia="Arial" w:hAnsi="Arial"/>
          <w:sz w:val="16"/>
          <w:szCs w:val="16"/>
          <w:color w:val="auto"/>
        </w:rPr>
      </w:pPr>
    </w:p>
    <w:p>
      <w:pPr>
        <w:jc w:val="both"/>
        <w:ind w:left="1080" w:hanging="532"/>
        <w:spacing w:after="0" w:line="275"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303"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ADG20 or any future product candidates, they will remain subject to ongoing regulatory oversight, which may result in significant additional expense.</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Even if we obtain any regulatory approval for ADG20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ADG20 or any future product candidates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7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we fail to comply with applicable regulatory requirements following approval of ADG20 or any future product candidates, a regulatory authority may:</w:t>
      </w:r>
    </w:p>
    <w:p>
      <w:pPr>
        <w:spacing w:after="0" w:line="76"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 the marketing or manufacturing of the drug;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seize or detain the drug or otherwise require the withdrawal of the drug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 product candidates;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ADG20 or any future product candidates and harm our business, financial condition, results of operations and prospects.</w:t>
      </w:r>
    </w:p>
    <w:p>
      <w:pPr>
        <w:spacing w:after="0" w:line="292" w:lineRule="exact"/>
        <w:rPr>
          <w:sz w:val="20"/>
          <w:szCs w:val="20"/>
          <w:color w:val="auto"/>
        </w:rPr>
      </w:pPr>
    </w:p>
    <w:p>
      <w:pPr>
        <w:jc w:val="both"/>
        <w:ind w:left="560" w:right="640"/>
        <w:spacing w:after="0" w:line="375" w:lineRule="auto"/>
        <w:rPr>
          <w:sz w:val="20"/>
          <w:szCs w:val="20"/>
          <w:color w:val="auto"/>
        </w:rPr>
      </w:pPr>
      <w:r>
        <w:rPr>
          <w:rFonts w:ascii="Arial" w:cs="Arial" w:eastAsia="Arial" w:hAnsi="Arial"/>
          <w:sz w:val="15"/>
          <w:szCs w:val="15"/>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Healthcare legislative or regulatory reform measures may have a negative impact on our business and results of operations.</w:t>
      </w:r>
    </w:p>
    <w:p>
      <w:pPr>
        <w:spacing w:after="0" w:line="1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United States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17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judge for the United States District Court for the Northern District of Texas ruled that the ACA is unconstitutional in its entirety because the “individual mandate” was repealed by Congress as part of the Tax Act. Additionally, on December 18, 2019, the United States Court of Appeals for the Fifth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On February 10, 2021, the Biden administration withdrew the federal government’s support for overturning the ACA. Although the U.S. Supreme Court has not yet ruled on the constitutionality of the ACA,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or our business.</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However, COVID-19 relief legislation suspended the 2% Medicare sequester from May 1, 2020 through December 31, 2021.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which could have an adverse effect on customers for our product candidates, if approved, and, accordingly, our financial operations.</w:t>
      </w:r>
    </w:p>
    <w:p>
      <w:pPr>
        <w:spacing w:after="0" w:line="18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was also delayed pending review by the Biden administration until January 1, 2023.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On December 28, 2020, the United States District Court for the Northern District of California issued a nationwide preliminary injunction against implementation of the interim final rule. The likelihood of implementation of any of the other Trump administration reform initiatives is uncertain, particularly in light of the recent U.S. presidential election.</w:t>
      </w:r>
    </w:p>
    <w:p>
      <w:pPr>
        <w:spacing w:after="0" w:line="17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addition, FDA regulations and guidance may be revised or reinterpreted by the FDA in ways that may significantly affect our business and our products. For example, the results of the 2020 U.S. Presidential election may impact our business and industry.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requirements will be interpreted and implemented, or whether they will be rescinded and replaced under the Biden administration. The policies and priorities of the new administration are unknown and could materially impact the regulations governing our product candidates. Any new regulations or guidance, or revisions or reinterpretations of existing regulations or guidance, may impose additional costs or lengthen FDA review times for ADG20 or any future product candidates. We cannot determine how changes in regulations, statutes, policies or interpretations when and if issued, enacted or adopted, may affect our business in the future. Such changes could, among other things, require:</w:t>
      </w:r>
    </w:p>
    <w:p>
      <w:pPr>
        <w:spacing w:after="0" w:line="9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recalls, replacements or discontinuance of one or more of our products, if approved;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ADG20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7"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b w:val="1"/>
          <w:bCs w:val="1"/>
          <w:i w:val="1"/>
          <w:iCs w:val="1"/>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76"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Tillman U. Gerngross, Ph.D., our co-founder, Chief Executive Officer and a member of our board of directors, is a co-founder, the currently serving Chief Executive Officer and a member of the board of directors of Adimab, and also serves as an officer and/or Chairman of three additional private companies, Venture Partner at one additional private company and Chairman of one public company. Laura Walker, Ph.D., our co-founder and Chief Scientific Officer, serves as Senior Director of Antibody Sciences at Adimab. Philip Chase, a member of our board of directors, serves as General Counsel and as a director of Adimab and Terrance McGuire and Ajay Royan, members of our board of directors, serve as directors of Adimab. As a result, these directors and executive officers may not be able to devote their full time and attention to our company, which could impede the achievement of our research, development and commercialization objectives and seriously harm our ability to successfully implement our business strategy. Since joining us, all of our executive officers have each spent a significant portion of their time devoted to us. While none of the executives has a minimum time commitment to us, each retains flexibility to ensure that he or she can re-allocate his or her time based on the needs of each business. These executives’ time-allocation strategies may change over time based on the needs of each business or the executives’ individual incentives to provide services to us relative to other businesses. In addition, certain of these individuals own equity interests in Adimab, which represent a significant portion of these individuals’ net worth. These individuals’ respective positions at Adimab and the ownership of any Adimab equity or equity awards creates, or may create the appearance of, conflicts of interest, including when these individuals make decisions that could have different implications for Adimab than for us.</w:t>
      </w:r>
    </w:p>
    <w:p>
      <w:pPr>
        <w:spacing w:after="0" w:line="292"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executive officers, directors, five percent stockholders and their affiliates beneficially own approximately 81.3% of our voting stock as of June 28, 2021. Therefore, these stockholders, and in particular,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largest stockholder, Adimab, will have the ability to influence us through their ownership positions. These stockholders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265"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6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Adimab is currently our largest stockholder and beneficially owns approximately 30.8% of the voting power of our outstanding common stock as of June 28, 2021 on an as-converted basis.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16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Furthermore, certain of our directors and officers may have actual or potential conflicts of interest with us because of their positions or affiliations with Adimab or their equity ownership in Adimab. Tillman Gerngross, co-founder and Chief Executive Officer and member of the board of directors of Adimab, Laura Walker, Senior Director of Antibody Sciences at Adimab, Philip Chase, General Counsel a member of the board of directors of Adimab, and Terrance McGuire and Ajay Royan, members of the board of directors of Adimab, serve as our executive officers and/or on our board of directors and retain their positions and affiliations with Adimab. Our other stockholders may not have visibility into the Adimab ownership positions or other affiliations of any of our directors or officers with Adimab or its affiliates, which may change at any time through acquisition, disposition, dilution or otherwise. Any change in our directors’ or officers’ ownership in or positions with Adimab or its affiliates could impact the interests of those holders.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 and will be able to strongly influence our other decisions.</w:t>
      </w:r>
    </w:p>
    <w:p>
      <w:pPr>
        <w:spacing w:after="0" w:line="290" w:lineRule="exact"/>
        <w:rPr>
          <w:sz w:val="20"/>
          <w:szCs w:val="20"/>
          <w:color w:val="auto"/>
        </w:rPr>
      </w:pPr>
    </w:p>
    <w:p>
      <w:pPr>
        <w:ind w:left="560" w:right="720"/>
        <w:spacing w:after="0" w:line="375" w:lineRule="auto"/>
        <w:rPr>
          <w:sz w:val="20"/>
          <w:szCs w:val="20"/>
          <w:color w:val="auto"/>
        </w:rPr>
      </w:pPr>
      <w:r>
        <w:rPr>
          <w:rFonts w:ascii="Arial" w:cs="Arial" w:eastAsia="Arial" w:hAnsi="Arial"/>
          <w:sz w:val="15"/>
          <w:szCs w:val="15"/>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As of May 1, 2021, we had 51 employees. As our development progresses, we expect to experience significant growth in the number of our employees and the scope of our operations, particularly in the areas of clinical product development, regulatory affairs, manufacturing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8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1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Ownership of Our Common Stock and Our Status as a Public Company</w:t>
      </w:r>
    </w:p>
    <w:p>
      <w:pPr>
        <w:spacing w:after="0" w:line="121"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of our common stock at or above the initial offering price, if at all.</w:t>
      </w:r>
    </w:p>
    <w:p>
      <w:pPr>
        <w:spacing w:after="0" w:line="62"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for our common stock will be determined through negotiations with the underwriters and may not be indicative of the price at which our common stock will trade after the closing of this offering. Although we intend to apply to have our common stock approved for listing on The Nasdaq Global Market, an active trading market for our shares may never develop or be sustained following this offering. If an active market for our common stock does not develop or is not sustained, it may be difficult for you to sell shares you purchased in this offering at an attractive price or at all.</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The trading price of the shares of our common stock may be volatile, and purchasers of our common stock could incur substantial losses.</w:t>
      </w:r>
    </w:p>
    <w:p>
      <w:pPr>
        <w:spacing w:after="0" w:line="14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92" w:lineRule="exact"/>
        <w:rPr>
          <w:sz w:val="20"/>
          <w:szCs w:val="20"/>
          <w:color w:val="auto"/>
        </w:rPr>
      </w:pPr>
    </w:p>
    <w:p>
      <w:pPr>
        <w:ind w:left="1080" w:right="2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progress and results of our ongoing clinical trials of ADG20 or the commencement, enrollment or results of any future clinical trials we may conduct, or changes in the development status of our product candidates;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delay in our regulatory filings for ADG20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delays in or termination of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ADG20 or any other product candidate;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financial estimates by us or by any equity research analysts who might cover our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announcements by our competitors of new product candidates or technologies, or the results of clinical trials or regulatory decisions;</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relationships with our collaborators;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suffer immediate dilution of your investment.</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The initial public offering price of our common stock is substantially higher than the pro forma as adjusted net tangible book value per share of our common stock after this offering. Therefore, if you purchase shares of our common stock in this offering, you will pay a price per share that substantially exceeds our pro forma as adjusted net tangible book value per share after this offering. Based on an assumed initial public offering price of</w:t>
      </w:r>
    </w:p>
    <w:p>
      <w:pPr>
        <w:spacing w:after="0" w:line="2" w:lineRule="exact"/>
        <w:rPr>
          <w:sz w:val="20"/>
          <w:szCs w:val="20"/>
          <w:color w:val="auto"/>
        </w:rPr>
      </w:pPr>
    </w:p>
    <w:p>
      <w:pPr>
        <w:ind w:left="560" w:hanging="444"/>
        <w:spacing w:after="0"/>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per share, which is the midpoint of the estimated price range set forth on the cover page of this prospectus, you will experience immediate dilution</w:t>
      </w:r>
    </w:p>
    <w:p>
      <w:pPr>
        <w:spacing w:after="0" w:line="32" w:lineRule="exact"/>
        <w:rPr>
          <w:rFonts w:ascii="Arial" w:cs="Arial" w:eastAsia="Arial" w:hAnsi="Arial"/>
          <w:sz w:val="16"/>
          <w:szCs w:val="16"/>
          <w:color w:val="auto"/>
        </w:rPr>
      </w:pPr>
    </w:p>
    <w:p>
      <w:pPr>
        <w:ind w:left="120" w:right="20"/>
        <w:spacing w:after="0" w:line="260" w:lineRule="auto"/>
        <w:rPr>
          <w:rFonts w:ascii="Arial" w:cs="Arial" w:eastAsia="Arial" w:hAnsi="Arial"/>
          <w:sz w:val="16"/>
          <w:szCs w:val="16"/>
          <w:color w:val="auto"/>
        </w:rPr>
      </w:pPr>
      <w:r>
        <w:rPr>
          <w:rFonts w:ascii="Arial" w:cs="Arial" w:eastAsia="Arial" w:hAnsi="Arial"/>
          <w:sz w:val="18"/>
          <w:szCs w:val="18"/>
          <w:color w:val="auto"/>
        </w:rPr>
        <w:t>of $ per share, representing the difference between our pro forma as adjusted net tangible book value per share as of March 31, 2021, after giving effect to this offering, and the assumed initial public offering price.</w:t>
      </w:r>
    </w:p>
    <w:p>
      <w:pPr>
        <w:sectPr>
          <w:pgSz w:w="11900" w:h="16838" w:orient="portrait"/>
          <w:cols w:equalWidth="0" w:num="1">
            <w:col w:w="11140"/>
          </w:cols>
          <w:pgMar w:left="320" w:top="459" w:right="439" w:bottom="1440" w:gutter="0" w:footer="0" w:header="0"/>
        </w:sectPr>
      </w:pP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as of average exercise price of $ offering. See “Dilution.”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color w:val="auto"/>
        </w:rPr>
        <w:t>, 2021, we had outstanding stock options to purchase an aggregate of         shares of common stock at a weighted-per share. To the extent any of these outstanding options are exercised, there will be further dilution to investors in this</w:t>
      </w:r>
    </w:p>
    <w:p>
      <w:pPr>
        <w:spacing w:after="0" w:line="374" w:lineRule="exact"/>
        <w:rPr>
          <w:sz w:val="20"/>
          <w:szCs w:val="20"/>
          <w:color w:val="auto"/>
        </w:rPr>
      </w:pPr>
    </w:p>
    <w:p>
      <w:pPr>
        <w:sectPr>
          <w:pgSz w:w="11900" w:h="16838" w:orient="portrait"/>
          <w:cols w:equalWidth="0" w:num="2">
            <w:col w:w="2060" w:space="320"/>
            <w:col w:w="8760"/>
          </w:cols>
          <w:pgMar w:left="320" w:top="459" w:right="439" w:bottom="1440" w:gutter="0" w:footer="0" w:header="0"/>
          <w:type w:val="continuous"/>
        </w:sectPr>
      </w:pPr>
    </w:p>
    <w:p>
      <w:pPr>
        <w:spacing w:after="0" w:line="73" w:lineRule="exact"/>
        <w:rPr>
          <w:sz w:val="20"/>
          <w:szCs w:val="20"/>
          <w:color w:val="auto"/>
        </w:rPr>
      </w:pPr>
    </w:p>
    <w:p>
      <w:pPr>
        <w:jc w:val="both"/>
        <w:ind w:left="560" w:right="120"/>
        <w:spacing w:after="0" w:line="340" w:lineRule="auto"/>
        <w:rPr>
          <w:sz w:val="20"/>
          <w:szCs w:val="20"/>
          <w:color w:val="auto"/>
        </w:rPr>
      </w:pPr>
      <w:r>
        <w:rPr>
          <w:rFonts w:ascii="Arial" w:cs="Arial" w:eastAsia="Arial" w:hAnsi="Arial"/>
          <w:sz w:val="15"/>
          <w:szCs w:val="15"/>
          <w:b w:val="1"/>
          <w:bCs w:val="1"/>
          <w:i w:val="1"/>
          <w:iCs w:val="1"/>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3"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identified a material weakness in our internal control over financial reporting that existed as of March 31, 2021.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did not design and maintain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consolidated financial statements. Additionally, this material weakness could result in misstatements of the aforementioned account balances or disclosures that would result in a material misstatement of our annual or interim consolidated financial statements that would not be prevented or detected.</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order to remediate this material weakness, we intend to design and implement a control during interim periods related to the completeness and accuracy of the contract manufacturing accrual process.</w:t>
      </w:r>
    </w:p>
    <w:p>
      <w:pPr>
        <w:spacing w:after="0" w:line="170"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We cannot assure that the measures we have taken to date, and actions we may take in the future, will be sufficient to remediate the control deficiency that led to this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we identify any additional material weaknesses, the accuracy and timing of our financial reporting may be adversely affected, potentially resulting in restatements of our consolidated financial statements; we may be unable to maintain compliance with securities law requirements regarding timely filing of periodic reports and applicable Nasdaq listing requirements; investors may lose confidence in our financial reporting; and our stock price may decline as a result.</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0"/>
        <w:spacing w:after="0" w:line="308" w:lineRule="auto"/>
        <w:rPr>
          <w:sz w:val="20"/>
          <w:szCs w:val="20"/>
          <w:color w:val="auto"/>
        </w:rPr>
      </w:pPr>
      <w:r>
        <w:rPr>
          <w:rFonts w:ascii="Arial" w:cs="Arial" w:eastAsia="Arial" w:hAnsi="Arial"/>
          <w:sz w:val="17"/>
          <w:szCs w:val="17"/>
          <w:b w:val="1"/>
          <w:bCs w:val="1"/>
          <w:i w:val="1"/>
          <w:iCs w:val="1"/>
          <w:color w:val="auto"/>
        </w:rPr>
        <w:t>If we are unable to design and maintain effective internal control over financial reporting in the future, investors may lose confidence in the accuracy and completeness of our financial reports and the market price of our common stock may decline.</w:t>
      </w:r>
    </w:p>
    <w:p>
      <w:pPr>
        <w:spacing w:after="0" w:line="3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 over financial reporting for compliance with Section 404 of the Sarbanes-Oxley Act, which will require annual management assessment of the effectiveness of our internal control over financial reporting.</w:t>
      </w:r>
    </w:p>
    <w:p>
      <w:pPr>
        <w:spacing w:after="0" w:line="70"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Implementing any appropriate changes to our internal control over financial reporting may distract our officers and employees, entail substantial costs to modify our existing processes, and take significant time to complete. These changes may not, however, be effective in establishing and maintaining the adequacy of our internal controls, and any failure to maintain that adequacy, or consequent inability to produce accurate financial statements on a timely basis, could increase our operating costs and harm our business. If we fail to remediate our identified material weakness, or identify additional material weaknesses, in our internal control over financial reporting; if we are unable to comply with the requirements of Section 404 of the Sarbanes-Oxley Act in a timely manner; or if we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Securities and Exchange Commission, or SEC, or other regulatory authorities, which could require additional financial and management resources.</w:t>
      </w:r>
    </w:p>
    <w:p>
      <w:pPr>
        <w:spacing w:after="0" w:line="274"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 significant portion of our total outstanding shares are restricted from immediate resale but may be sold into the market in the near future.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This could cause the market price of our common stock to drop significantly, even if our business is doing well.</w:t>
      </w:r>
    </w:p>
    <w:p>
      <w:pPr>
        <w:spacing w:after="0" w:line="103"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84"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Upon the closing of this offering, we will have outstanding shares of common stock, after giving effect to the automatic conversion of our outstanding preferred stock into shares of our common stock, and assuming no exercise of outstanding options to purchase shares of our common stock. Of these shares, the shares sold in this offering will be freely tradable and substantially all of the additional shares of common</w:t>
      </w:r>
    </w:p>
    <w:p>
      <w:pPr>
        <w:jc w:val="both"/>
        <w:ind w:left="120"/>
        <w:spacing w:after="0" w:line="302" w:lineRule="auto"/>
        <w:rPr>
          <w:sz w:val="20"/>
          <w:szCs w:val="20"/>
          <w:color w:val="auto"/>
        </w:rPr>
      </w:pPr>
      <w:r>
        <w:rPr>
          <w:rFonts w:ascii="Arial" w:cs="Arial" w:eastAsia="Arial" w:hAnsi="Arial"/>
          <w:sz w:val="16"/>
          <w:szCs w:val="16"/>
          <w:color w:val="auto"/>
        </w:rPr>
        <w:t>stock will be available for sale in the public market beginning 180 days after the date of this prospectus following the expiration of lock-up agreements between some of our stockholders and the underwriters. Morgan Stanley &amp; Co. LLC and Jefferies LLC may release these stockholders from their lock-up agreements with the underwriters at any time and without notice, which would allow for earlier sales of shares in the public market.</w:t>
      </w: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promptly following the closing of this offering, we intend to file one or more registration statements on Form S-8 under the Securities</w:t>
      </w:r>
    </w:p>
    <w:p>
      <w:pPr>
        <w:spacing w:after="0" w:line="4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Act of 1933, as amended, or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93"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Additionally, after this offering, the holders of an aggregate of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65" w:lineRule="exact"/>
        <w:rPr>
          <w:sz w:val="20"/>
          <w:szCs w:val="20"/>
          <w:color w:val="auto"/>
        </w:rPr>
      </w:pPr>
    </w:p>
    <w:p>
      <w:pPr>
        <w:ind w:left="560" w:right="18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There are provisions in our certificate of incorporation and bylaws to be in effect upon the closing of this offering that may make it difficult for a third party to acquire, or attempt to acquire, control of our company, even if a change of control was considered favorable by you and other stockholders.</w:t>
      </w:r>
    </w:p>
    <w:p>
      <w:pPr>
        <w:jc w:val="both"/>
        <w:ind w:left="120" w:right="20"/>
        <w:spacing w:after="0" w:line="295" w:lineRule="auto"/>
        <w:rPr>
          <w:sz w:val="20"/>
          <w:szCs w:val="20"/>
          <w:color w:val="auto"/>
        </w:rPr>
      </w:pPr>
      <w:r>
        <w:rPr>
          <w:rFonts w:ascii="Arial" w:cs="Arial" w:eastAsia="Arial" w:hAnsi="Arial"/>
          <w:sz w:val="16"/>
          <w:szCs w:val="16"/>
          <w:color w:val="auto"/>
        </w:rPr>
        <w:t>For example, our board of directors will have the authority to issue up to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131"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will not be entitled to remove directors other than by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vote and only for cause;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will not be permitted to take actions by written consent;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4"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81.3% of our outstanding common stock as of June 28, 2021.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257"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00" w:lineRule="exact"/>
        <w:rPr>
          <w:sz w:val="20"/>
          <w:szCs w:val="20"/>
          <w:color w:val="auto"/>
        </w:rPr>
      </w:pPr>
    </w:p>
    <w:p>
      <w:pPr>
        <w:jc w:val="both"/>
        <w:ind w:left="1080" w:right="20" w:hanging="532"/>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exemption from compliance with the auditor attestation requirement in the assessment of our internal control over financial reporting;</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have taken advantage of the reduced reporting burdens in this prospectus. In particular, in this prospectus, we have provided only two years of audited financial statements and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303"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6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are a “smaller reporting company.” We are therefore entitled to rely on certain reduced disclosure requirements for as long as we remain a smaller reporting company, such as an exemption from providing selected financial data and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295"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and cash equivalents, to fund clinical development, manufacturing supply and initial commercialization costs for ADG20, and the remainder for working capital and other general corporate purposes, including development of additional programs in our pipeline. See “Use of Proceeds.” In addition, we may use a portion of the proceeds from this offering to pursue our strategy to in-license or acquire additional product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274"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95" w:lineRule="exact"/>
        <w:rPr>
          <w:sz w:val="20"/>
          <w:szCs w:val="20"/>
          <w:color w:val="auto"/>
        </w:rPr>
      </w:pPr>
    </w:p>
    <w:p>
      <w:pPr>
        <w:ind w:left="560" w:right="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76"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becoming a public company, which could lower our profits or make it more difficult to run our business.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the Nasdaq Stock Market.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8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In particular, pursuant to Section 404 of the Sarbanes-Oxley Act of 2002, or Section 404, in our second annual report on Form 10-K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incurred substantial losses since inception and do not expect to become profitable in the near future, if ever. To the extent that we continue to generate taxable losses, unused losses will carry forward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offset future taxable income, if any. As of December 31, 2020, we had U.S. federal net operating loss, or NOL, 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 million begin to expire in 2040. As of December 31, 2020, we also had U.S. federal and state research and development tax credit carryforwards of $0.1 million and $16,000, respectively, which may be available to reduce future tax liabilities and expire at various dates beginning in 2040 and 2035, respectively.</w:t>
      </w:r>
    </w:p>
    <w:p>
      <w:pPr>
        <w:spacing w:after="0" w:line="16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Under the Tax Act, as modified by the Coronavirus Aid, Relief and Economic Security Act, or the CARES Act, federal NOLs incurred in taxable years beginning after December 31, 2017 and in future taxable years may carry forward indefinitely, but the deductibility of such federal NOLs incurred in taxable years beginning after December 31, 2020 are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this offering, together with private placements and other transactions that have occurred since our inception, may trigger such an ownership change pursuant to Section 382. We have not conducted a study to assess whether any such ownership changes have occurred. We may experience ownership changes as a result of subsequent shifts in our stock ownership, some of which may be outside of our control. If an ownership change occurs and our ability to use our NOL carryforwards is materially limited, it would harm our financial condition and results of operations by effectively increasing our future tax obligations.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business activities will be subject to the Foreign Corrupt Practices Act, or FCPA, and similar anti-bribery and anti-corruption laws.</w:t>
      </w:r>
    </w:p>
    <w:p>
      <w:pPr>
        <w:spacing w:after="0" w:line="140"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2"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political disruption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“Business” and elsewhere in this prospectus. 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100" w:lineRule="exact"/>
        <w:rPr>
          <w:sz w:val="20"/>
          <w:szCs w:val="20"/>
          <w:color w:val="auto"/>
        </w:rPr>
      </w:pPr>
    </w:p>
    <w:p>
      <w:pPr>
        <w:jc w:val="both"/>
        <w:ind w:left="1080" w:right="20" w:hanging="532"/>
        <w:spacing w:after="0" w:line="286"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timing, progress and results of our preclinical studies and clinical trials of ADG20 and any future product candidates, including statements regarding the timing of our planned IND submissions, initiation and completion of studies or trials and related preparatory work, the period during which the results of the trials will become available and our research and development programs;</w:t>
      </w:r>
    </w:p>
    <w:p>
      <w:pPr>
        <w:spacing w:after="0" w:line="70"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and our ability to obtain and maintain regulatory approvals for, our current and future product candidates;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scalability and commercial viability of our manufacturing methods and processes;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ability to identify patients with the diseases treated by our product candidates and to enroll these patients in our clinical trials;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 for ADG20 or any other product candidate;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leverage our platform to identify and develop future product candidates;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 for or ability to obtain additional funding before we can expect to generate any revenue from product sales and the period over which we expect the net proceeds from this offering, together with our existing cash and cash equivalents, to be sufficient to fund our operations;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business disruptions affecting our preclinical studies or the initiation, patient enrollment, development and operation of our clinical trials, including a public health crisis, such as the outbreak of COVID-19.</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foregoing list of forward-looking statements is not exhaustive. You should refer to the “Risk Factors” section of this prospectus for a discussion of important factors that may cause our actual results to differ materially from those expressed or implied by our forward-looking statements. Other sections of this prospectus may include additional factors that could harm our business and financial performance. Moreover, we operate in an evolving environment. New risk factors and uncertainties may emerge from time to time, and it is not possible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the events and circumstances reflected in our forward-looking statements may not be achieved or occur and actual results could differ materially from those projected in the forward-looking statements.</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responsible for the disclosure contained in this prospectus. However, this prospectus contains industry, statistical and market data derived from our own internal estimates and research as well as from industry and general publications and research, surveys and studies conducted by third parties. The market and industry data used in this prospectus involve a number of assumptions and limitations, and any estimates underlying such market information and other factors, including those described in the section titled “Risk Factors,” could cause actual results to differ materially from those expressed in the third-party estimates and in our estimates.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534"/>
        </w:trPr>
        <w:tc>
          <w:tcPr>
            <w:tcW w:w="3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3920" w:type="dxa"/>
            <w:vAlign w:val="bottom"/>
            <w:gridSpan w:val="2"/>
          </w:tcPr>
          <w:p>
            <w:pPr>
              <w:jc w:val="center"/>
              <w:ind w:left="1870"/>
              <w:spacing w:after="0"/>
              <w:rPr>
                <w:sz w:val="20"/>
                <w:szCs w:val="20"/>
                <w:color w:val="auto"/>
              </w:rPr>
            </w:pPr>
            <w:r>
              <w:rPr>
                <w:rFonts w:ascii="Arial" w:cs="Arial" w:eastAsia="Arial" w:hAnsi="Arial"/>
                <w:sz w:val="18"/>
                <w:szCs w:val="18"/>
                <w:b w:val="1"/>
                <w:bCs w:val="1"/>
                <w:color w:val="auto"/>
                <w:w w:val="97"/>
              </w:rPr>
              <w:t>USE OF PROCEEDS</w:t>
            </w:r>
          </w:p>
        </w:tc>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8"/>
        </w:trPr>
        <w:tc>
          <w:tcPr>
            <w:tcW w:w="380" w:type="dxa"/>
            <w:vAlign w:val="bottom"/>
          </w:tcPr>
          <w:p>
            <w:pPr>
              <w:spacing w:after="0"/>
              <w:rPr>
                <w:sz w:val="24"/>
                <w:szCs w:val="24"/>
                <w:color w:val="auto"/>
              </w:rPr>
            </w:pPr>
          </w:p>
        </w:tc>
        <w:tc>
          <w:tcPr>
            <w:tcW w:w="5580" w:type="dxa"/>
            <w:vAlign w:val="bottom"/>
            <w:gridSpan w:val="3"/>
          </w:tcPr>
          <w:p>
            <w:pPr>
              <w:ind w:left="180"/>
              <w:spacing w:after="0"/>
              <w:rPr>
                <w:sz w:val="20"/>
                <w:szCs w:val="20"/>
                <w:color w:val="auto"/>
              </w:rPr>
            </w:pPr>
            <w:r>
              <w:rPr>
                <w:rFonts w:ascii="Arial" w:cs="Arial" w:eastAsia="Arial" w:hAnsi="Arial"/>
                <w:sz w:val="18"/>
                <w:szCs w:val="18"/>
                <w:color w:val="auto"/>
                <w:w w:val="96"/>
              </w:rPr>
              <w:t>We estimate that the net proceeds to us from our issuance and sale of</w:t>
            </w:r>
          </w:p>
        </w:tc>
        <w:tc>
          <w:tcPr>
            <w:tcW w:w="5180" w:type="dxa"/>
            <w:vAlign w:val="bottom"/>
            <w:gridSpan w:val="4"/>
          </w:tcPr>
          <w:p>
            <w:pPr>
              <w:jc w:val="right"/>
              <w:spacing w:after="0"/>
              <w:rPr>
                <w:sz w:val="20"/>
                <w:szCs w:val="20"/>
                <w:color w:val="auto"/>
              </w:rPr>
            </w:pPr>
            <w:r>
              <w:rPr>
                <w:rFonts w:ascii="Arial" w:cs="Arial" w:eastAsia="Arial" w:hAnsi="Arial"/>
                <w:sz w:val="18"/>
                <w:szCs w:val="18"/>
                <w:color w:val="auto"/>
              </w:rPr>
              <w:t>shares of our common stock in this offering will be approximately</w:t>
            </w:r>
          </w:p>
        </w:tc>
      </w:tr>
      <w:tr>
        <w:trPr>
          <w:trHeight w:val="216"/>
        </w:trPr>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w w:val="98"/>
              </w:rPr>
              <w:t>million (or approximately $</w:t>
            </w:r>
          </w:p>
        </w:tc>
        <w:tc>
          <w:tcPr>
            <w:tcW w:w="5880" w:type="dxa"/>
            <w:vAlign w:val="bottom"/>
            <w:gridSpan w:val="3"/>
          </w:tcPr>
          <w:p>
            <w:pPr>
              <w:jc w:val="center"/>
              <w:spacing w:after="0"/>
              <w:rPr>
                <w:sz w:val="20"/>
                <w:szCs w:val="20"/>
                <w:color w:val="auto"/>
              </w:rPr>
            </w:pPr>
            <w:r>
              <w:rPr>
                <w:rFonts w:ascii="Arial" w:cs="Arial" w:eastAsia="Arial" w:hAnsi="Arial"/>
                <w:sz w:val="18"/>
                <w:szCs w:val="18"/>
                <w:color w:val="auto"/>
                <w:w w:val="94"/>
              </w:rPr>
              <w:t>million if the underwriters exercise in full their option to purchase up to</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w w:val="99"/>
              </w:rPr>
              <w:t>additional shares), assuming an</w:t>
            </w:r>
          </w:p>
        </w:tc>
      </w:tr>
      <w:tr>
        <w:trPr>
          <w:trHeight w:val="216"/>
        </w:trPr>
        <w:tc>
          <w:tcPr>
            <w:tcW w:w="2680" w:type="dxa"/>
            <w:vAlign w:val="bottom"/>
            <w:gridSpan w:val="3"/>
          </w:tcPr>
          <w:p>
            <w:pPr>
              <w:ind w:left="120"/>
              <w:spacing w:after="0"/>
              <w:rPr>
                <w:sz w:val="20"/>
                <w:szCs w:val="20"/>
                <w:color w:val="auto"/>
              </w:rPr>
            </w:pPr>
            <w:r>
              <w:rPr>
                <w:rFonts w:ascii="Arial" w:cs="Arial" w:eastAsia="Arial" w:hAnsi="Arial"/>
                <w:sz w:val="18"/>
                <w:szCs w:val="18"/>
                <w:color w:val="auto"/>
              </w:rPr>
              <w:t>initial public offering price of $</w:t>
            </w:r>
          </w:p>
        </w:tc>
        <w:tc>
          <w:tcPr>
            <w:tcW w:w="8460" w:type="dxa"/>
            <w:vAlign w:val="bottom"/>
            <w:gridSpan w:val="5"/>
          </w:tcPr>
          <w:p>
            <w:pPr>
              <w:jc w:val="right"/>
              <w:spacing w:after="0"/>
              <w:rPr>
                <w:sz w:val="20"/>
                <w:szCs w:val="20"/>
                <w:color w:val="auto"/>
              </w:rPr>
            </w:pPr>
            <w:r>
              <w:rPr>
                <w:rFonts w:ascii="Arial" w:cs="Arial" w:eastAsia="Arial" w:hAnsi="Arial"/>
                <w:sz w:val="18"/>
                <w:szCs w:val="18"/>
                <w:color w:val="auto"/>
                <w:w w:val="90"/>
              </w:rPr>
              <w:t>per share, which is the midpoint of the estimated price range set forth on the cover page of this prospectus, and after</w:t>
            </w:r>
          </w:p>
        </w:tc>
      </w:tr>
      <w:tr>
        <w:trPr>
          <w:trHeight w:val="230"/>
        </w:trPr>
        <w:tc>
          <w:tcPr>
            <w:tcW w:w="8560" w:type="dxa"/>
            <w:vAlign w:val="bottom"/>
            <w:gridSpan w:val="6"/>
          </w:tcPr>
          <w:p>
            <w:pPr>
              <w:ind w:left="120"/>
              <w:spacing w:after="0"/>
              <w:rPr>
                <w:sz w:val="20"/>
                <w:szCs w:val="20"/>
                <w:color w:val="auto"/>
              </w:rPr>
            </w:pPr>
            <w:r>
              <w:rPr>
                <w:rFonts w:ascii="Arial" w:cs="Arial" w:eastAsia="Arial" w:hAnsi="Arial"/>
                <w:sz w:val="18"/>
                <w:szCs w:val="18"/>
                <w:color w:val="auto"/>
                <w:w w:val="96"/>
              </w:rPr>
              <w:t>deducting estimated underwriting discounts and commissions and estimated offering expenses payable by us.</w:t>
            </w:r>
          </w:p>
        </w:tc>
        <w:tc>
          <w:tcPr>
            <w:tcW w:w="7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8"/>
        </w:trPr>
        <w:tc>
          <w:tcPr>
            <w:tcW w:w="380" w:type="dxa"/>
            <w:vAlign w:val="bottom"/>
          </w:tcPr>
          <w:p>
            <w:pPr>
              <w:spacing w:after="0"/>
              <w:rPr>
                <w:sz w:val="24"/>
                <w:szCs w:val="24"/>
                <w:color w:val="auto"/>
              </w:rPr>
            </w:pPr>
          </w:p>
        </w:tc>
        <w:tc>
          <w:tcPr>
            <w:tcW w:w="6220" w:type="dxa"/>
            <w:vAlign w:val="bottom"/>
            <w:gridSpan w:val="4"/>
          </w:tcPr>
          <w:p>
            <w:pPr>
              <w:ind w:left="180"/>
              <w:spacing w:after="0"/>
              <w:rPr>
                <w:sz w:val="20"/>
                <w:szCs w:val="20"/>
                <w:color w:val="auto"/>
              </w:rPr>
            </w:pPr>
            <w:r>
              <w:rPr>
                <w:rFonts w:ascii="Arial" w:cs="Arial" w:eastAsia="Arial" w:hAnsi="Arial"/>
                <w:sz w:val="18"/>
                <w:szCs w:val="18"/>
                <w:color w:val="auto"/>
                <w:w w:val="95"/>
              </w:rPr>
              <w:t>Each $1.00 increase or decrease in the assumed initial public offering price of $</w:t>
            </w:r>
          </w:p>
        </w:tc>
        <w:tc>
          <w:tcPr>
            <w:tcW w:w="4540" w:type="dxa"/>
            <w:vAlign w:val="bottom"/>
            <w:gridSpan w:val="3"/>
          </w:tcPr>
          <w:p>
            <w:pPr>
              <w:jc w:val="right"/>
              <w:spacing w:after="0"/>
              <w:rPr>
                <w:sz w:val="20"/>
                <w:szCs w:val="20"/>
                <w:color w:val="auto"/>
              </w:rPr>
            </w:pPr>
            <w:r>
              <w:rPr>
                <w:rFonts w:ascii="Arial" w:cs="Arial" w:eastAsia="Arial" w:hAnsi="Arial"/>
                <w:sz w:val="18"/>
                <w:szCs w:val="18"/>
                <w:color w:val="auto"/>
                <w:w w:val="93"/>
              </w:rPr>
              <w:t>per share, which is the midpoint of the estimated price range</w:t>
            </w:r>
          </w:p>
        </w:tc>
      </w:tr>
      <w:tr>
        <w:trPr>
          <w:trHeight w:val="230"/>
        </w:trPr>
        <w:tc>
          <w:tcPr>
            <w:tcW w:w="9300" w:type="dxa"/>
            <w:vAlign w:val="bottom"/>
            <w:gridSpan w:val="7"/>
          </w:tcPr>
          <w:p>
            <w:pPr>
              <w:ind w:left="120"/>
              <w:spacing w:after="0"/>
              <w:rPr>
                <w:sz w:val="20"/>
                <w:szCs w:val="20"/>
                <w:color w:val="auto"/>
              </w:rPr>
            </w:pPr>
            <w:r>
              <w:rPr>
                <w:rFonts w:ascii="Arial" w:cs="Arial" w:eastAsia="Arial" w:hAnsi="Arial"/>
                <w:sz w:val="18"/>
                <w:szCs w:val="18"/>
                <w:color w:val="auto"/>
                <w:w w:val="96"/>
              </w:rPr>
              <w:t>set forth on the cover page of this prospectus, would increase or decrease the net proceeds to us from this offering by $</w:t>
            </w:r>
          </w:p>
        </w:tc>
        <w:tc>
          <w:tcPr>
            <w:tcW w:w="1840" w:type="dxa"/>
            <w:vAlign w:val="bottom"/>
          </w:tcPr>
          <w:p>
            <w:pPr>
              <w:jc w:val="right"/>
              <w:spacing w:after="0"/>
              <w:rPr>
                <w:sz w:val="20"/>
                <w:szCs w:val="20"/>
                <w:color w:val="auto"/>
              </w:rPr>
            </w:pPr>
            <w:r>
              <w:rPr>
                <w:rFonts w:ascii="Arial" w:cs="Arial" w:eastAsia="Arial" w:hAnsi="Arial"/>
                <w:sz w:val="18"/>
                <w:szCs w:val="18"/>
                <w:color w:val="auto"/>
              </w:rPr>
              <w:t>million, assuming the</w:t>
            </w:r>
          </w:p>
        </w:tc>
      </w:tr>
    </w:tbl>
    <w:p>
      <w:pPr>
        <w:jc w:val="both"/>
        <w:ind w:left="1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offered by us, as set forth on the cover page of this prospectus, remains the same and after deducting estimated underwriting discounts and commissions and estimated offering expenses payable by us. Each increase or decrease of 1,000,000 shares in the number of shares offered by us, as set forth on the cover page of this prospectus, would increase or decrease the net proceeds to us from this offering by $ million, assuming no change in the assumed initial public offering price per share and after deducting estimated underwriting discounts and commissions and estimated offering expenses payable by us. We do not expect that a change in the initial public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of March 31, 2021, we had cash and cash equivalents of $91.2 million. In April 2021, we received gross proceeds of $335.5 million from the issuance and sale of our Series C preferred stock. We intend to use the net proceeds from this offering, together with our existing cash and cash equivalents, as follows:</w:t>
      </w:r>
    </w:p>
    <w:p>
      <w:pPr>
        <w:spacing w:after="0" w:line="89" w:lineRule="exact"/>
        <w:rPr>
          <w:sz w:val="20"/>
          <w:szCs w:val="20"/>
          <w:color w:val="auto"/>
        </w:rPr>
      </w:pPr>
    </w:p>
    <w:p>
      <w:pPr>
        <w:ind w:left="540"/>
        <w:spacing w:after="0"/>
        <w:tabs>
          <w:tab w:leader="none" w:pos="1060" w:val="left"/>
          <w:tab w:leader="none" w:pos="2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to fund clinical development, manufacturing supply and initial commercialization costs for ADG20; and</w:t>
      </w:r>
    </w:p>
    <w:p>
      <w:pPr>
        <w:spacing w:after="0" w:line="131"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remainder for working capital and other general corporate purposes, including development of additional programs in our pipeline.</w:t>
      </w:r>
    </w:p>
    <w:p>
      <w:pPr>
        <w:spacing w:after="0" w:line="23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may also use a portion of the net proceeds from this offering to in-license, acquire or invest in complementary businesses, technologies, products or assets, although we have no current agreements, commitments or understandings to do so.</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believe that the net proceeds from this offering, together with our existing cash and cash equivalents, which includes the proceeds from the issuance and sale of our Series C preferred stock in April 2021, will enable us to fund our operating expenses and capital expenditure requirements</w:t>
      </w:r>
    </w:p>
    <w:p>
      <w:pPr>
        <w:ind w:left="120" w:right="20"/>
        <w:spacing w:after="0" w:line="255" w:lineRule="auto"/>
        <w:rPr>
          <w:sz w:val="20"/>
          <w:szCs w:val="20"/>
          <w:color w:val="auto"/>
        </w:rPr>
      </w:pPr>
      <w:r>
        <w:rPr>
          <w:rFonts w:ascii="Arial" w:cs="Arial" w:eastAsia="Arial" w:hAnsi="Arial"/>
          <w:sz w:val="18"/>
          <w:szCs w:val="18"/>
          <w:color w:val="auto"/>
        </w:rPr>
        <w:t>through . Based on our current operational plans and assumptions, we expect the net proceeds from this offering, together with our existing cash and cash equivalents, will be sufficient to . We have based this estimate on assumptions that may prove to be wrong, and we could exhaust our available capital resources sooner than we expect.</w:t>
      </w:r>
    </w:p>
    <w:p>
      <w:pPr>
        <w:spacing w:after="0" w:line="19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may vary significantly depending on numerous factors, including the progress of our development, the status of and results from preclinical studies or clinical trials we have ongoing or may commence in the future, any collaborations that we may enter into with third parties for our product candidates or strategic opportunities that become available to us, as well as any unforeseen cash needs.</w:t>
      </w:r>
    </w:p>
    <w:p>
      <w:pPr>
        <w:spacing w:after="0" w:line="195"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their use, we plan to invest the net proceeds from this offering in short-term, interest bearing obligations, investment-grade instruments, certificates of deposit or direct or guaranteed obligations of the United States.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46"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2021:</w:t>
      </w:r>
    </w:p>
    <w:p>
      <w:pPr>
        <w:spacing w:after="0" w:line="131"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jc w:val="both"/>
        <w:ind w:left="1080" w:right="20" w:hanging="532"/>
        <w:spacing w:after="0" w:line="279"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on a pro forma basis to give effect to (i) our issuance and sale in April 2021 of 4,296,550 shares of our Series C preferred stock for gross proceeds of $335.5 million, (ii) the automatic conversion of all outstanding shares of our preferred stock, including our Series C preferred stock, into an aggregate of 16,944,484 shares of common stock upon the closing of this offering and (iii) the filing and effectiveness of our amended and restated certificate of incorporation immediately prior to the completion of this offering; and</w:t>
      </w:r>
    </w:p>
    <w:p>
      <w:pPr>
        <w:sectPr>
          <w:pgSz w:w="11900" w:h="16838" w:orient="portrait"/>
          <w:cols w:equalWidth="0" w:num="1">
            <w:col w:w="11140"/>
          </w:cols>
          <w:pgMar w:left="320" w:top="459" w:right="439" w:bottom="1440" w:gutter="0" w:footer="0" w:header="0"/>
        </w:sectPr>
      </w:pP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 pro forma as adjusted basis to give further effect to our issuance and sale of shares of our common stock in this offering at an assumed initial public offering price of $ per share, which is the midpoint of the estimated price range set forth on the cover page of this prospectus, after deducting estimated underwriting discounts and commissions and estimated offering expenses payable by us.</w:t>
      </w:r>
    </w:p>
    <w:p>
      <w:pPr>
        <w:spacing w:after="0" w:line="165" w:lineRule="exact"/>
        <w:rPr>
          <w:sz w:val="20"/>
          <w:szCs w:val="20"/>
          <w:color w:val="auto"/>
        </w:rPr>
      </w:pPr>
    </w:p>
    <w:p>
      <w:pPr>
        <w:sectPr>
          <w:pgSz w:w="11900" w:h="16838" w:orient="portrait"/>
          <w:cols w:equalWidth="0" w:num="2">
            <w:col w:w="620" w:space="460"/>
            <w:col w:w="10060"/>
          </w:cols>
          <w:pgMar w:left="320" w:top="459" w:right="439" w:bottom="1440" w:gutter="0" w:footer="0" w:header="0"/>
          <w:type w:val="continuous"/>
        </w:sectPr>
      </w:pPr>
    </w:p>
    <w:p>
      <w:pPr>
        <w:jc w:val="both"/>
        <w:ind w:left="120" w:firstLine="440"/>
        <w:spacing w:after="0" w:line="263" w:lineRule="auto"/>
        <w:rPr>
          <w:sz w:val="20"/>
          <w:szCs w:val="20"/>
          <w:color w:val="auto"/>
        </w:rPr>
      </w:pPr>
      <w:r>
        <w:rPr>
          <w:rFonts w:ascii="Arial" w:cs="Arial" w:eastAsia="Arial" w:hAnsi="Arial"/>
          <w:sz w:val="18"/>
          <w:szCs w:val="18"/>
          <w:color w:val="auto"/>
        </w:rPr>
        <w:t>You should read the information in this table together with our consolidated financial statements and the related notes appearing at the end of this prospectus and the “Selected Consolidated Financial Data” and “Management’s Discussion and Analysis of Financial Condition and Results of Operations” sections of this prospectus.</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As of March 31, 2021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0"/>
                <w:szCs w:val="10"/>
                <w:color w:val="auto"/>
              </w:rPr>
            </w:pPr>
          </w:p>
        </w:tc>
        <w:tc>
          <w:tcPr>
            <w:tcW w:w="126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7"/>
              </w:rPr>
              <w:t>Pro Forma</w:t>
            </w:r>
          </w:p>
        </w:tc>
        <w:tc>
          <w:tcPr>
            <w:tcW w:w="7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0" w:type="dxa"/>
            <w:vAlign w:val="bottom"/>
            <w:tcBorders>
              <w:top w:val="single" w:sz="8" w:color="auto"/>
            </w:tcBorders>
            <w:gridSpan w:val="8"/>
          </w:tcPr>
          <w:p>
            <w:pPr>
              <w:jc w:val="center"/>
              <w:ind w:right="18"/>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share data)</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426,746</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60" w:type="dxa"/>
            <w:vAlign w:val="bottom"/>
            <w:gridSpan w:val="5"/>
          </w:tcPr>
          <w:p>
            <w:pPr>
              <w:spacing w:after="0"/>
              <w:rPr>
                <w:sz w:val="20"/>
                <w:szCs w:val="20"/>
                <w:color w:val="auto"/>
              </w:rPr>
            </w:pPr>
            <w:r>
              <w:rPr>
                <w:rFonts w:ascii="Arial" w:cs="Arial" w:eastAsia="Arial" w:hAnsi="Arial"/>
                <w:sz w:val="18"/>
                <w:szCs w:val="18"/>
                <w:color w:val="auto"/>
              </w:rPr>
              <w:t>Convertible preferred stock, $0.0001 par value; 12,647,934 shares authorized, issued and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60" w:type="dxa"/>
            <w:vAlign w:val="bottom"/>
            <w:gridSpan w:val="5"/>
          </w:tcPr>
          <w:p>
            <w:pPr>
              <w:ind w:left="180"/>
              <w:spacing w:after="0"/>
              <w:rPr>
                <w:sz w:val="20"/>
                <w:szCs w:val="20"/>
                <w:color w:val="auto"/>
              </w:rPr>
            </w:pPr>
            <w:r>
              <w:rPr>
                <w:rFonts w:ascii="Arial" w:cs="Arial" w:eastAsia="Arial" w:hAnsi="Arial"/>
                <w:sz w:val="18"/>
                <w:szCs w:val="18"/>
                <w:color w:val="auto"/>
              </w:rPr>
              <w:t>outstanding, actual; no shares authorized, issued or outstanding, pro forma and pro forma as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Arial" w:cs="Arial" w:eastAsia="Arial" w:hAnsi="Arial"/>
                <w:sz w:val="18"/>
                <w:szCs w:val="18"/>
                <w:color w:val="auto"/>
              </w:rPr>
              <w:t>adjusted</w:t>
            </w:r>
          </w:p>
        </w:tc>
        <w:tc>
          <w:tcPr>
            <w:tcW w:w="2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169,548</w:t>
            </w:r>
          </w:p>
        </w:tc>
        <w:tc>
          <w:tcPr>
            <w:tcW w:w="1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6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or outstanding, actual;</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gridSpan w:val="5"/>
          </w:tcPr>
          <w:p>
            <w:pPr>
              <w:jc w:val="right"/>
              <w:ind w:right="670"/>
              <w:spacing w:after="0"/>
              <w:rPr>
                <w:sz w:val="20"/>
                <w:szCs w:val="20"/>
                <w:color w:val="auto"/>
              </w:rPr>
            </w:pPr>
            <w:r>
              <w:rPr>
                <w:rFonts w:ascii="Arial" w:cs="Arial" w:eastAsia="Arial" w:hAnsi="Arial"/>
                <w:sz w:val="18"/>
                <w:szCs w:val="18"/>
                <w:color w:val="auto"/>
              </w:rPr>
              <w:t>shares authorized and no shares issued or outstanding, pro forma and pro forma as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540"/>
              <w:spacing w:after="0"/>
              <w:rPr>
                <w:sz w:val="20"/>
                <w:szCs w:val="20"/>
                <w:color w:val="auto"/>
              </w:rPr>
            </w:pPr>
            <w:r>
              <w:rPr>
                <w:rFonts w:ascii="Arial" w:cs="Arial" w:eastAsia="Arial" w:hAnsi="Arial"/>
                <w:sz w:val="18"/>
                <w:szCs w:val="18"/>
                <w:color w:val="auto"/>
              </w:rPr>
              <w:t>adjusted</w:t>
            </w:r>
          </w:p>
        </w:tc>
        <w:tc>
          <w:tcPr>
            <w:tcW w:w="2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6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Common stock, $0.0001 par value; 19,000,000 shares authorized, 5,638,648 shares issued and</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1,118,648 shares outstanding, actual;</w:t>
            </w:r>
          </w:p>
        </w:tc>
        <w:tc>
          <w:tcPr>
            <w:tcW w:w="408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w w:val="89"/>
              </w:rPr>
              <w:t>shares authorized, 22,583,132 shares issued and</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1"/>
              </w:rPr>
              <w:t>18,063,132 shares outstanding, pro forma;</w:t>
            </w:r>
          </w:p>
        </w:tc>
        <w:tc>
          <w:tcPr>
            <w:tcW w:w="2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shares authorized,</w:t>
            </w:r>
          </w:p>
        </w:tc>
        <w:tc>
          <w:tcPr>
            <w:tcW w:w="20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shares issued</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pro forma as adjusted</w:t>
            </w: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w w:val="99"/>
              </w:rPr>
              <w:t>Treasury stock, at cost; 4,520,000 shares</w:t>
            </w:r>
          </w:p>
        </w:tc>
        <w:tc>
          <w:tcPr>
            <w:tcW w:w="2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505,787</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2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(104,019)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(104,019)</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(103,362)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401,685</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w w:val="91"/>
              </w:rPr>
              <w:t>Total capitalization</w:t>
            </w:r>
          </w:p>
        </w:tc>
        <w:tc>
          <w:tcPr>
            <w:tcW w:w="2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66,186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401,685</w:t>
            </w: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pro forma as adjusted information above is illustrative only, and our capitalization following the completion of this offering will depend on the actual initial public offering price and other terms of this offering determined at pricing. Each $1.00 increase or decrease in the assumed initial public</w:t>
      </w:r>
    </w:p>
    <w:p>
      <w:pPr>
        <w:jc w:val="both"/>
        <w:ind w:left="120"/>
        <w:spacing w:after="0" w:line="260" w:lineRule="auto"/>
        <w:rPr>
          <w:sz w:val="20"/>
          <w:szCs w:val="20"/>
          <w:color w:val="auto"/>
        </w:rPr>
      </w:pPr>
      <w:r>
        <w:rPr>
          <w:rFonts w:ascii="Arial" w:cs="Arial" w:eastAsia="Arial" w:hAnsi="Arial"/>
          <w:sz w:val="18"/>
          <w:szCs w:val="18"/>
          <w:color w:val="auto"/>
        </w:rPr>
        <w:t>offering price of $ per share, which is the midpoint of the estimated price range set forth on the cover page of this prospectus, would increase or decrease the pro forma as adjusted amount of each of cash and cash equivalents, additional paid-in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capital, total stockholders’ equity and total capitalization by $ million, assuming the number of shares offered by us, as set forth on the cover page of this prospectus, remains the same and after deducting estimated underwriting discounts and commissions and estimated offering expenses payable by us. Each increase or decrease of 1,000,000 shares in the number of shares offered by us in this offering, as set forth on the cover page of this prospectus, would increase or decrease the pro forma as adjusted amount of each of cash and cash equivalents, additional paid-in capital, total stockholders’ equity</w:t>
      </w:r>
    </w:p>
    <w:p>
      <w:pPr>
        <w:spacing w:after="0" w:line="1"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and total capitalization by $ million, assuming no change in the assumed initial public offering price per share and after deducting estimated underwriting discounts and commissions and estimated offering expenses payable by us.</w:t>
      </w:r>
    </w:p>
    <w:p>
      <w:pPr>
        <w:spacing w:after="0" w:line="18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number of shares of our common stock to be outstanding after this offering is based on 18,063,132 shares of our common stock outstanding as of March 31, 2021, assuming the conversion of all outstanding shares of our preferred stock, including 4,296,550 shares of Series C preferred stock issued in April 2021, into an aggregate of 16,944,484 shares of common stock upon the closing of this offering, and excludes:</w:t>
      </w:r>
    </w:p>
    <w:p>
      <w:pPr>
        <w:spacing w:after="0" w:line="71" w:lineRule="exact"/>
        <w:rPr>
          <w:sz w:val="20"/>
          <w:szCs w:val="20"/>
          <w:color w:val="auto"/>
        </w:rPr>
      </w:pPr>
    </w:p>
    <w:p>
      <w:pPr>
        <w:jc w:val="both"/>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1,073,214 shares of our common stock issuable upon the exercise of options outstanding as of March 31, 2021 under our 2020 Equity Incentive Plan, or the 2020 Plan, at a weighted-average exercise price of $12.45 per share (which does not include options to purchase an aggregate of 1,508,098 shares of our common stock, at a weighted-average exercise price of $49.27 per share, that were granted subsequent to March 31, 2021);</w:t>
      </w:r>
    </w:p>
    <w:p>
      <w:pPr>
        <w:spacing w:after="0" w:line="92"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2,372,199 shares of our common stock available for future issuance as of March 31, 2021 under the 2020 Plan, which such shares will cease to be available for issuance under the 2020 Plan at the time our 2021 Equity Incentive Plan, or the 2021 Plan, becomes effective and will be added to, and become available for issuance under, the 2021 Plan;</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7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the 2021 Plan, which will become effective one day prior to the effectiveness of the registration statement of which this prospectus forms a part, as well as any automatic increases in the number of shares of common stock reserved for future issuance under the 2021 Plan; and</w:t>
      </w:r>
    </w:p>
    <w:p>
      <w:pPr>
        <w:spacing w:after="0" w:line="89" w:lineRule="exact"/>
        <w:rPr>
          <w:rFonts w:ascii="Arial" w:cs="Arial" w:eastAsia="Arial" w:hAnsi="Arial"/>
          <w:sz w:val="18"/>
          <w:szCs w:val="18"/>
          <w:color w:val="auto"/>
        </w:rPr>
      </w:pPr>
    </w:p>
    <w:p>
      <w:pPr>
        <w:jc w:val="both"/>
        <w:ind w:left="1080" w:right="20" w:hanging="532"/>
        <w:spacing w:after="0" w:line="311" w:lineRule="auto"/>
        <w:tabs>
          <w:tab w:leader="none" w:pos="1696" w:val="left"/>
        </w:tabs>
        <w:numPr>
          <w:ilvl w:val="0"/>
          <w:numId w:val="59"/>
        </w:numPr>
        <w:rPr>
          <w:rFonts w:ascii="Arial" w:cs="Arial" w:eastAsia="Arial" w:hAnsi="Arial"/>
          <w:sz w:val="16"/>
          <w:szCs w:val="16"/>
          <w:color w:val="auto"/>
        </w:rPr>
      </w:pPr>
      <w:r>
        <w:rPr>
          <w:rFonts w:ascii="Arial" w:cs="Arial" w:eastAsia="Arial" w:hAnsi="Arial"/>
          <w:sz w:val="16"/>
          <w:szCs w:val="16"/>
          <w:color w:val="auto"/>
        </w:rPr>
        <w:t>shares of our common stock that will become available for future issuance under our 2021 Employee Stock Purchase Plan, or the 2021 ESPP, which will become effective one day prior to the effectiveness of the registration statement of which this prospectus forms a part, as well as any automatic increases in the number of shares of common stock reserved for future issuance under the 2021 ESPP.</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historical net tangible book value (deficit) as of March 31, 2021 was $(103.5) million, or $(92.49) per share of common stock. Our historical net tangible book value (deficit) is the amount of our total tangible assets less our total liabilities and the carrying value of our preferred stock, which is not included within stockholders’ equity (deficit). Historical net tangible book value (deficit) per share represents historical net tangible book value (deficit) divided by the 1,118,648 shares of our common stock outstanding as of March 31, 2021.</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Our pro forma net tangible book value as of March 31, 2021 was $401.6 million, or $22.23 per share of common stock. Pro forma net tangible book value represents the amount of our total tangible assets less our total liabilities, after giving effect to (i) our issuance and sale in April 2021 of 4,296,550 shares of our Series C preferred stock for gross proceeds of $335.5 million and (ii) the automatic conversion of all outstanding shares of our preferred stock, including our Series C preferred stock, into an aggregate of 16,944,484 shares of common stock upon the closing of this offering. Pro forma net tangible book value per share represents pro forma net tangible book value divided by the number of shares outstanding as of March 31, 2021, after giving effect to the pro forma adjustments described above.</w:t>
      </w:r>
    </w:p>
    <w:p>
      <w:pPr>
        <w:spacing w:after="0" w:line="192" w:lineRule="exact"/>
        <w:rPr>
          <w:sz w:val="20"/>
          <w:szCs w:val="20"/>
          <w:color w:val="auto"/>
        </w:rPr>
      </w:pPr>
    </w:p>
    <w:p>
      <w:pPr>
        <w:jc w:val="both"/>
        <w:ind w:left="120" w:right="20" w:firstLine="440"/>
        <w:spacing w:after="0" w:line="274" w:lineRule="auto"/>
        <w:rPr>
          <w:sz w:val="20"/>
          <w:szCs w:val="20"/>
          <w:color w:val="auto"/>
        </w:rPr>
      </w:pPr>
      <w:r>
        <w:rPr>
          <w:rFonts w:ascii="Arial" w:cs="Arial" w:eastAsia="Arial" w:hAnsi="Arial"/>
          <w:sz w:val="17"/>
          <w:szCs w:val="17"/>
          <w:color w:val="auto"/>
        </w:rPr>
        <w:t>After giving further effect to our issuance and sale of shares of our common stock in this offering at an assumed initial public offering price of $ per share, which is the midpoint of the estimated price range set forth on the cover page of this prospectus, and after deducting estimated</w:t>
      </w:r>
    </w:p>
    <w:p>
      <w:pPr>
        <w:ind w:left="120"/>
        <w:spacing w:after="0"/>
        <w:rPr>
          <w:sz w:val="20"/>
          <w:szCs w:val="20"/>
          <w:color w:val="auto"/>
        </w:rPr>
      </w:pPr>
      <w:r>
        <w:rPr>
          <w:rFonts w:ascii="Arial" w:cs="Arial" w:eastAsia="Arial" w:hAnsi="Arial"/>
          <w:sz w:val="17"/>
          <w:szCs w:val="17"/>
          <w:color w:val="auto"/>
        </w:rPr>
        <w:t>underwriting discounts and commissions and estimated offering expenses payable by us, our pro forma as adjusted net tangible book value as of</w:t>
      </w:r>
    </w:p>
    <w:p>
      <w:pPr>
        <w:spacing w:after="0" w:line="397"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March 31, 2021 would have been $ million, or $ per share. This represents an immediate increase in pro forma as adjusted net tangible book value per share of $ to existing stockholders and immediate dilution of $ in pro forma as adjusted net tangible book value per share to new</w:t>
      </w:r>
    </w:p>
    <w:p>
      <w:pPr>
        <w:jc w:val="both"/>
        <w:ind w:left="120"/>
        <w:spacing w:after="0" w:line="255" w:lineRule="auto"/>
        <w:rPr>
          <w:sz w:val="20"/>
          <w:szCs w:val="20"/>
          <w:color w:val="auto"/>
        </w:rPr>
      </w:pPr>
      <w:r>
        <w:rPr>
          <w:rFonts w:ascii="Arial" w:cs="Arial" w:eastAsia="Arial" w:hAnsi="Arial"/>
          <w:sz w:val="18"/>
          <w:szCs w:val="18"/>
          <w:color w:val="auto"/>
        </w:rPr>
        <w:t>investors participating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9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March 31, 2021</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 (92.49)</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114.72</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2021</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9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Increase in pro forma as adjusted net tangible book value per share attributable to new investors participating in this</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3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9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dilution information discussed above is illustrative only and will depend on the actual initial public offering price and other terms of this</w:t>
      </w:r>
    </w:p>
    <w:p>
      <w:pPr>
        <w:spacing w:after="0" w:line="35"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offering determined at pricing. Each $1.00 increase or decrease in the assumed initial public offering price of $ per share, which is the midpoint of the estimated price range set forth on the cover page of this prospectus, would increase or decrease our pro forma as adjusted net tangible book value per</w:t>
      </w:r>
    </w:p>
    <w:p>
      <w:pPr>
        <w:spacing w:after="0" w:line="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share after this offering by $ and dilution per share to investors participating in this offering by $ , assuming that the number of shares offered by us, as set forth on the cover page of this prospectus, remains the same and after deducting estimated underwriting discounts and commissions and estimated offering expenses payable by us. Each increase of 1,000,000 shares in the number of shares offered by us, as set forth on the cover page of this prospectus, would increase our pro forma as adjusted net tangible book value per share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2240" w:val="left"/>
          <w:tab w:leader="none" w:pos="9040" w:val="left"/>
        </w:tabs>
        <w:rPr>
          <w:sz w:val="20"/>
          <w:szCs w:val="20"/>
          <w:color w:val="auto"/>
        </w:rPr>
      </w:pPr>
      <w:r>
        <w:rPr>
          <w:rFonts w:ascii="Arial" w:cs="Arial" w:eastAsia="Arial" w:hAnsi="Arial"/>
          <w:sz w:val="18"/>
          <w:szCs w:val="18"/>
          <w:color w:val="auto"/>
        </w:rPr>
        <w:t>after this offering by $</w:t>
      </w:r>
      <w:r>
        <w:rPr>
          <w:sz w:val="20"/>
          <w:szCs w:val="20"/>
          <w:color w:val="auto"/>
        </w:rPr>
        <w:tab/>
      </w:r>
      <w:r>
        <w:rPr>
          <w:rFonts w:ascii="Arial" w:cs="Arial" w:eastAsia="Arial" w:hAnsi="Arial"/>
          <w:sz w:val="18"/>
          <w:szCs w:val="18"/>
          <w:color w:val="auto"/>
        </w:rPr>
        <w:t>and decrease the dilution per share to new investors participating in this offering by $</w:t>
      </w:r>
      <w:r>
        <w:rPr>
          <w:sz w:val="20"/>
          <w:szCs w:val="20"/>
          <w:color w:val="auto"/>
        </w:rPr>
        <w:tab/>
      </w:r>
      <w:r>
        <w:rPr>
          <w:rFonts w:ascii="Arial" w:cs="Arial" w:eastAsia="Arial" w:hAnsi="Arial"/>
          <w:sz w:val="16"/>
          <w:szCs w:val="16"/>
          <w:color w:val="auto"/>
        </w:rPr>
        <w:t>, assuming no change in the</w:t>
      </w:r>
    </w:p>
    <w:p>
      <w:pPr>
        <w:spacing w:after="0" w:line="23" w:lineRule="exact"/>
        <w:rPr>
          <w:sz w:val="20"/>
          <w:szCs w:val="20"/>
          <w:color w:val="auto"/>
        </w:rPr>
      </w:pPr>
    </w:p>
    <w:p>
      <w:pPr>
        <w:ind w:left="120" w:right="20"/>
        <w:spacing w:after="0" w:line="186" w:lineRule="auto"/>
        <w:rPr>
          <w:sz w:val="20"/>
          <w:szCs w:val="20"/>
          <w:color w:val="auto"/>
        </w:rPr>
      </w:pPr>
      <w:r>
        <w:rPr>
          <w:rFonts w:ascii="Arial" w:cs="Arial" w:eastAsia="Arial" w:hAnsi="Arial"/>
          <w:sz w:val="12"/>
          <w:szCs w:val="12"/>
          <w:color w:val="auto"/>
        </w:rPr>
        <w:t>assumed initial public offering price per share and after deducting estimated underwriting discounts and commissions and estimated offering expenses payable by us. Each decrease of 1,000,000 shares in the number of shares offered by us, as set forth on the cover page of this prospectus, would decrease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pro forma as adjusted net tangible book value per share after this offering by $ and increase the dilution per share to new investors participating in this offering by $ , assuming no change in the assumed initial public offering price after deducting estimated underwriting discounts and commissions and estimated offering expenses payable by us.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underwriters exercise in full their option to purchase additional shares of common stock, our pro forma as adjusted net tangible book value</w:t>
      </w:r>
    </w:p>
    <w:p>
      <w:pPr>
        <w:spacing w:after="0" w:line="4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per share after this offering would be $ , representing an immediate increase in pro forma as adjusted net tangible book value per share of $ to existing stockholders and immediate dilution in pro forma as adjusted net tangible book value per share of $ to new investors participating in this offering, assuming an initial public offering price of $ per share, which is the midpoint of the estimated price range set forth on the cover page of this prospectus, and after deducting estimated underwriting discounts and commissions and estimated offering expenses payable by us.</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following table summarizes, as of March 31, 2021, the total number of shares of common stock purchased from us on an as converted to common stock basis, the total consideration and the average price per share (1) paid by existing stockholders and (2) to be paid by new investors participating in this offering at the assumed initial public offering price of $ per share, which is the midpoint of the estimated price range set forth on the cover page of this prospectus, before deducting estimated underwriting discounts and commissions and estimated offering expenses payable by us. As the table shows, new investors participating in this offering will pay an average price per share substantially higher than our existing stockholders paid.</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40" w:type="dxa"/>
            <w:vAlign w:val="bottom"/>
            <w:gridSpan w:val="3"/>
            <w:vMerge w:val="restart"/>
          </w:tcPr>
          <w:p>
            <w:pPr>
              <w:jc w:val="right"/>
              <w:ind w:right="199"/>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5960" w:type="dxa"/>
            <w:vAlign w:val="bottom"/>
          </w:tcPr>
          <w:p>
            <w:pPr>
              <w:spacing w:after="0"/>
              <w:rPr>
                <w:sz w:val="6"/>
                <w:szCs w:val="6"/>
                <w:color w:val="auto"/>
              </w:rPr>
            </w:pPr>
          </w:p>
        </w:tc>
        <w:tc>
          <w:tcPr>
            <w:tcW w:w="164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tcBorders>
              <w:bottom w:val="single" w:sz="8" w:color="auto"/>
            </w:tcBorders>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596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4"/>
                <w:szCs w:val="4"/>
                <w:color w:val="auto"/>
              </w:rPr>
            </w:pPr>
          </w:p>
        </w:tc>
        <w:tc>
          <w:tcPr>
            <w:tcW w:w="106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4"/>
                <w:szCs w:val="4"/>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Percentage</w:t>
            </w: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5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tcPr>
          <w:p>
            <w:pPr>
              <w:ind w:left="440"/>
              <w:spacing w:after="0"/>
              <w:rPr>
                <w:sz w:val="20"/>
                <w:szCs w:val="20"/>
                <w:color w:val="auto"/>
              </w:rPr>
            </w:pPr>
            <w:r>
              <w:rPr>
                <w:rFonts w:ascii="Arial" w:cs="Arial" w:eastAsia="Arial" w:hAnsi="Arial"/>
                <w:sz w:val="18"/>
                <w:szCs w:val="18"/>
                <w:color w:val="auto"/>
                <w:w w:val="95"/>
              </w:rPr>
              <w:t>Each $1.00 increase or decrease in the assumed initial public offering price of $</w:t>
            </w:r>
          </w:p>
        </w:tc>
        <w:tc>
          <w:tcPr>
            <w:tcW w:w="4540" w:type="dxa"/>
            <w:vAlign w:val="bottom"/>
            <w:gridSpan w:val="11"/>
          </w:tcPr>
          <w:p>
            <w:pPr>
              <w:ind w:left="140"/>
              <w:spacing w:after="0"/>
              <w:rPr>
                <w:sz w:val="20"/>
                <w:szCs w:val="20"/>
                <w:color w:val="auto"/>
              </w:rPr>
            </w:pPr>
            <w:r>
              <w:rPr>
                <w:rFonts w:ascii="Arial" w:cs="Arial" w:eastAsia="Arial" w:hAnsi="Arial"/>
                <w:sz w:val="18"/>
                <w:szCs w:val="18"/>
                <w:color w:val="auto"/>
                <w:w w:val="91"/>
              </w:rPr>
              <w:t>per share, which is the midpoint of the estimated price range</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set forth on the cover page of this prospectus, would increase or decrease the total consideration paid by new investors participating in this offering by</w:t>
      </w:r>
    </w:p>
    <w:p>
      <w:pPr>
        <w:spacing w:after="0" w:line="32" w:lineRule="exact"/>
        <w:rPr>
          <w:sz w:val="20"/>
          <w:szCs w:val="20"/>
          <w:color w:val="auto"/>
        </w:rPr>
      </w:pPr>
    </w:p>
    <w:p>
      <w:pPr>
        <w:ind w:left="660" w:hanging="544"/>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million and, in the case of an increase, would increase the percentage of total consideration paid by new investors participating in this offering</w:t>
      </w:r>
    </w:p>
    <w:p>
      <w:pPr>
        <w:spacing w:after="0" w:line="386" w:lineRule="exact"/>
        <w:rPr>
          <w:sz w:val="20"/>
          <w:szCs w:val="20"/>
          <w:color w:val="auto"/>
        </w:rPr>
      </w:pPr>
    </w:p>
    <w:p>
      <w:pPr>
        <w:ind w:left="120" w:right="20"/>
        <w:spacing w:after="0" w:line="274" w:lineRule="auto"/>
        <w:rPr>
          <w:sz w:val="20"/>
          <w:szCs w:val="20"/>
          <w:color w:val="auto"/>
        </w:rPr>
      </w:pPr>
      <w:r>
        <w:rPr>
          <w:rFonts w:ascii="Arial" w:cs="Arial" w:eastAsia="Arial" w:hAnsi="Arial"/>
          <w:sz w:val="17"/>
          <w:szCs w:val="17"/>
          <w:color w:val="auto"/>
        </w:rPr>
        <w:t>by percentage points and, in the case of a decrease, would decrease the percentage of total consideration paid by new investors by percentage points, assuming that the number of shares offered by us, as set forth on the cover page of this prospectus, remains the same. Each</w:t>
      </w:r>
    </w:p>
    <w:p>
      <w:pPr>
        <w:ind w:left="120"/>
        <w:spacing w:after="0"/>
        <w:rPr>
          <w:sz w:val="20"/>
          <w:szCs w:val="20"/>
          <w:color w:val="auto"/>
        </w:rPr>
      </w:pPr>
      <w:r>
        <w:rPr>
          <w:rFonts w:ascii="Arial" w:cs="Arial" w:eastAsia="Arial" w:hAnsi="Arial"/>
          <w:sz w:val="16"/>
          <w:szCs w:val="16"/>
          <w:color w:val="auto"/>
        </w:rPr>
        <w:t>increase or decrease of 1,000,000 shares in the number of shares offered by us, as set forth on the cover page of this prospectus, would increase or</w:t>
      </w:r>
    </w:p>
    <w:p>
      <w:pPr>
        <w:spacing w:after="0" w:line="386"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decrease the total consideration paid by new investors participating in this offering by $ million and, in the case of an increase, would increase the percentage of total consideration paid by new investors by percentage points and, in the case of a decrease, would decrease the percentage of total consideration paid by new investors by percentage points, assuming no change in the assumed initial public offering price per share.</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table assumes no exercise of the underwriters’ option to purchase additional shares in this offering. If the underwriters exercise in full their option to purchase additional shares of our common stock, the number of shares of our common stock held by existing stockholders would be reduced</w:t>
      </w:r>
    </w:p>
    <w:p>
      <w:pPr>
        <w:ind w:left="120" w:right="20"/>
        <w:spacing w:after="0" w:line="290" w:lineRule="auto"/>
        <w:rPr>
          <w:sz w:val="20"/>
          <w:szCs w:val="20"/>
          <w:color w:val="auto"/>
        </w:rPr>
      </w:pPr>
      <w:r>
        <w:rPr>
          <w:rFonts w:ascii="Arial" w:cs="Arial" w:eastAsia="Arial" w:hAnsi="Arial"/>
          <w:sz w:val="17"/>
          <w:szCs w:val="17"/>
          <w:color w:val="auto"/>
        </w:rPr>
        <w:t>to % of the total number of shares of our common stock outstanding after this offering, and the number of shares of common stock held by new investors participating in this offering would be increased to % of the total number of shares of our common stock outstanding after this offering.</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number of shares of our common stock to be outstanding after this offering is based on 18,063,132 shares of our common stock outstanding as of March 31, 2021, assuming the conversion of all outstanding shares of our preferred stock, including 4,296,550 shares of Series C preferred stock issued in April 2021, into an aggregate of 16,944,484 shares of common stock upon the closing of this offering, and excludes:</w:t>
      </w:r>
    </w:p>
    <w:p>
      <w:pPr>
        <w:spacing w:after="0" w:line="71" w:lineRule="exact"/>
        <w:rPr>
          <w:sz w:val="20"/>
          <w:szCs w:val="20"/>
          <w:color w:val="auto"/>
        </w:rPr>
      </w:pPr>
    </w:p>
    <w:p>
      <w:pPr>
        <w:jc w:val="both"/>
        <w:ind w:left="1080" w:right="20" w:hanging="532"/>
        <w:spacing w:after="0" w:line="31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1,073,214 shares of our common stock issuable upon the exercise of options outstanding as of March 31, 2021 under the 2020 Plan, at a weighted-average exercise price of $12.45 per share (which does not include options to purchase an aggregate of 1,508,098 shares of our common stock, at a weighted-average exercise price of $49.27 per share, that were granted subsequent to March 31, 2021);</w:t>
      </w:r>
    </w:p>
    <w:p>
      <w:pPr>
        <w:spacing w:after="0" w:line="54" w:lineRule="exact"/>
        <w:rPr>
          <w:rFonts w:ascii="Arial" w:cs="Arial" w:eastAsia="Arial" w:hAnsi="Arial"/>
          <w:sz w:val="16"/>
          <w:szCs w:val="16"/>
          <w:color w:val="auto"/>
        </w:rPr>
      </w:pPr>
    </w:p>
    <w:p>
      <w:pPr>
        <w:jc w:val="both"/>
        <w:ind w:left="1080" w:hanging="532"/>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2,372,199 shares of our common stock available for future issuance as of March 31, 2021 under the 2020 Plan, which such shares will cease to be available for issuance under the 2020 Plan at the time our 2021 Equity Incentive Plan, or the 2021 Plan, becomes effective and will be added to, and become available for issuance under, the 2021 Plan;</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701"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the 2021 Plan, which will become effective one day prior to the effectiveness of the registration statement of which this prospectus forms a part, as well as any automatic increases in the number of shares of common stock reserved for future issuance under the 2021 Plan; and</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7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the 2021 ESPP, which will become effective one day prior to the effectiveness of the registration statement of which this prospectus forms a part, as well as any automatic increases in the number of shares of common stock reserved for future issuance under the 2021 ESPP.</w:t>
      </w:r>
    </w:p>
    <w:p>
      <w:pPr>
        <w:spacing w:after="0" w:line="184"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To the extent that outstanding stock options are exercised, new stock options or warrants are issued, or we issue additional shares of common stock, other equity securities or convertible debt securities in the future, there will be further dilution to our stockholders, including new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including new investors participating in this offering.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i w:val="1"/>
          <w:iCs w:val="1"/>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period from June 3, 2020 (inception) to December 31, 2020 and the consolidated balance sheet data as of December 31, 2020 from our audited consolidated financial statements appearing at the end of this prospectus. The consolidated statement of operations data for the three months ended March 31, 2021 and the consolidated balance sheet data as of March 31, 2021 have been derived from our unaudited consolidated financial statements appearing at the end of this prospectus and have been prepared on the same basis as the audited consolidated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the results that may be expected in any future period.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5"/>
          </w:tcPr>
          <w:p>
            <w:pPr>
              <w:jc w:val="right"/>
              <w:ind w:right="251"/>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21,992</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40,125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30"/>
        </w:trPr>
        <w:tc>
          <w:tcPr>
            <w:tcW w:w="75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(65,327)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520" w:type="dxa"/>
            <w:vAlign w:val="bottom"/>
            <w:gridSpan w:val="2"/>
          </w:tcPr>
          <w:p>
            <w:pPr>
              <w:ind w:left="720"/>
              <w:spacing w:after="0"/>
              <w:rPr>
                <w:sz w:val="20"/>
                <w:szCs w:val="20"/>
                <w:color w:val="auto"/>
              </w:rPr>
            </w:pPr>
            <w:r>
              <w:rPr>
                <w:rFonts w:ascii="Arial" w:cs="Arial" w:eastAsia="Arial" w:hAnsi="Arial"/>
                <w:sz w:val="18"/>
                <w:szCs w:val="18"/>
                <w:color w:val="auto"/>
              </w:rPr>
              <w:t>Total other income</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(65,319)</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(3)</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r>
              <w:rPr>
                <w:rFonts w:ascii="Arial" w:cs="Arial" w:eastAsia="Arial" w:hAnsi="Arial"/>
                <w:sz w:val="15"/>
                <w:szCs w:val="15"/>
                <w:color w:val="auto"/>
              </w:rPr>
              <w:t>(3)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w w:val="96"/>
              </w:rPr>
              <w:t>Pro forma net loss per share attributable to common stockholders, basic and diluted (unaudited)</w:t>
            </w:r>
            <w:r>
              <w:rPr>
                <w:rFonts w:ascii="Arial" w:cs="Arial" w:eastAsia="Arial" w:hAnsi="Arial"/>
                <w:sz w:val="15"/>
                <w:szCs w:val="15"/>
                <w:color w:val="auto"/>
                <w:w w:val="96"/>
              </w:rPr>
              <w:t>(4)</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 basic and diluted (unaudited)</w:t>
            </w:r>
            <w:r>
              <w:rPr>
                <w:rFonts w:ascii="Arial" w:cs="Arial" w:eastAsia="Arial" w:hAnsi="Arial"/>
                <w:sz w:val="15"/>
                <w:szCs w:val="15"/>
                <w:color w:val="auto"/>
              </w:rPr>
              <w:t>(4)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10,433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74"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related-party amounts of $0.6 million for the period from June 3, 2020 (inception) to December 31, 2020 and $0.2 million for the three months ended March 31, 2021. See Note 6 to our consolidated financial statements appearing at the end of this prospectus.</w:t>
      </w:r>
    </w:p>
    <w:p>
      <w:pPr>
        <w:ind w:left="540" w:hanging="424"/>
        <w:spacing w:after="0" w:line="265"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related-party amounts of $39.9 million for the period from June 3, 2020 (inception) to December 31, 2020 and $1.0 million for the three months ended March 31, 2021. See Note 6 to our consolidated financial statements appearing at the end of this prospectus.</w:t>
      </w:r>
    </w:p>
    <w:p>
      <w:pPr>
        <w:ind w:left="540" w:right="20" w:hanging="424"/>
        <w:spacing w:after="0" w:line="250"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 Note 13 to our consolidated financial statements appearing at the end of this prospectus for details on the calculation of basic and diluted net loss per share attributable to common stockholders.</w:t>
      </w:r>
    </w:p>
    <w:p>
      <w:pPr>
        <w:jc w:val="both"/>
        <w:ind w:left="540" w:right="20" w:hanging="424"/>
        <w:spacing w:after="0" w:line="255"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 forma basic and diluted net loss per share attributable to common stockholders has been prepared to give effect to adjustments to our capital structure arising in connection with the completion of this offering and is calculated by dividing the pro forma net loss attributable to common stockholders by the pro forma</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54" w:lineRule="auto"/>
        <w:rPr>
          <w:sz w:val="20"/>
          <w:szCs w:val="20"/>
          <w:color w:val="auto"/>
        </w:rPr>
      </w:pPr>
      <w:r>
        <w:rPr>
          <w:rFonts w:ascii="Arial" w:cs="Arial" w:eastAsia="Arial" w:hAnsi="Arial"/>
          <w:sz w:val="18"/>
          <w:szCs w:val="18"/>
          <w:color w:val="auto"/>
        </w:rPr>
        <w:t>weighted-average common shares outstanding for the period. Pro forma net loss attributable to common stockholders is the same as the amount of net loss attributable to common stockholders for each period presented. Pro forma weighted-average common shares outstanding is computed by adjusting the weighted-average common shares outstanding to give pro forma effect to the automatic conversion of all shares of our preferred stock outstanding as of December 31, 2020 and March 31, 2021 into shares of common stock as if this offering had occurred on the later of June 3, 2020 (inception) or the issuance date of the preferred stock. Pro forma basic and diluted net loss per share attributable to common stockholders does not include the effect of the shares of Series C preferred stock we issued and sold in April 2021 and the shares expected to be sold in this offering.</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ind w:right="1175"/>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71"/>
        </w:trPr>
        <w:tc>
          <w:tcPr>
            <w:tcW w:w="78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2021</w:t>
            </w:r>
          </w:p>
        </w:tc>
      </w:tr>
      <w:tr>
        <w:trPr>
          <w:trHeight w:val="142"/>
        </w:trPr>
        <w:tc>
          <w:tcPr>
            <w:tcW w:w="78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55"/>
              <w:spacing w:after="0"/>
              <w:rPr>
                <w:sz w:val="20"/>
                <w:szCs w:val="20"/>
                <w:color w:val="auto"/>
              </w:rPr>
            </w:pPr>
            <w:r>
              <w:rPr>
                <w:rFonts w:ascii="Arial" w:cs="Arial" w:eastAsia="Arial" w:hAnsi="Arial"/>
                <w:sz w:val="18"/>
                <w:szCs w:val="18"/>
                <w:color w:val="auto"/>
              </w:rPr>
              <w:t>114,988</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91,247</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rPr>
              <w:t>104,310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66,197</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740" w:type="dxa"/>
            <w:vAlign w:val="bottom"/>
          </w:tcPr>
          <w:p>
            <w:pPr>
              <w:jc w:val="right"/>
              <w:ind w:right="755"/>
              <w:spacing w:after="0"/>
              <w:rPr>
                <w:sz w:val="20"/>
                <w:szCs w:val="20"/>
                <w:color w:val="auto"/>
              </w:rPr>
            </w:pPr>
            <w:r>
              <w:rPr>
                <w:rFonts w:ascii="Arial" w:cs="Arial" w:eastAsia="Arial" w:hAnsi="Arial"/>
                <w:sz w:val="18"/>
                <w:szCs w:val="18"/>
                <w:color w:val="auto"/>
              </w:rPr>
              <w:t>117,382</w:t>
            </w: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94,874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rPr>
              <w:t>169,548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169,548</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60" w:type="dxa"/>
            <w:vAlign w:val="bottom"/>
          </w:tcPr>
          <w:p>
            <w:pPr>
              <w:spacing w:after="0"/>
              <w:rPr>
                <w:sz w:val="20"/>
                <w:szCs w:val="20"/>
                <w:color w:val="auto"/>
              </w:rPr>
            </w:pPr>
          </w:p>
        </w:tc>
        <w:tc>
          <w:tcPr>
            <w:tcW w:w="1740" w:type="dxa"/>
            <w:vAlign w:val="bottom"/>
          </w:tcPr>
          <w:p>
            <w:pPr>
              <w:jc w:val="right"/>
              <w:ind w:right="695"/>
              <w:spacing w:after="0"/>
              <w:rPr>
                <w:sz w:val="20"/>
                <w:szCs w:val="20"/>
                <w:color w:val="auto"/>
              </w:rPr>
            </w:pPr>
            <w:r>
              <w:rPr>
                <w:rFonts w:ascii="Arial" w:cs="Arial" w:eastAsia="Arial" w:hAnsi="Arial"/>
                <w:sz w:val="18"/>
                <w:szCs w:val="18"/>
                <w:color w:val="auto"/>
              </w:rPr>
              <w:t>(65,249)</w:t>
            </w:r>
          </w:p>
        </w:tc>
        <w:tc>
          <w:tcPr>
            <w:tcW w:w="2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(103,362)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Consolidated Financial Data” section of this prospectus and our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w:t>
      </w:r>
    </w:p>
    <w:p>
      <w:pPr>
        <w:spacing w:after="0" w:line="18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ADG20 is designed to be a potent, long-acting and broadly neutralizing antibody for both the treatment and prevention of COVID-19 as either a single or combination agent. Unlike other antibody-based therapies specifically targeting SARS-CoV-2, ADG20 has demonstrated an ability to potently neutralize SARS-CoV-2, including variants of concern, as well as a broad range of SARS-like viruses in non-clinical studies. Potent neutralization has translated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following administration of ADG20 were within the range of peak serum neutralizing antibody titers reported for mRNA COVID-19 vaccine recipients.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79"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were formed in June 2020. In July 2020, we entered into an assignment and license agreement, or the Adimab Assignment Agreement, with Adimab, pursuant to which we acquired certain rights to Adimab’s antibodies relating to COVID-19 and severe acute respiratory syndrome, or SARS, as well as related provisional patent applications, know-how and data generated with respect to the associated antibodies. In addition, Adimab granted to us a non-exclusive, worldwide license to certain of Adimab’s platform patents and technology for use in research and development. In connection with the rights and license acquired, we issued 5,000,000 shares of our Series A preferred stock to Adimab.</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Since our inception, we have devoted substantially all of our resources to organizing and staffing, building an intellectual property portfolio, business planning, conducting research and development, establishing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arrangements with third parties for the manufacture of our product candidates and raising capital. We rely heavily on external consultants and contract research organizations, or CROs, to conduct our non-clinical, preclinical and clinical activities. Additionally, we are currently dependent on WuXi Biologics (Hong Kong) Limited, or WuXi, a contract development and manufacturing organization, or CDMO, for the manufacture of our product candidates for clinical and commercial use. We expect to continue to rely on third parties for clinical trials and the manufacture of our product candidates. Since our inception, we have financed our operations with proceeds from sales of our preferred stock. Through March 31, 2021, we had received net proceeds of $129.5 million from the sales of our preferred stock. In addition, in April 2021, we received gross proceeds of $335.5 million from sales of our Series C preferred stock. To date, we have not generated any revenue from any sources, including product sales. In February 2021, we advanced ADG20 into a Phase 1 clinical trial. We have not yet commenced significant development activities with respect to other product candidates. Our ability to generate product revenue sufficient to achieve profitability will depend heavily on the successful development and eventual commercialization of one or more of our product candidates, if approved.</w:t>
      </w:r>
    </w:p>
    <w:p>
      <w:pPr>
        <w:spacing w:after="0" w:line="18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Since our inception, we have incurred significant losses, including net losses of $65.3 million for the period from June 3, 2020 (inception) to December 31, 2020 and of $38.7 million for the three months ended March 31, 2021. As of March 31, 2021, we had an accumulated deficit of $104.0 million. We expect to continue to incur significant expenses and recognize substantial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We anticipate that our expenses will increase significantly in connection with our ongoing activities, as we:</w:t>
      </w:r>
    </w:p>
    <w:p>
      <w:pPr>
        <w:spacing w:after="0" w:line="83" w:lineRule="exact"/>
        <w:rPr>
          <w:sz w:val="20"/>
          <w:szCs w:val="20"/>
          <w:color w:val="auto"/>
        </w:rPr>
      </w:pPr>
    </w:p>
    <w:p>
      <w:pPr>
        <w:ind w:left="1080" w:hanging="532"/>
        <w:spacing w:after="0" w:line="34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pursue marketing approvals or EUA and reimbursement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manufacture material under current good manufacturing practices, or cGMP, for clinical trials and potential commercial sales at our contracted manufacturing facilities;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do not anticipate generating revenue from product sales, including government supply contracts, unless and until we successfully complete clinical development and obtain marketing approvals or EUA for one or more of our product candidates. We are currently establishing our commercial infrastructure to support the anticipated marketing and distribution of our product candidates. Subject to receiving marketing approval or EUA,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19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government or private-party grants, debt financings, collaborations with other companies and strategic alliances.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the net proceeds from this offering, together with our existing cash and cash equivalents, will be sufficient to fund our operating</w:t>
      </w:r>
    </w:p>
    <w:p>
      <w:pPr>
        <w:spacing w:after="0" w:line="46"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expenses and capital expenditure requirements through . We have based this estimate on assumptions that may prove to be wrong, and we could exhaust our available capital resources sooner than we expect. See “—Liquidity and Capital Resources.”</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Without giving effect to the anticipated net proceeds from this offering, as of May 21, 2021, we expect that our existing cash and cash equivalents, including the $335.5 million of gross proceeds we received from sales of our Series C preferred stock in April 2021, will be sufficient to fund our operating expenses and capital expenditure requirements through March 31, 2022. Beyond that point, we will need to raise additional capital to finance our operations, which cannot be assured. We concluded as of May 21, 2021, the issuance date of our consolidated financial statements for the period from June 3, 2020 (inception) to December 31, 2020 and of our interim consolidated financial statements for the three months ended March 31, 2021, that this circumstance raised substantial doubt about our ability to continue as a going concern within one year of the issuance date of those consolidated financial statements. See Note 1 to our consolidated financial statements appearing at the end of this prospectus for additional information on our assessment.</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Similarly, in its report on our consolidated financial statements for the period from June 3, 2020 (inception) to December 31, 2020, our independent registered public accounting firm included an explanatory paragraph stating that our recurring losses from operations since inception, expectation of generating operating losses in the foreseeable future and need for additional capital to finance our future operations raise substantial doubt about our ability to continue as a going concern.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COVID-19 on Our Operations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continued emergence of variants of concern, the availability, administration and acceptance of vaccines and monoclonal antibodies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global COVID-19 pandemic continues to evolve rapidly, and we will continue to monitor it closely. The ultimate extent of the impact of the COVID-19 pandemic on our business, financial condition, operations and product development timelines and plans remains highly uncertain and will depend on future developments, including the duration and spread of the outbreak and its impact on our clinical trial design and enrollment, trial sites, CROs, CDMOs and other third parties with which we do business, as well as its impact on regulatory authorities and our key scientific and management personnel. To date, we have not experienced significant delays or disruptions in our development activities as a result of the COVID-19 pandemic but may in the future as the outbreak progresses and some of our CROs, CDMOs and other service providers continue to be impacted. We will continue to monitor developments as we address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 Research and development expenses represent costs incurred by us for:</w:t>
      </w:r>
    </w:p>
    <w:p>
      <w:pPr>
        <w:spacing w:after="0" w:line="76"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non-clinical and preclinical development of our product candidates, including our discovery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procurement of our product candidates from third-party manufacturers;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global clinical development of our product candidates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costs consist of:</w:t>
      </w:r>
    </w:p>
    <w:p>
      <w:pPr>
        <w:spacing w:after="0" w:line="131" w:lineRule="exact"/>
        <w:rPr>
          <w:sz w:val="20"/>
          <w:szCs w:val="20"/>
          <w:color w:val="auto"/>
        </w:rPr>
      </w:pPr>
    </w:p>
    <w:p>
      <w:pPr>
        <w:ind w:left="1080" w:right="2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contractors and CROs, that conduct the non-clinical and preclinical studies and clinical trials of our product candidates and research programs;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procuring manufactured product candidates for use in non-clinical studies, preclinical studies and clinical trials from third-party CDMOs;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outside consultants and advisors, including their fees and stock-based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expenses incurred as a result of research and development activities.</w:t>
      </w:r>
    </w:p>
    <w:p>
      <w:pPr>
        <w:spacing w:after="0" w:line="22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14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Our primary focus since inception has been the development of ADG20.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19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We expect that our research and development expenses will increase substantially in the near term as we advance ADG20 through clinical development on a global basis, pursue regulatory approval of ADG20, continue to discover and develop additional product candidates and incur expenses associated with hiring additional personnel to support our research and development efforts, including the associated manufacturing activities.</w:t>
      </w:r>
    </w:p>
    <w:p>
      <w:pPr>
        <w:spacing w:after="0" w:line="16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54"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filing acceptable investigational new drug applications with the U.S. Food and Drug Administration or comparable foreign applications that allow commencement of our planned clinical trials or future clinical trials for our product candidates;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ADG20 or any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including good clinical practices, current good laboratory practices and cGMPs, and to comply effectively with other rules, regulations and procedures applicable to the development and sale of pharmaceutical products;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potential significant and changing government regulation, regulatory guidance and requirements and evolving treatment guidelines; and</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In addition, we may never succeed in obtaining regulatory approval or EUA for any of our product candidates.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Acquired in-process research and development, or IPR&amp;D, expenses consist primarily of the upfront costs we incurred in July 2020, as well as any costs of contingent milestone payments and royalties we incurred in subsequent periods, to acquire rights to Adimab’s antibodies relating to COVID-19 and SARS and related intellectual property and a license to certain of Adimab’s platform patents and technology, or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we become obligated to make contingent milestone and royalty payments to Adimab under the terms of the agreement by which we acquired the IPR&amp;D assets.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17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anticipate that our selling, general and administrative expenses will increase significantly in the future as our business expands and we increase our headcount to support the expected growth in our research and development activities and the potential commercialization of our product candidates. In particular, we expect to incur additional commercialization expenses prior to any regulatory approval or EUA of our product candidates as we continue to expand our commercial function to support potential future product launches. We also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anticipate that we will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Through March 31, 2021, we have operated as a virtual company. Therefore, we do not incur material operating expenses for the rent, maintenance and insurance of facilities or for depreciation of fixed assets. We plan to enter into a lease for office space in the near term, which would increase our operating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Interest income consists of interest earned from our cash and cash equivalents. We expect our interest income will increase slightly as we invest the cash received from our sales of Series C preferred stock in April 2021 and the net proceeds from this offering.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losses we have incurred or for the research and development tax credits generated in each period as we believe, based upon the weight of available evidence, that it is more likely than not that all of our net operating loss, or NOL, carryforwards and tax credit carryforwards will not be realized.</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As of December 31, 2020, we had U.S. federal NOL 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 million begin to expire in 2040. As of December 31, 2020, we also had U.S. federal and state research and development tax credit carryforwards of $0.1 million and $16,000, respectively, which may be available to reduce future tax liabilities and expire at various dates beginning in 2040 and 2035, respectively. We have recorded a full valuation allowance against our net deferred tax assets at each balance sheet date.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 summarizes our results of operations for the period from June 3, 2020 (inception) to December 31, 2020 and for the three months ended March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14"/>
                <w:szCs w:val="14"/>
                <w:color w:val="auto"/>
              </w:rPr>
            </w:pPr>
          </w:p>
        </w:tc>
        <w:tc>
          <w:tcPr>
            <w:tcW w:w="108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321"/>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21,992</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40,125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Loss from operations</w:t>
            </w:r>
          </w:p>
        </w:tc>
        <w:tc>
          <w:tcPr>
            <w:tcW w:w="3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3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(65,319)</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420" w:type="dxa"/>
            <w:vAlign w:val="bottom"/>
            <w:vMerge w:val="restart"/>
          </w:tcPr>
          <w:p>
            <w:pPr>
              <w:jc w:val="right"/>
              <w:ind w:right="225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description of material changes from period to period required by Item 303 of Regulation S-K cannot be presented as no company-related activities were performed by any party before our company was formed on June 3, 2020 and there are no comparative earlier periods for purposes of this analysis. Accordingly, the following discussion presents the components of our expenses for the periods presented.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4"/>
              </w:rPr>
              <w:t>Period from</w:t>
            </w:r>
          </w:p>
        </w:tc>
        <w:tc>
          <w:tcPr>
            <w:tcW w:w="4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June 3, 2020</w:t>
            </w:r>
          </w:p>
        </w:tc>
        <w:tc>
          <w:tcPr>
            <w:tcW w:w="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198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ind w:left="9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research and development expenses by program:</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ADG20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18,523</w:t>
            </w:r>
          </w:p>
        </w:tc>
        <w:tc>
          <w:tcPr>
            <w:tcW w:w="8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30,652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Personnel related (including stock-based compensation)</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1,743</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External discovery-related costs and other</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3"/>
        </w:trPr>
        <w:tc>
          <w:tcPr>
            <w:tcW w:w="798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21,992</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Research and development expenses were $22.0 million for the period from June 3, 2020 (inception) to December 31, 2020 and consisted primarily of the following:</w:t>
      </w:r>
    </w:p>
    <w:p>
      <w:pPr>
        <w:spacing w:after="0" w:line="76" w:lineRule="exact"/>
        <w:rPr>
          <w:sz w:val="20"/>
          <w:szCs w:val="20"/>
          <w:color w:val="auto"/>
        </w:rPr>
      </w:pPr>
    </w:p>
    <w:p>
      <w:pPr>
        <w:ind w:left="1080" w:right="2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$14.8 million of contract manufacturing expenses related to the production of materials for use in our preclinical studies and clinical trials for the ADG20 program, procured primarily from WuXi, our sole-source supplier of drug substance;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$1.4 million of clinical trial expenses related to start-up activities for our clinical trials for the ADG20 program;</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 million of other external research and development costs associated with the ADG20 program, including with respect to consulting services, insurance costs and software expenditures;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$1.3 million of non-clinical studies expenses associated with the ADG20 program;</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$1.7 million of personnel-related costs, including salaries, bonuses and other compensation-related costs, including stock-based compensation of $0.1 million;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$1.7 million of external discovery-related and other costs.</w:t>
      </w:r>
    </w:p>
    <w:p>
      <w:pPr>
        <w:spacing w:after="0" w:line="22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contract manufacturing, clinical and other external research and development costs for our ADG20 program were incurred in connection with our first-in-human Phase 1 clinical trial to evaluate ADG20 and our Phase 2/3 STAMP trial of ADG20 for the treatment of COVID-19.</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were $34.0 million for the three months ended March 31, 2021 and consisted primarily of the following:</w:t>
      </w:r>
    </w:p>
    <w:p>
      <w:pPr>
        <w:spacing w:after="0" w:line="154" w:lineRule="exact"/>
        <w:rPr>
          <w:sz w:val="20"/>
          <w:szCs w:val="20"/>
          <w:color w:val="auto"/>
        </w:rPr>
      </w:pPr>
    </w:p>
    <w:p>
      <w:pPr>
        <w:ind w:left="1080" w:right="2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$20.4 million of contract manufacturing expenses related to the production of materials for use in our preclinical studies and clinical trials for the ADG20 program, procured primarily from WuXi, our sole-source supplier of drug substance;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$7.5 million of clinical trial expenses related to start-up activities for our clinical trials for the ADG20 program, including site initiation and patient enrollment;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$1.8 million of other external research and development costs associated with the ADG20 program, including with respect to consulting services, insurance costs and software expenditures;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$0.9 million of non-clinical studies expenses associated with the ADG20 program;</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$2.3 million of personnel-related costs, including salaries, bonuses and other compensation-related costs, including stock-based compensation of $0.3 million;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$1.1 million of external discovery-related and other costs.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contract manufacturing, clinical and other external research and development costs for our ADG20 program were incurred in connection with our first-in-human Phase 1 clinical trial to evaluate ADG20, which was initiated in February 2021, and our Phase 2/3 STAMP trial of ADG20 for the treatment of COVID-19, which was initiated in March 2021.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Acquired IPR&amp;D expenses of $40.1 million for the period from June 3, 2020 (inception) to December 31, 2020 consisted primarily of the $39.9 million of costs we incurred in July 2020 to acquire rights to Adimab’s antibodies relating to COVID-19 and SARS and related intellectual property and a license to certain of Adimab’s platform patents and technology for use in the research and development of our product candidates. We expensed the cost of the IPR&amp;D assets acquired because they had no alternative future use as of the acquisition date. The $39.9 million of costs to acquire the IPR&amp;D assets was determined as a result of our allocation of the $40.0 million aggregate fair value of the 5,000,000 shares of the Series A preferred stock that we issued to Adimab on the acquisition date in exchange for (i) the IPR&amp;D assets acquired from Adimab and (ii) 4,250,000 shares of our common stock that we repurchased from Adimab on that same date. We allocated the $40.0 million fair value of the 5,000,000 shares of Series A preferred to the IPR&amp;D assets and to the repurchased common stock based on their relative fair values on the acquisition date. We determined the fair value of the 5,000,000 shares of Series A preferred stock based on the $8.00 price per share paid for the stock by new investors in our Series A preferred stock financing, which closed on the same date as the date on which we acquired the intellectual property rights and license from Adimab.</w:t>
      </w:r>
    </w:p>
    <w:p>
      <w:pPr>
        <w:spacing w:after="0" w:line="16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Acquired IPR&amp;D expenses of $1.0 million for the three months ended March 31, 2021 consisted of the cost we incurred in the period under the Adimab Assignment Agreement for a milestone payment that became due to Adimab in February 2021 upon the dosing of the first patient in a Phase 1 clinical trial evaluating ADG20. The amount of this contingent payment was recognized as an IPR&amp;D expense based on the nature of the associated assets acquired from Adimab on the date of the milestone achievement.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204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ind w:left="9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(including stock-based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1,239</w:t>
            </w: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Professional and consultant fees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1,849</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Selling, general and administrative expenses were $3.2 million for the period from June 3, 2020 (inception) to December 31, 2020 and consisted primarily of:</w:t>
      </w:r>
    </w:p>
    <w:p>
      <w:pPr>
        <w:spacing w:after="0" w:line="76" w:lineRule="exact"/>
        <w:rPr>
          <w:sz w:val="20"/>
          <w:szCs w:val="20"/>
          <w:color w:val="auto"/>
        </w:rPr>
      </w:pPr>
    </w:p>
    <w:p>
      <w:pPr>
        <w:ind w:left="108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$1.2 million of personnel-related costs, including salaries, bonuses and other compensation-related costs, including stock-based compensation of $30,000;</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$1.2 million of professional service fees, including corporate legal costs as well as costs related to intellectual property, legal and compliance costs;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$0.6 million of market research costs relating to developing our potential commercialization plans and brand-related matters; and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$0.1 million related to non-capital software and hardware and other office-related expenses.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Selling, general and administrative expenses were $3.7 million for the three months ended March 31, 2021 and consisted primarily of the following:</w:t>
      </w:r>
    </w:p>
    <w:p>
      <w:pPr>
        <w:spacing w:after="0" w:line="76" w:lineRule="exact"/>
        <w:rPr>
          <w:sz w:val="20"/>
          <w:szCs w:val="20"/>
          <w:color w:val="auto"/>
        </w:rPr>
      </w:pPr>
    </w:p>
    <w:p>
      <w:pPr>
        <w:ind w:left="108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$1.5 million of personnel-related costs, including salaries, bonuses and other compensation-related costs, including stock-based compensation of $0.3 million;</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$1.1 million of professional service fees, including corporate legal costs as well as costs related to intellectual property, legal and compliance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$0.9 million of market research costs relating to developing our potential commercialization plans and consumer brand-related matters;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$0.2 million related to non-capital software and hardware and other office-related expenses.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Interest income for the period from June 3, 2020 (inception) to December 31, 2020 and for the three months ended March 31, 2021 was $8,000 and $9,000, respectively, consisting of interest earned on our cash and cash equivalents.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Since our inception in June 2020, we have not generated any revenue from any sources, including from product sales, and have incurred significant operating losses and negative cash flows from operations. We expect to incur significant expenses and operating losses for the foreseeable future as we advance the clinical development of our product candidates. To date, we have funded our operations with proceeds from sales of our preferred stock. Through March 31, 2021, we had received net proceeds of $129.5 million from sales of our preferred stock. As of March 31, 2021, we had cash and cash equivalents of $91.2 million. In addition, in April 2021, we received gross proceeds of $335.5 million from sales of our Series C preferred stock.</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(14,571)</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129,559</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114,988</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During the period from June 3, 2020 (inception) to December 31, 2020, operating activities used $14.6 million of cash, primarily due to our net loss of $65.3 million, partially offset by non-cash charges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$40.1 million and net cash provided by changes in our operating assets and liabilities of $10.7 million. Net cash provided by changes in our operating assets and liabilities consisted of an $8.2 million increase in accounts payable and a $4.9 million increase in accrued expenses, both partially offset by a $2.4 million increase in prepaid expenses and other current assets. The increases in accounts payable and accrued expenses were primarily due to amounts owed to vendors in connection with our research and development activities, including increased external costs associated with clinical trials and manufacturing, as well as increases in accrued employee bonuses. The increase in prepaid expenses and other current assets was primarily due to prepayments for external research and development activities.</w:t>
      </w:r>
    </w:p>
    <w:p>
      <w:pPr>
        <w:spacing w:after="0" w:line="178"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During the three months ended March 31, 2021, operating activities used $23.7 million of cash, primarily resulting from our net loss of $38.7 million, partially offset by non-cash charges of $0.6 million and net cash provided by changes in our operating assets and liabilities of $14.4 million. Net cash provided by changes in our operating assets and liabilities for the three months ended March 31, 2021 consisted primarily of a $12.4 million increase in accrued expenses and a $3.2 million increase in accounts payable, both partially offset by a $1.2 million increase in prepaid expenses and other current assets. The increases in accounts payable, accrued expenses and prepaid expenses were primarily due to increased external costs associated with our research and development activities, including clinical trials and manufacturing.</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We had no cash used in or provided by investing activities for the period from June 3, 2020 (inception) to December 31, 2020 or for the three months ended March 31,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During the period from June 3, 2020 (inception) to December 31, 2020, net cash provided by financing activities was $129.6 million, primarily related to net proceeds of $49.7 million from the issuance of our Series A preferred stock in July 2020 and net proceeds of $79.8 million from the issuance of our Series B preferred stock in October and November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had no cash used in or provided by financing activities for the three months ended March 31, 2021.</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non-clinical and preclinical studies and the current and future clinical trials of our product candidates. Our funding requirements and timing and amount of our operating expenditures will depend on many factors, including:</w:t>
      </w:r>
    </w:p>
    <w:p>
      <w:pPr>
        <w:spacing w:after="0" w:line="8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rate of progress in the development of AGD20 and our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that the net proceeds from this offering, together with our existing cash and cash equivalents, will enable us to fund our operating</w:t>
      </w:r>
    </w:p>
    <w:p>
      <w:pPr>
        <w:spacing w:after="0" w:line="35"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expenses and capital expenditure requirements through . We have based this estimate on assumptions that may prove to be wrong, and we could exhaust our available capital resources sooner than we expect.</w:t>
      </w:r>
    </w:p>
    <w:p>
      <w:pPr>
        <w:spacing w:after="0" w:line="185"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government or private-party grants, debt financings, collaborations,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as of December 31, 2020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Payments Due by Period</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Less than</w:t>
            </w:r>
          </w:p>
        </w:tc>
        <w:tc>
          <w:tcPr>
            <w:tcW w:w="560" w:type="dxa"/>
            <w:vAlign w:val="bottom"/>
          </w:tcPr>
          <w:p>
            <w:pPr>
              <w:spacing w:after="0"/>
              <w:rPr>
                <w:sz w:val="10"/>
                <w:szCs w:val="10"/>
                <w:color w:val="auto"/>
              </w:rPr>
            </w:pPr>
          </w:p>
        </w:tc>
        <w:tc>
          <w:tcPr>
            <w:tcW w:w="11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1 to 3</w:t>
            </w:r>
          </w:p>
        </w:tc>
        <w:tc>
          <w:tcPr>
            <w:tcW w:w="14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4"/>
              </w:rPr>
              <w:t>4 to 5</w:t>
            </w:r>
          </w:p>
        </w:tc>
        <w:tc>
          <w:tcPr>
            <w:tcW w:w="2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00" w:type="dxa"/>
            <w:vAlign w:val="bottom"/>
          </w:tcPr>
          <w:p>
            <w:pPr>
              <w:jc w:val="right"/>
              <w:ind w:right="18"/>
              <w:spacing w:after="0"/>
              <w:rPr>
                <w:sz w:val="20"/>
                <w:szCs w:val="20"/>
                <w:color w:val="auto"/>
              </w:rPr>
            </w:pPr>
            <w:r>
              <w:rPr>
                <w:rFonts w:ascii="Arial" w:cs="Arial" w:eastAsia="Arial" w:hAnsi="Arial"/>
                <w:sz w:val="14"/>
                <w:szCs w:val="14"/>
                <w:b w:val="1"/>
                <w:bCs w:val="1"/>
                <w:color w:val="auto"/>
              </w:rPr>
              <w:t>1 Year</w:t>
            </w:r>
          </w:p>
        </w:tc>
        <w:tc>
          <w:tcPr>
            <w:tcW w:w="5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Manufacturing agreement</w:t>
            </w:r>
            <w:r>
              <w:rPr>
                <w:rFonts w:ascii="Arial" w:cs="Arial" w:eastAsia="Arial" w:hAnsi="Arial"/>
                <w:sz w:val="15"/>
                <w:szCs w:val="15"/>
                <w:color w:val="auto"/>
              </w:rPr>
              <w:t>(1)</w:t>
            </w:r>
          </w:p>
        </w:tc>
        <w:tc>
          <w:tcPr>
            <w:tcW w:w="18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$142,865</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$21,799</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$121,066</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License agreement</w:t>
            </w:r>
          </w:p>
        </w:tc>
        <w:tc>
          <w:tcPr>
            <w:tcW w:w="1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(2)</w:t>
            </w:r>
          </w:p>
        </w:tc>
        <w:tc>
          <w:tcPr>
            <w:tcW w:w="1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143,015</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21,949</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121,066</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58"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represent minimum purchase commitments under an arrangement with our CDMO for commercial supply. The table reflects obligations that are non-cancelable as of December 31, 2020, based on the expected due dates for such purchases.</w:t>
      </w:r>
    </w:p>
    <w:p>
      <w:pPr>
        <w:spacing w:after="0" w:line="1"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Through December 31, 2020, we have operated as a virtual company. Therefore, we do not maintain a corporate headquarters or have material leasing arrangements.</w:t>
      </w:r>
    </w:p>
    <w:p>
      <w:pPr>
        <w:spacing w:after="0" w:line="18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have a manufacturing agreement with WuXi, which outlines the terms and conditions under which it will manufacture ADG20 drug substance for commercial use. Our requirements for manufacture of ADG20 for the years ending December 31, 2021 and 2022, the payments for which will extend into 2023, are governed by a binding, forecasted schedule and are presented in the preceding table.</w:t>
      </w:r>
    </w:p>
    <w:p>
      <w:pPr>
        <w:spacing w:after="0" w:line="18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Under a separate cell line license agreement with WuXi, as of December 31, 2020, we were obligated to pay a license fee of $0.2 million to WuXi, which was an accrued expense as of December 31, 2020 and March 31, 2021. Under the agreement, we are obligated to pay royalties in the range of 0.3% to 0.5% to WuXi based on our net sales of any products covered by the license. However, if we use WuXi to manufacture all of our commercial supplies, no royalties would be owed by us to WuXi for net sales of licensed products. We have an option to buy out our royalty obligations by making a one-time payment of $15.0 million to WuXi. These royalty payments are not included in the preceding table as the amount and timing of such payments are not known.</w:t>
      </w:r>
    </w:p>
    <w:p>
      <w:pPr>
        <w:spacing w:after="0" w:line="19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Under the Adimab Assignment Agreement, we are obligated to pay Adimab up to $16.5 million upon the achievement of specified development and regulatory milestones for the first product licensed under the agreement that achieves specified development and regulatory events and up to $8.1 million upon the achievement of specified development and regulatory milestones for the second product licensed under the agreement that achieves such development and regulatory events. In February 2021, we achieved the first specified milestone under the agreement upon dosing of the first patient in a Phase 1 clinical trial evaluating ADG20, which obligated us to make a $1.0 million payment to Adimab. We made the payment in March 2021. In April 2021, we achieved the second specified milestone under the agreement upon dosing of the first patient in a Phase 2 clinical trial evaluating ADG20 for the prevention of COVID-19, which obligated us to make a $2.5 million payment to Adimab. We made the payment in June 2021. The next potential milestone payment that we may be obligated to make is a $4.0 million milestone payment for the first dosing of the first subject in the first Phase 3 clinical trial of a product licensed under the agreement. In addition, we are obligated to pay Adimab royalties of a mid single-digit percentage based on our net sales of any products covered by the rights assigned. Further, we are obligated to pay Adimab royalties of a specified percentage in the range of 45% to 55% of any compulsory sublicense consideration received by us in lieu of certain royalty payments. These milestone and royalty payments are not included in the preceding table as the amount and timing of such payments are not known. For additional information, see “Business—Licensing, Collaborations and Partnerships—Assignment and License Agreement with Adimab” and “Certain Relationships and Related Party Transactions” appearing elsewhere in this prospectus.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In May 2021, we entered into a collaboration agreement with Adimab, or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Under the agreement, we are obligated to pay Adimab a quarterly fee of $1.3 million, which obligation may be cancelled at our option at any time.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Under the Adimab Collaboration Agreement, 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 These milestone and royalty payments are not included in the preceding table as the amount and timing of such payments are not known. For additional information, see “Business— Licensing, Collaborations and Partnerships—Collaboration Agreement with Adimab” and “Certain Relationships and Related Party Transactions” appearing elsewhere in this prospectus.</w:t>
      </w:r>
    </w:p>
    <w:p>
      <w:pPr>
        <w:spacing w:after="0" w:line="180"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enter into other contracts in the normal course of business with CROs, contract manufacturing organizations and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 Accordingly, these payments are not included in the preceding table as the amount and timing of such payments are not known.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or GAAP. The preparation of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at the end of this prospectus, we believe the following accounting policies used in the preparation of our consolidated financial statements require the most significant judgments and estimates.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estimating the level of service performed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67"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CROs in connection with performing non-clinical studies, preclinical studies and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CDMOs related to the production of our product candidates for non-clinical studies, preclinical studies and clinical trials;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providers and vendors in connection with research and development activities.</w:t>
      </w:r>
    </w:p>
    <w:p>
      <w:pPr>
        <w:spacing w:after="0" w:line="22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CDMOs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 Acquisitions and Acquired In-Process Research and Development Expenses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measure and recognize asset acquisitions that are not deemed to be business combinations based on the cost to acquire the asset or group of assets, which includes transaction costs. Goodwill is not recognized in asset acquisitions. In an asset acquisition, the cost allocated to acquire IPR&amp;D with no alternative future use is recognized as expense on the acquisition date.</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concluded that the agreement under which we acquired rights to Adimab’s antibodies relating to COVID-19 and SARS and related intellectual property and a license to certain of Adimab’s platform patents and technology in June 2020 represented an asset acquisition of IPR&amp;D assets with no alternative future use. We further concluded that the arrangement did not qualify as a business combination because substantially all of the fair value of the assets acquired was concentrated in a single asset.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grant stock-based awards to employees, directors and non-employees in the form of stock options to purchase shares of our common stock. We measure stock options with service-based vesting granted to employees, directors and non-employees based on the fair value on the date of grant using the Black-Scholes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option-pricing model. We have issued awards with only service-based vesting conditions.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We have issued awards with only service-based vesting conditions through March 31, 2021.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166"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In future periods, we expect stock-based compensation expense to increase due to our existing unrecognized stock-based compensation expense and to additional stock-based awards we expect to grant to continue to attract new hires and retain our existing employees.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Determination of Fair Value of Common Stock</w:t>
      </w:r>
    </w:p>
    <w:p>
      <w:pPr>
        <w:spacing w:after="0" w:line="117"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As there has been no public market for our common stock prior to this offering, the estimated fair value of our common stock underlying our stock-based awards has been determined by our board of directors as of each 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prepared in accordance with the guidance outlined in the American Institute of Certified Public Accountants’ Accounting and Valuation Guide</w:t>
      </w:r>
      <w:r>
        <w:rPr>
          <w:rFonts w:ascii="Arial" w:cs="Arial" w:eastAsia="Arial" w:hAnsi="Arial"/>
          <w:sz w:val="16"/>
          <w:szCs w:val="16"/>
          <w:i w:val="1"/>
          <w:iCs w:val="1"/>
          <w:color w:val="auto"/>
        </w:rPr>
        <w:t>, Valuation of Privately-Held Company Equity Securities Issued as Compensation.</w:t>
      </w:r>
      <w:r>
        <w:rPr>
          <w:rFonts w:ascii="Arial" w:cs="Arial" w:eastAsia="Arial" w:hAnsi="Arial"/>
          <w:sz w:val="16"/>
          <w:szCs w:val="16"/>
          <w:color w:val="auto"/>
        </w:rPr>
        <w:t xml:space="preserve"> Our common stock valuations were prepared using either a current value method, or CVM, an option pricing method, or OPM, or a hybrid method. To estimate our enterprise value, the CVM used an asset approach and the OPM and hybrid methods used a market approach. Under the CVM, once the fair value of the enterprise is established based on the balance sheet, the value is allocated to the various series of preferred and common stock based on their respective liquidation preferences or conversion values, whichever is greater.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6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These third-party valuations were performed at various dates, which resulted in valuations of our common stock of $0.00 per share as of June 19, 2020, $3.90 per share as of July 9, 2020, $23.04 per share as of October 31, 2020, $41.80 as of March 15, 2021 and $50.68 as of May 1, 2021. In addition to considering the results of these third-party valuations, our board of directors considered various objective and subjective factors to determine the fair value of common stock as of each grant date, including:</w:t>
      </w:r>
    </w:p>
    <w:p>
      <w:pPr>
        <w:spacing w:after="0" w:line="92" w:lineRule="exact"/>
        <w:rPr>
          <w:sz w:val="20"/>
          <w:szCs w:val="20"/>
          <w:color w:val="auto"/>
        </w:rPr>
      </w:pPr>
    </w:p>
    <w:p>
      <w:pPr>
        <w:ind w:left="1080" w:right="20" w:hanging="532"/>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prices at which we sold our preferred stock and the superior rights and preferences of our preferred stock relative to those of our common stock at the time of each grant;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clinical trials for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stage of development and our business strategy;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competitive landscape for similar products for the treatment and prevention of COVID-19;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184"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based on the quoted market price of our common stock.</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Option Grants</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The following table summarizes by grant date the number of shares subject to options granted since June 3, 2020 (inception), the per share exercise price of the options, the per share fair value of our common stock on each grant date and the per share estimated fair value of the options: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1"/>
              </w:rPr>
              <w:t>Per Share</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3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Exercise</w:t>
            </w:r>
          </w:p>
        </w:tc>
        <w:tc>
          <w:tcPr>
            <w:tcW w:w="300" w:type="dxa"/>
            <w:vAlign w:val="bottom"/>
          </w:tcPr>
          <w:p>
            <w:pPr>
              <w:spacing w:after="0"/>
              <w:rPr>
                <w:sz w:val="12"/>
                <w:szCs w:val="12"/>
                <w:color w:val="auto"/>
              </w:rPr>
            </w:pPr>
          </w:p>
        </w:tc>
        <w:tc>
          <w:tcPr>
            <w:tcW w:w="1440" w:type="dxa"/>
            <w:vAlign w:val="bottom"/>
            <w:gridSpan w:val="3"/>
          </w:tcPr>
          <w:p>
            <w:pPr>
              <w:jc w:val="center"/>
              <w:ind w:right="404"/>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2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40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to Options</w:t>
            </w:r>
          </w:p>
        </w:tc>
        <w:tc>
          <w:tcPr>
            <w:tcW w:w="30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3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000" w:type="dxa"/>
            <w:vAlign w:val="bottom"/>
          </w:tcPr>
          <w:p>
            <w:pPr>
              <w:spacing w:after="0"/>
              <w:rPr>
                <w:sz w:val="15"/>
                <w:szCs w:val="15"/>
                <w:color w:val="auto"/>
              </w:rPr>
            </w:pPr>
          </w:p>
        </w:tc>
        <w:tc>
          <w:tcPr>
            <w:tcW w:w="12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Granted</w:t>
            </w:r>
          </w:p>
        </w:tc>
        <w:tc>
          <w:tcPr>
            <w:tcW w:w="300" w:type="dxa"/>
            <w:vAlign w:val="bottom"/>
          </w:tcPr>
          <w:p>
            <w:pPr>
              <w:spacing w:after="0"/>
              <w:rPr>
                <w:sz w:val="15"/>
                <w:szCs w:val="15"/>
                <w:color w:val="auto"/>
              </w:rPr>
            </w:pPr>
          </w:p>
        </w:tc>
        <w:tc>
          <w:tcPr>
            <w:tcW w:w="9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5"/>
                <w:szCs w:val="15"/>
                <w:color w:val="auto"/>
              </w:rPr>
            </w:pPr>
          </w:p>
        </w:tc>
        <w:tc>
          <w:tcPr>
            <w:tcW w:w="1440" w:type="dxa"/>
            <w:vAlign w:val="bottom"/>
            <w:gridSpan w:val="3"/>
          </w:tcPr>
          <w:p>
            <w:pPr>
              <w:jc w:val="center"/>
              <w:ind w:right="404"/>
              <w:spacing w:after="0" w:line="158" w:lineRule="exact"/>
              <w:rPr>
                <w:sz w:val="20"/>
                <w:szCs w:val="20"/>
                <w:color w:val="auto"/>
              </w:rPr>
            </w:pPr>
            <w:r>
              <w:rPr>
                <w:rFonts w:ascii="Arial" w:cs="Arial" w:eastAsia="Arial" w:hAnsi="Arial"/>
                <w:sz w:val="14"/>
                <w:szCs w:val="14"/>
                <w:b w:val="1"/>
                <w:bCs w:val="1"/>
                <w:color w:val="auto"/>
                <w:w w:val="95"/>
              </w:rPr>
              <w:t>on Grant Date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June 19, 2020</w:t>
            </w:r>
          </w:p>
        </w:tc>
        <w:tc>
          <w:tcPr>
            <w:tcW w:w="40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1,388,648</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84"/>
              </w:rPr>
              <w:t>$0.02</w:t>
            </w:r>
          </w:p>
        </w:tc>
        <w:tc>
          <w:tcPr>
            <w:tcW w:w="480" w:type="dxa"/>
            <w:vAlign w:val="bottom"/>
            <w:tcBorders>
              <w:top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87"/>
              </w:rPr>
              <w:t>(1)</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4"/>
              </w:rPr>
              <w:t>September 28, 2020</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auto"/>
              </w:rPr>
              <w:t>593,614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$5.00</w:t>
            </w:r>
            <w:r>
              <w:rPr>
                <w:rFonts w:ascii="Arial" w:cs="Arial" w:eastAsia="Arial" w:hAnsi="Arial"/>
                <w:sz w:val="15"/>
                <w:szCs w:val="15"/>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January 13,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502,600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23.04</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April 13, 2021</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auto"/>
              </w:rPr>
              <w:t>239,750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41.80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41.80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May 7,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1,268,348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50.68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9"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the time of the option grants on June 19, 2020 and September 28, 2020, our board of directors determined that the fair value of our common stock of $0.01 per share and $3.90 per share reasonably reflected the fair value of our common stock as of each grant date, based on the contemporaneous valuations obtained. However, as described below, the fair value of our common stock at the date of these grants was adjusted in connection with retrospective fair value assessments for accounting purposes.</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the course of preparing for this offering, in April 2021, we performed a retrospective fair value assessment and concluded that the fair value of our common stock underlying stock options that we granted on June 19, 2020 and September 28, 2020 was $0.02 per share as of June 19, 2020 and $5.00 per share as of September 28, 2020 for accounting purposes. These reassessed values were based, in part, upon third-party valuations of our common stock prepared on a retrospective basis as of July 8, 2020 and September 28, 2020. The third-party retrospective valuations were prepared using the CVM or the OPM, which used an asset approach or a market approach to determine our enterprise value. We applied the fair values of our common stock from our retrospective fair value assessments to determine the fair value of these awards and calculate stock-based compensation expense for accounting purposes.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and cash flows is disclosed in Note 2 to our consolidated financial statements appearing at the end of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identified a material weakness in our internal control over financial reporting that existed as of March 31, 2021. See “Risk Factors—We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As of December 31, 2020, we had cash and cash equivalents of $115.0 million, which consisted of cash and a money market fund. As of March 31, 2021, we had cash and cash equivalents of $91.2 million, which consisted of cash and a money market fund. Interest income is sensitive to changes in the general level of interest rates; however, due to the nature of these investments, an immediate 10% change in interest rates would not have a material impact on the fair value of our investment portfolio. As of December 31, 2020 and March 31, 2021, we had no debt outstanding. Therefore, we are not exposed to interest rate risk with respect to debt.</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Our operations may be subject to fluctuations in foreign currency exchange rates in the future.</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 over 40 of which have advanced into clinical trials.</w:t>
      </w:r>
    </w:p>
    <w:p>
      <w:pPr>
        <w:spacing w:after="0" w:line="18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ADG20 is designed to be a potent, long-acting and broadly neutralizing antibody for both the treatment and prevention of COVID-19 as either a single or combination agent. Unlike other antibody-based therapies specifically targeting SARS-CoV-2, ADG20 has demonstrated an ability to potently neutralize SARS-CoV-2, including variants of concern, as well as a broad range of SARS-like viruses in non-clinical studies. Potent neutralization has translated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following administration of ADG20 were within the range of peak serum neutralizing antibody titers reported for mRNA COVID-19 vaccine recipients.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79"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Over the past 20 years, three pathogenic novel coronaviruses have spilled over into the human population from animal reservoirs to cause outbreaks of deadly pneumonia, including COVID-19, severe acute respiratory syndrome, or SARS, and Middle East respiratory syndrome, or MERS. Most recently, SARS-CoV-2 has given rise to a global pandemic that swept rapidly throughout the world in 2020. Of significant current concern is the emergence of a number of SARS-CoV-2 variants with increased transmissibility and/or the ability to evade neutralizing antibodies. In addition to the emergence of these variants, there are multiple factors that we believe contribute to the likelihood of COVID-19 becoming an endemic threat, including:</w:t>
      </w:r>
    </w:p>
    <w:p>
      <w:pPr>
        <w:spacing w:after="0" w:line="2" w:lineRule="exact"/>
        <w:rPr>
          <w:sz w:val="20"/>
          <w:szCs w:val="20"/>
          <w:color w:val="auto"/>
        </w:rPr>
      </w:pPr>
    </w:p>
    <w:p>
      <w:pPr>
        <w:jc w:val="both"/>
        <w:ind w:left="120" w:hanging="4"/>
        <w:spacing w:after="0" w:line="252" w:lineRule="auto"/>
        <w:tabs>
          <w:tab w:leader="none" w:pos="376"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uneven global rollout of vaccinations; (2) ongoing vaccine hesitancy; (3) unknown duration of immunity and efficacy against current and future viral variants conferred by currently available vaccines; (4) uncertain impact of vaccines on transmission; and (5) variable implementation of virus mitigation behaviors, such as wearing masks and social distancing. As a result, our epidemiological modeling has suggested that as much as 50% of the global population may be susceptible to SARS-CoV-2 infection within three years. We also believe that future pandemics similar to the COVID-19 pandemic are likely because, in many parts of the world, humans live in close proximity to animal species harboring SARS-like viruses that are capable of infecting humans.</w:t>
      </w:r>
    </w:p>
    <w:p>
      <w:pPr>
        <w:spacing w:after="0" w:line="19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optimize our candidate molecules to improve breadth, potency, half-life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developability. Key elements that differentiate our approach include: (1) recognition of the importance of broadly neutralizing antibodies;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industry-leading B-cell mining, protein engineering and developability screening capabilities through our partnership with Adimab; and</w:t>
      </w:r>
    </w:p>
    <w:p>
      <w:pPr>
        <w:spacing w:after="0" w:line="9" w:lineRule="exact"/>
        <w:rPr>
          <w:sz w:val="20"/>
          <w:szCs w:val="20"/>
          <w:color w:val="auto"/>
        </w:rPr>
      </w:pPr>
    </w:p>
    <w:p>
      <w:pPr>
        <w:jc w:val="both"/>
        <w:ind w:left="120" w:right="20" w:hanging="4"/>
        <w:spacing w:after="0" w:line="302" w:lineRule="auto"/>
        <w:tabs>
          <w:tab w:leader="none" w:pos="402"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development of antibodies with reduced risk of clinical resistance. We believe that a mAb therapy that provides potent and broad neutralizing activity, convenient outpatient administration and both rapid and durable protection will have the potential to address the limitations of currently available treatment and prevention options for COVID-19 as well as future diseases that may arise from SARS-like viruses with pandemic potential.</w:t>
      </w:r>
    </w:p>
    <w:p>
      <w:pPr>
        <w:spacing w:after="0" w:line="15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Our lead clinical-stage product candidate, ADG20, was discovered and engineered by our founding scientists to be a highly potent and broad mAb-based therapeutic candidate for both the treatment and prevention of COVID-19. They focused on isolating an antibody capable of broadly neutralizing the entire viral class of SARS-like viruses, known as sarbecoviruses, as opposed to only neutralizing SARS-CoV-2.</w:t>
      </w:r>
    </w:p>
    <w:p>
      <w:pPr>
        <w:spacing w:after="0" w:line="165"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We have completed enrollment in our first-in-human Phase 1 clinical trial in healthy volunteers. Interim data demonstrated that ADG20 was well tolerated and displayed a pharmacokinetic profile consistent with an extended half-life mAb. In addition, the serum virus neutralizing antibody titers measured following administration of ADG20 were within the range of peak serum neutralizing antibody titers reported for mRNA COVID-19 vaccine recipients. For the treatment of mild to moderate COVID-19 in patients at high risk of disease progression, we are conducting our STAMP trial, a combined Phase 2/3 global clinical trial designed to provide a near-term path to authorization, marketing approval and commercial launch. For the prevention of COVID-19, we are conducting our EVADE trial, a combined Phase 2/3 platform clinical trial in both post-exposure and pre-exposure populations. If these clinical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as well. In addition, we are developing a clinical plan to support the use of ADG20 in the pediatric population for both the treatment and prevention of COVID-19.</w:t>
      </w:r>
    </w:p>
    <w:p>
      <w:pPr>
        <w:spacing w:after="0" w:line="16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are also evaluating additional broadly neutralizing antibodies, such as ADG10, for potential use in combination with ADG20 for COVID-19. We believe the incorporation of a second broadly neutralizing antibody that targets a distinct viral epitope from the epitope targeted by ADG20 will ensure long-lasting product activity against COVID-19 as new variants of SARS-CoV-2 emerge, as well as against future potential outbreaks of disease that may arise from additional SARS-like viruses with pandemic potential. In addition, we plan to leverage the robust antibody discovery and development capabilities that have enabled our expedited advancement of ADG20 into clinical trials to develop therapeutic or preventative options for other respiratory viral infections, such as additional coronaviruses and seasonal and pandemic influenza. In addition to building a portfolio of broadly neutralizing antibodies, we are leveraging our knowledge around broadly neutralizing antibody responses to inform the rational design of coronavirus vaccine antigens.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 and Team</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were founded in June 2020 to develop of a portfolio of anti-coronavirus antibodies discovered by Adimab for both the treatment and prevention of COVID-19 and future coronavirus outbreaks. Our founding scientists discovered ADG20, our lead product candidate, while working at Adimab, an industry leader in translating target hypotheses into therapeutically relevant antibodies. The Adimab platform has been used in more than 385 antibody discovery and optimization programs, more than 40 of which have advanced into clinical trials, including five programs in pivotal clinical trials. In order to maximize ADG20’s potential and to ensure its development and commercialization with appropriate infectious disease resources and development expertise, we were launched as a new biotechnology company. Since our founding, we have assembled a team of industry veterans with substantial experience in discovering, developing and commercializing novel treatments for infectious diseases, including extensive experience discovering and optimizing mAbs. Many of our team members have held senior positions at companies such as Cubist Pharmaceuticals, Inc., Vir Biotechnology Inc., Adimab, Biogen and Ironwood Pharmaceuticals, among others.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Since our inception, we have raised approximately $470 million of capital from leading institutional healthcare investors and our partners. Our leadership team has more than 100 years of combined development and commercialization experience with small and large molecules in infectious disease, as well as decades of domain expertise in B-cell immunology of viral diseases.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goal is to develop and commercialize differentiated antibody-based solutions with broadly neutralizing activity for the treatment and prevention of diseases caused by SARS-CoV-2, its variants and additional SARS-like viruses with pandemic potential. In order to achieve this goal, our strategy involves executing on the following key elements:</w:t>
      </w:r>
    </w:p>
    <w:p>
      <w:pPr>
        <w:spacing w:after="0" w:line="85" w:lineRule="exact"/>
        <w:rPr>
          <w:sz w:val="20"/>
          <w:szCs w:val="20"/>
          <w:color w:val="auto"/>
        </w:rPr>
      </w:pPr>
    </w:p>
    <w:p>
      <w:pPr>
        <w:jc w:val="both"/>
        <w:ind w:left="1080" w:hanging="532"/>
        <w:spacing w:after="0" w:line="277"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team’s collective expertise in development, manufacturing and commercialization to efficiently bring ADG20 to patients. </w:t>
      </w:r>
      <w:r>
        <w:rPr>
          <w:rFonts w:ascii="Arial" w:cs="Arial" w:eastAsia="Arial" w:hAnsi="Arial"/>
          <w:sz w:val="17"/>
          <w:szCs w:val="17"/>
          <w:color w:val="auto"/>
        </w:rPr>
        <w:t>Since our inception, we have assembled a team with deep and specific expertise in discovering, developing, manufacturing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commercializing novel treatments for infectious diseases, including extensive experience with developing mAb therapies. Based on our team’s successful track record, collectively, we believe we will be able to execute on the clinical, regulatory, manufacturing and commercialization plan for ADG20, as well as any future programs, in an efficient manner.</w:t>
      </w:r>
    </w:p>
    <w:p>
      <w:pPr>
        <w:spacing w:after="0" w:line="73" w:lineRule="exact"/>
        <w:rPr>
          <w:rFonts w:ascii="Arial" w:cs="Arial" w:eastAsia="Arial" w:hAnsi="Arial"/>
          <w:sz w:val="17"/>
          <w:szCs w:val="17"/>
          <w:color w:val="auto"/>
        </w:rPr>
      </w:pPr>
    </w:p>
    <w:p>
      <w:pPr>
        <w:jc w:val="both"/>
        <w:ind w:left="1080" w:hanging="532"/>
        <w:spacing w:after="0" w:line="268"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Complete development and obtain global approval for our lead product candidate, ADG20, for both the treatment and prevention of COVID-19</w:t>
      </w:r>
      <w:r>
        <w:rPr>
          <w:rFonts w:ascii="Arial" w:cs="Arial" w:eastAsia="Arial" w:hAnsi="Arial"/>
          <w:sz w:val="17"/>
          <w:szCs w:val="17"/>
          <w:color w:val="auto"/>
        </w:rPr>
        <w:t>. Our clinical development plan for ADG20 includes two global clinical trials to demonstrate the efficacy and safety of</w:t>
      </w:r>
      <w:r>
        <w:rPr>
          <w:rFonts w:ascii="Arial" w:cs="Arial" w:eastAsia="Arial" w:hAnsi="Arial"/>
          <w:sz w:val="17"/>
          <w:szCs w:val="17"/>
          <w:b w:val="1"/>
          <w:bCs w:val="1"/>
          <w:color w:val="auto"/>
        </w:rPr>
        <w:t xml:space="preserve"> </w:t>
      </w:r>
      <w:r>
        <w:rPr>
          <w:rFonts w:ascii="Arial" w:cs="Arial" w:eastAsia="Arial" w:hAnsi="Arial"/>
          <w:sz w:val="17"/>
          <w:szCs w:val="17"/>
          <w:color w:val="auto"/>
        </w:rPr>
        <w:t>ADG20 for treatment and prevention of COVID-19, respectively. We have completed enrollment in our first-in-human Phase 1 clinical trial in healthy volunteers. Interim data demonstrated that ADG20 was well tolerated and displayed a pharmacokinetic profile consistent with an extended half-life mAb. In addition, the serum virus neutralizing antibody titers measured following administration of ADG20 were within the range of peak serum neutralizing antibody titers reported for mRNA COVID-19 vaccine recipients. We are conducting our Phase 2/3 STAMP trial, which is designed to provide a near-term path to authorization, marketing approval and commercial launch for the treatment of mild to moderate COVID-19 in patients at high risk of disease progression. This clinical trial includes an interim analysis for efficacy, which has the potential to support an EUA. The clinical data from the interim analysis will be further supplemented with nonclinical virological data demonstrating broad neutralizing activity against a comprehensive panel of known SARS-CoV-2 variants, including variants that are partially or fully resistant to certain currently available mAb therapies and vaccines. Similarly, we are conducting our Phase 2/3 global clinical trial, EVADE, to evaluate ADG20 in the prevention of symptomatic COVID-19 in two separate populations: (1) individuals with known exposure to a person with laboratory-confirmed SARS-CoV-2 infection, also known as post-exposure prophylaxis, and (2) individuals who are at increased risk for SARS-CoV-2 infection, also known as pre-exposure prophylaxis, including those at increased risk of poor vaccine response. 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w:t>
      </w:r>
    </w:p>
    <w:p>
      <w:pPr>
        <w:spacing w:after="0" w:line="80" w:lineRule="exact"/>
        <w:rPr>
          <w:rFonts w:ascii="Arial" w:cs="Arial" w:eastAsia="Arial" w:hAnsi="Arial"/>
          <w:sz w:val="17"/>
          <w:szCs w:val="17"/>
          <w:color w:val="auto"/>
        </w:rPr>
      </w:pPr>
    </w:p>
    <w:p>
      <w:pPr>
        <w:jc w:val="both"/>
        <w:ind w:left="1080" w:hanging="532"/>
        <w:spacing w:after="0" w:line="294"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Successfully commercialize ADG20, if approved. </w:t>
      </w:r>
      <w:r>
        <w:rPr>
          <w:rFonts w:ascii="Arial" w:cs="Arial" w:eastAsia="Arial" w:hAnsi="Arial"/>
          <w:sz w:val="16"/>
          <w:szCs w:val="16"/>
          <w:color w:val="auto"/>
        </w:rPr>
        <w:t>We believe ADG20 will have several attractive clinical and commercial attributes,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(1) potent and broad neutralizing activity across sarbecoviruses, including against SARS-CoV-2 and known, circulating variants of concern; (2) rapid onset of protection; (3) differentiated durability; (4) convenient, single-dose IM injection for use in the outpatient setting; (5) ability to both complement and supplement currently available COVID-19 vaccines, including for immunocompromised individuals; (6) high titer, high yield manufacturing process; (7) standard refrigeration requirements to facilitate worldwide distribution and storage; and (8) long shelf life to enable stockpiling. Our plan for the commercialization of ADG20 involves direct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57" w:lineRule="auto"/>
        <w:rPr>
          <w:sz w:val="20"/>
          <w:szCs w:val="20"/>
          <w:color w:val="auto"/>
        </w:rPr>
      </w:pPr>
      <w:r>
        <w:rPr>
          <w:rFonts w:ascii="Arial" w:cs="Arial" w:eastAsia="Arial" w:hAnsi="Arial"/>
          <w:sz w:val="18"/>
          <w:szCs w:val="18"/>
          <w:color w:val="auto"/>
        </w:rPr>
        <w:t>sales to governments, including relevant health agencies and national health systems, and in the United States, health insurers, integrated delivery networks and large employers. We intend to establish our own commercial organization in the United States and Europe, where we believe a focused commercial infrastructure will be able to successfully commercialize ADG20. In other markets, such as Latin America, Asia-Pacific, including China, and Middle Eastern and African countries, we intend to commercialize ADG20 through partnerships.</w:t>
      </w:r>
    </w:p>
    <w:p>
      <w:pPr>
        <w:spacing w:after="0" w:line="89" w:lineRule="exact"/>
        <w:rPr>
          <w:sz w:val="20"/>
          <w:szCs w:val="20"/>
          <w:color w:val="auto"/>
        </w:rPr>
      </w:pPr>
    </w:p>
    <w:p>
      <w:pPr>
        <w:jc w:val="both"/>
        <w:ind w:left="1080" w:hanging="532"/>
        <w:spacing w:after="0" w:line="254"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Continue to secure additional manufacturing capacity with trusted CDMO partners to enable a worldwide commercial launch. </w:t>
      </w:r>
      <w:r>
        <w:rPr>
          <w:rFonts w:ascii="Arial" w:cs="Arial" w:eastAsia="Arial" w:hAnsi="Arial"/>
          <w:sz w:val="18"/>
          <w:szCs w:val="18"/>
          <w:color w:val="auto"/>
        </w:rPr>
        <w:t>Due to ongoing worldwide manufacturing capacity constraints, we have identified and secured the necessary manufacturing capabilities and capacity to enable the near-term development and commercialization of ADG20. In partnership with WuXi Biologics (Hong Kong) Limited, or WuXi, we have developed a high titer, high yield manufacturing process and a formulation that enables IM delivery and have manufactured all the required doses for our STAMP and EVADE clinical trials. We have also selected WuXi as our initial commercial manufacturing partner and believe we have secured sufficient capacity for our initial commercial launch, if ADG20 is approved. We are continuing to evaluate access to additional capacity at both WuXi and other CDMOs to ensure we can meet expected long-term commercial demand.</w:t>
      </w:r>
    </w:p>
    <w:p>
      <w:pPr>
        <w:spacing w:after="0" w:line="97" w:lineRule="exact"/>
        <w:rPr>
          <w:rFonts w:ascii="Arial" w:cs="Arial" w:eastAsia="Arial" w:hAnsi="Arial"/>
          <w:sz w:val="18"/>
          <w:szCs w:val="18"/>
          <w:color w:val="auto"/>
        </w:rPr>
      </w:pPr>
    </w:p>
    <w:p>
      <w:pPr>
        <w:jc w:val="both"/>
        <w:ind w:left="1080" w:right="20" w:hanging="532"/>
        <w:spacing w:after="0" w:line="274"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Develop additional antibodies for use in potential combination with ADG20 to address future potential variants of SARS-CoV-2 and other sarbecovirus outbreaks. </w:t>
      </w:r>
      <w:r>
        <w:rPr>
          <w:rFonts w:ascii="Arial" w:cs="Arial" w:eastAsia="Arial" w:hAnsi="Arial"/>
          <w:sz w:val="17"/>
          <w:szCs w:val="17"/>
          <w:color w:val="auto"/>
        </w:rPr>
        <w:t>The current COVID-19 pandemic has been exacerbated by the global emergence and spread of</w:t>
      </w:r>
      <w:r>
        <w:rPr>
          <w:rFonts w:ascii="Arial" w:cs="Arial" w:eastAsia="Arial" w:hAnsi="Arial"/>
          <w:sz w:val="17"/>
          <w:szCs w:val="17"/>
          <w:b w:val="1"/>
          <w:bCs w:val="1"/>
          <w:color w:val="auto"/>
        </w:rPr>
        <w:t xml:space="preserve"> </w:t>
      </w:r>
      <w:r>
        <w:rPr>
          <w:rFonts w:ascii="Arial" w:cs="Arial" w:eastAsia="Arial" w:hAnsi="Arial"/>
          <w:sz w:val="17"/>
          <w:szCs w:val="17"/>
          <w:color w:val="auto"/>
        </w:rPr>
        <w:t>SARS-CoV-2 variants with varying levels of resistance to existing therapies, highlighting the need for proactive planning to allow for a rapid and effective response against future coronavirus outbreaks. We are building a portfolio of broadly neutralizing antibodies that target viral epitopes distinct from that targeted by ADG20. We believe combinations of these antibodies, including with ADG20, have the potential to further enhance the breadth and effectiveness of our products.</w:t>
      </w:r>
    </w:p>
    <w:p>
      <w:pPr>
        <w:spacing w:after="0" w:line="78" w:lineRule="exact"/>
        <w:rPr>
          <w:rFonts w:ascii="Arial" w:cs="Arial" w:eastAsia="Arial" w:hAnsi="Arial"/>
          <w:sz w:val="17"/>
          <w:szCs w:val="17"/>
          <w:color w:val="auto"/>
        </w:rPr>
      </w:pPr>
    </w:p>
    <w:p>
      <w:pPr>
        <w:jc w:val="both"/>
        <w:ind w:left="1080" w:hanging="532"/>
        <w:spacing w:after="0" w:line="277"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Leverage relationships with Adimab and academic institutions to discover additional antibody-based solutions to address coronaviruses and influenza infections. </w:t>
      </w:r>
      <w:r>
        <w:rPr>
          <w:rFonts w:ascii="Arial" w:cs="Arial" w:eastAsia="Arial" w:hAnsi="Arial"/>
          <w:sz w:val="17"/>
          <w:szCs w:val="17"/>
          <w:color w:val="auto"/>
        </w:rPr>
        <w:t>Our ongoing relationship with Adimab provides us with access to Adimab’s unique B-cell</w:t>
      </w:r>
      <w:r>
        <w:rPr>
          <w:rFonts w:ascii="Arial" w:cs="Arial" w:eastAsia="Arial" w:hAnsi="Arial"/>
          <w:sz w:val="17"/>
          <w:szCs w:val="17"/>
          <w:b w:val="1"/>
          <w:bCs w:val="1"/>
          <w:color w:val="auto"/>
        </w:rPr>
        <w:t xml:space="preserve"> </w:t>
      </w:r>
      <w:r>
        <w:rPr>
          <w:rFonts w:ascii="Arial" w:cs="Arial" w:eastAsia="Arial" w:hAnsi="Arial"/>
          <w:sz w:val="17"/>
          <w:szCs w:val="17"/>
          <w:color w:val="auto"/>
        </w:rPr>
        <w:t>mining and protein engineering capabilities. We believe this relationship will allow us to further expand our portfolio with additional uniquely differentiated antibodies for coronaviruses as well as influenza. In addition, we collaborate with academic institutions for the discovery of vaccine immunogens that elicit broadly protective immune responses against influenza and coronaviruses.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on Coronaviruses</w:t>
      </w:r>
    </w:p>
    <w:p>
      <w:pPr>
        <w:spacing w:after="0" w:line="12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Coronaviruses comprise a large family of viruses that are grouped into four genera: alphacoronavirus, betacoronavirus, gammacoronavirus and deltacoronavirus. Over the past 20 years, three pathogenic novel betacoronaviruses have spilled over into the human population from animal reservoirs to cause outbreaks of deadly pneumonia, including COVID-19, SARS and MERS. In many parts of the world, humans live in close proximity to animal species harboring sarbecoviruses, a lineage of betacoronaviruses that are capable of using human angiotensin-converting enzyme 2, or hACE2, receptors, and enabling infection in humans. In particular, bats are known to host such viruses, and large bat populations exist alongside humans in certain regions across the world, including eastern Europe, East Africa and southern China. Furthermore, bats are capable of carrying multiple sarbecoviruses, allowing for genetic recombination and the emergence of viral variants with higher propensity for transmission to humans. Current estimates suggest that between 6% and 23% of bats harbor viruses with such transmission potential. Not surprisingly, humans living in close proximity to bat populations have been infected by SARS-like coronaviruses. For example, approximately 0.5% to 3% of the rural population in southern China have antibody responses to these viruses, demonstrating past infection. This highlights the zoonotic nature of the sarbecovirus lineage, which includes both SARS-CoV-1 and SARS-CoV-2. Continued human intrusion into previously undeveloped habitats and increased exposure to these viral reservoirs are likely to result in more frequent occurrences of viral spillover, with potentially catastrophic consequences.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COVID-19, the disease caused by SARS-CoV-2 and its variants, has given rise to a global pandemic that swept rapidly throughout the world in 2020. The genome of SARS-CoV-2 encodes a spike, or S, protein, which is the surface protein common to all members of the coronavirus family and mediates attachment and entry into host cells. The S protein is the major antigen target for the host immune response, and neutralizing antibodies to this protein are associated with protection from infection and disease. For this reason, S protein is the primary target for currently available vaccines and therapeutic mAbs.</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COVID-19 remains a significant global health crisis and case numbers continue to rise. According to estimates as of May 20, 2021 from the Johns Hopkins University, there have been approximately 165 million cases of laboratory-confirmed COVID-19 and 3.4 million COVID-19-related deaths worldwide, with over 33 million laboratory-confirmed cases of COVID-19 and more than 587,000 COVID-19-related deaths in the United States. Disease modeling conducted by several different organizations have further suggested that these estimates significantly undercount the true number of infections and deaths related to COVID-19.</w:t>
      </w:r>
    </w:p>
    <w:p>
      <w:pPr>
        <w:spacing w:after="0" w:line="188"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Of significant current concern is the emergence of a number of SARS-CoV-2 variants with increased transmissibility and/or the ability to evade neutralizing antibodies. These variants include Alpha (B.1.1.7), which was first detected in the United Kingdom; Beta (B.1.351), which was first detected in South Africa; Gamma (P.1), which was first detected in Brazil and shares phenotypic characteristics with B.1.351, and Delta (B.1.617.2), which was first detected in India. Since their initial detection, all of these variants have spread rapidly worldwide, with confirmed cases in the United States, Canada and several European countries, indicating that these variants may be more contagious than the original SARS-CoV-2. As of the two weeks ending June 5, 2021, the Alpha (B.1.1.7) variant accounted for approximately 60% of all new COVID-19 cases in the United States and the Delta (B.1.617.2) variant accounted for 9.5% of new cases and was rapidly increasing. In addition to these well-known variants, additional novel variants have emerged in the United States, including Epsilon (B.1.429/427) and Iota (B.1.526), which were first detected in California and New York, respectively.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A subset of these variants, notably Beta (B.1.351), Gamma (P.1) and Delta (B.1.617.2), have caused reinfections and breakthrough infections in individuals with pre-existing antibody responses due to prior infection or vaccination, indicating that pre-existing antibodies do not necessarily fully protect against these variants. For example, in the Brazilian city of Manaus, despite a high rate of prior infection as indicated by an estimated seroprevalence of 76% in October 2020, a second wave of COVID-19 cases began in November 2020, which resulted in a significant increase in hospitalizations and deaths. As illustrated in the timeline below, this second COVID-19 wave closely coincided with the emergence of the Gamma (P.1) variant in the city.</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Infection Rates in Manaus, Brazil Demonstrate a Surge in Infections Following the Emergence of the P.1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171450</wp:posOffset>
            </wp:positionV>
            <wp:extent cx="4723130" cy="39001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2313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to the emergence of these variants, there are multiple factors that we believe contribute to the likelihood of COVID-19 becoming an endemic threat, including: (1) uneven global rollout of vaccinations; (2) ongoing vaccine hesitancy; (3) unknown duration of immunity and efficacy against current and future viral variants conferred by currently available vaccines; (4) uncertain impact of vaccines on transmission; and (5) variable implementation of virus mitigation behaviors, such as wearing masks and social distancing.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Current Approaches for Treatment and Prevention of COVID-19 and Their Limitations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In response to the ongoing pandemic, multiple agents have been discovered, developed and authorized at an unprecedented speed to address COVID-19.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Vaccines for Prevention of COVID-19</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Several vaccines have been authorized for the prevention of COVID-19 under public health emergency guidelines both in the United States and abroad. These include mRNA-based vaccines, such as Moderna’s mRNA-1273 and Pfizer/BioNTech’s BNT162b2, and adenovirus-based vaccines, such as AstraZeneca’s Vaxzevria/Covishield, or AZD1222, and Janssen’s JNJ-78436735. While available COVID-19 vaccines have demonstrated meaningful efficacy in preventing COVID-19, we believe additional solutions for the prevention of COVID-19 are required given considerable uncertainty related to multiple factors, including:</w:t>
      </w:r>
    </w:p>
    <w:p>
      <w:pPr>
        <w:spacing w:after="0" w:line="93" w:lineRule="exact"/>
        <w:rPr>
          <w:sz w:val="20"/>
          <w:szCs w:val="20"/>
          <w:color w:val="auto"/>
        </w:rPr>
      </w:pPr>
    </w:p>
    <w:p>
      <w:pPr>
        <w:jc w:val="both"/>
        <w:ind w:left="1080" w:hanging="532"/>
        <w:spacing w:after="0" w:line="296"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Efficacy against viral variants. </w:t>
      </w:r>
      <w:r>
        <w:rPr>
          <w:rFonts w:ascii="Arial" w:cs="Arial" w:eastAsia="Arial" w:hAnsi="Arial"/>
          <w:sz w:val="16"/>
          <w:szCs w:val="16"/>
          <w:color w:val="auto"/>
        </w:rPr>
        <w:t>While COVID-19 vaccines have demonstrated meaningful efficacy in preventing infection by the original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strain of COVID-19, emerging evidence shows lower levels of protection against certain variants. A recent Israeli study demonstrated that a disproportionate number of breakthrough infections in Pfizer/BioNTech vaccine recipients are caused by the Beta (B.1.351) variant. Clinical trials have also shown reduced efficacy against viral variants. For example, a trial conducted in South Africa showed 10.4% efficacy for the AstraZeneca vaccine Vaxzevria against mild to moderate infections caused by the Beta (B.1.351) variant.</w:t>
      </w:r>
    </w:p>
    <w:p>
      <w:pPr>
        <w:spacing w:after="0" w:line="66" w:lineRule="exact"/>
        <w:rPr>
          <w:rFonts w:ascii="Arial" w:cs="Arial" w:eastAsia="Arial" w:hAnsi="Arial"/>
          <w:sz w:val="16"/>
          <w:szCs w:val="16"/>
          <w:color w:val="auto"/>
        </w:rPr>
      </w:pPr>
    </w:p>
    <w:p>
      <w:pPr>
        <w:jc w:val="both"/>
        <w:ind w:left="1080" w:right="20" w:hanging="532"/>
        <w:spacing w:after="0" w:line="279"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Delayed onset of protection. </w:t>
      </w:r>
      <w:r>
        <w:rPr>
          <w:rFonts w:ascii="Arial" w:cs="Arial" w:eastAsia="Arial" w:hAnsi="Arial"/>
          <w:sz w:val="17"/>
          <w:szCs w:val="17"/>
          <w:color w:val="auto"/>
        </w:rPr>
        <w:t>The peak neutralizing antibody response conferred by currently available vaccines is usually 10 to 14 days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the final dose of the vaccine, resulting in a period of time during which an individual can be infected with SARS-CoV-2 and develop COVID-19, despite having received the vaccine. Furthermore, given that certain vaccines require two doses, three to four weeks apart, the total time from the first vaccine dose to peak neutralizing antibody response can be several weeks.</w:t>
      </w:r>
    </w:p>
    <w:p>
      <w:pPr>
        <w:spacing w:after="0" w:line="76" w:lineRule="exact"/>
        <w:rPr>
          <w:rFonts w:ascii="Arial" w:cs="Arial" w:eastAsia="Arial" w:hAnsi="Arial"/>
          <w:sz w:val="17"/>
          <w:szCs w:val="17"/>
          <w:color w:val="auto"/>
        </w:rPr>
      </w:pPr>
    </w:p>
    <w:p>
      <w:pPr>
        <w:jc w:val="both"/>
        <w:ind w:left="108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of protection in immunocompromised individuals. </w:t>
      </w:r>
      <w:r>
        <w:rPr>
          <w:rFonts w:ascii="Arial" w:cs="Arial" w:eastAsia="Arial" w:hAnsi="Arial"/>
          <w:sz w:val="18"/>
          <w:szCs w:val="18"/>
          <w:color w:val="auto"/>
        </w:rPr>
        <w:t>Since vaccines leverage an individual’s existing immune system to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protection, vaccines may have little to no effectiveness against infection and disease in those who have compromised immune systems. Preliminary data shows that these individuals mount poor antibody responses to mRNA vaccines, demonstrating the unmet medical need for effective preventative options for immunocompromised populations.</w:t>
      </w:r>
    </w:p>
    <w:p>
      <w:pPr>
        <w:spacing w:after="0" w:line="92"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Perceived tolerability and safety. </w:t>
      </w:r>
      <w:r>
        <w:rPr>
          <w:rFonts w:ascii="Arial" w:cs="Arial" w:eastAsia="Arial" w:hAnsi="Arial"/>
          <w:sz w:val="18"/>
          <w:szCs w:val="18"/>
          <w:color w:val="auto"/>
        </w:rPr>
        <w:t>While currently available vaccines have demonstrated acceptable safety and tolerability profiles,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be negative perceptions of vaccine safety that have been exacerbated by government holds on certain vaccines, as well as widespread publicity regarding rare, but potentially severe, side effects.</w:t>
      </w:r>
    </w:p>
    <w:p>
      <w:pPr>
        <w:spacing w:after="0" w:line="89" w:lineRule="exact"/>
        <w:rPr>
          <w:rFonts w:ascii="Arial" w:cs="Arial" w:eastAsia="Arial" w:hAnsi="Arial"/>
          <w:sz w:val="18"/>
          <w:szCs w:val="18"/>
          <w:color w:val="auto"/>
        </w:rPr>
      </w:pPr>
    </w:p>
    <w:p>
      <w:pPr>
        <w:jc w:val="both"/>
        <w:ind w:left="1080" w:hanging="532"/>
        <w:spacing w:after="0" w:line="25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Vaccine hesitancy. </w:t>
      </w:r>
      <w:r>
        <w:rPr>
          <w:rFonts w:ascii="Arial" w:cs="Arial" w:eastAsia="Arial" w:hAnsi="Arial"/>
          <w:sz w:val="18"/>
          <w:szCs w:val="18"/>
          <w:color w:val="auto"/>
        </w:rPr>
        <w:t>Due to a constellation of perceived safety, side effect and quality concerns, according to an April 2021 survey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by CBS News, approximately 40% of Americans are reluctant to receive a COVID vaccine, including 22% who outright refuse to receive a vaccine. As a result, as of June 20, 2021, 45% of the U.S. population had been fully vaccinated. Globally, vaccine hesitancy is consistent with the U.S. figures. In a Gallup poll conducted in April 2021, in 79 out of 117 countries surveyed, the number of people who said they were willing to be vaccinated was below 70%.</w:t>
      </w:r>
    </w:p>
    <w:p>
      <w:pPr>
        <w:spacing w:after="0" w:line="93"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Durability of response, including the potential need for booster shots. </w:t>
      </w:r>
      <w:r>
        <w:rPr>
          <w:rFonts w:ascii="Arial" w:cs="Arial" w:eastAsia="Arial" w:hAnsi="Arial"/>
          <w:sz w:val="18"/>
          <w:szCs w:val="18"/>
          <w:color w:val="auto"/>
        </w:rPr>
        <w:t>The length of protection conferred by currently available vaccines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uncertain, and recent announcements from the makers of some of these vaccines indicate that periodic administration of booster vaccines will likely be required, similar to the influenza vaccine.</w:t>
      </w:r>
    </w:p>
    <w:p>
      <w:pPr>
        <w:spacing w:after="0" w:line="89"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achieve herd immunity. </w:t>
      </w:r>
      <w:r>
        <w:rPr>
          <w:rFonts w:ascii="Arial" w:cs="Arial" w:eastAsia="Arial" w:hAnsi="Arial"/>
          <w:sz w:val="18"/>
          <w:szCs w:val="18"/>
          <w:color w:val="auto"/>
        </w:rPr>
        <w:t>Many countries, including developed nations, have low vaccination rates due to multiple factors,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vaccine availability as well as vaccine hesitancy. For example, only 33% of available vaccine doses had been purchased by low-and middle-income countries, which constitute over 80% of the global population. As of June 20, 2021, less than 10% of the world’s population had been fully vaccinated. As long as significant numbers of people globally are not vaccinated, COVID-19 and disease caused by SARS-CoV-2 variants can continue to circulate. In addition, vaccination of the pediatric population is believed to be critical to achieving herd immunity.</w:t>
      </w:r>
    </w:p>
    <w:p>
      <w:pPr>
        <w:spacing w:after="0" w:line="97"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and adoption in children. </w:t>
      </w:r>
      <w:r>
        <w:rPr>
          <w:rFonts w:ascii="Arial" w:cs="Arial" w:eastAsia="Arial" w:hAnsi="Arial"/>
          <w:sz w:val="18"/>
          <w:szCs w:val="18"/>
          <w:color w:val="auto"/>
        </w:rPr>
        <w:t>While children generally do not develop the severe consequences of COVID-19 seen in adults,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studies have shown that they are still capable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4" w:lineRule="auto"/>
        <w:rPr>
          <w:sz w:val="20"/>
          <w:szCs w:val="20"/>
          <w:color w:val="auto"/>
        </w:rPr>
      </w:pPr>
      <w:r>
        <w:rPr>
          <w:rFonts w:ascii="Arial" w:cs="Arial" w:eastAsia="Arial" w:hAnsi="Arial"/>
          <w:sz w:val="18"/>
          <w:szCs w:val="18"/>
          <w:color w:val="auto"/>
        </w:rPr>
        <w:t>transmitting SARS-CoV-2. Given that approximately 25% of the global population is under the age of 15, herd immunity is unlikely to be achieved until effective options for prevention are widely adopted in this population. Although an EUA was recently granted for use of the Pfizer/BioNTech vaccine in adolescents aged 12 to 15 years, the timing of vaccine availability for younger school-age children remains fluid. Further, data collected in April 2021 by the Kaiser Family Foundation suggest that only about a third of parents plan to vaccinate their children when vaccines first become available to them. The anticipated delay in widespread childhood vaccination, coupled with the rise in new variants relatively resistant to vaccine-induced immunity, have the potential to further impact the achievement of herd immunity.</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mAbs for Treatment of COVID-19</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Recent approvals of mAbs for the treatment of Ebola Virus Disease and multi-drug resistant human immunodeficiency virus, or HIV, infection demonstrate their promise for the treatment of viral infections. Some SARS-CoV-2 mAb therapies, either as a monotherapy or a combination cocktail, have been granted an EUA in the United States and India and are available for use as unauthorized products in certain EU member states for the treatment of mild to moderate COVID-19 in patients at high risk of disease progression. These available mAbs include bamlanivimab, bamlanivimab/etesevimab, casirivimab/imdevimab, regdanvimab, and sotrovimab.</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Currently Available mAbs</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 xml:space="preserve">The recent emergence of SARS-CoV-2 variants has attenuated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of certain currently available mAbs. For example, the U.S. Food and Drug Administration, or the FDA, recently revoked the EUA for bamlanivimab due to its lack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against key variants of concern as a single agent and distribution of a second agent, bamlanvimab/etesevimab, has been paused in the United States due to data showing that the combined frequency of two variants resistant to this product, the Gamma (P.1) and Beta (B.1.351) variants, now exceeds 11% in the United States and is trending upward. In addition, the use of currently available mAbs for the treatment of COVID-19 has been limited by the inconvenience of their intravenous, or IV, administration, which requires specialized facilities that are properly equipped to accommodate IV infusions in actively infected patients and may lead to a delay in administration. Publications regarding real world use of these agents under EUA show that large numbers of otherwise eligible patients who were referred for therapy ultimately did not receive it. In Europe, IV administration in outpatient settings by community nurses or general practitioners remains very limited due to lack of appropriate infrastructure and sites of care. Additional factors that have limited use of mAbs include lack of awareness and education on appropriate use as well as perceived difficulty accessing treatment. We anticipate that these same limitations will apply to any IV-administered mAbs that may be authorized or approved for the prevention of COVID-19. Furthermore, in the setting of prevention, mAbs without sufficiently long half-lives will likely require frequent and periodic administration in order to achieve long-lasting protection.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to COVID-19 and Development of Coronavirus mAbs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believe that a mAb therapy with the following characteristics will have the potential to address the limitations of currently available treatment and prevention options for COVID-19 as well as future diseases that may arise from SARS-like viruses with pandemic potential:</w:t>
      </w:r>
    </w:p>
    <w:p>
      <w:pPr>
        <w:spacing w:after="0" w:line="93"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High potency and broad neutralizing activity to address SARS-CoV-2, including variants of concern, and additional SARS-like viruses;</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Multiple mechanisms of action, including direct virus neutralization by blocking viral entry into the host cell and elimination of infected host cells through innate immune effector activity to clear infection;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Convenient outpatient administration as a single-dose IM injection;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Ability to provide both rapid and durable protection with potential protection against COVID-19 for up to one year.</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To develop mAb therapies with these characteristics, we optimize both the antigen-binding fragment, or Fab, and constant fragment, or Fc, regions of candidate molecules to improve breadth, potency, half-life and developability. The Fab region binds to the viral antigen and is a key determinant of specificity and potency. The Fc portion binds to host cell receptors to activate the innate immune system to eliminate infected host cells and is a key determinant of serum half-life. Key elements that differentiate our approach include:</w:t>
      </w:r>
    </w:p>
    <w:p>
      <w:pPr>
        <w:spacing w:after="0" w:line="88" w:lineRule="exact"/>
        <w:rPr>
          <w:sz w:val="20"/>
          <w:szCs w:val="20"/>
          <w:color w:val="auto"/>
        </w:rPr>
      </w:pPr>
    </w:p>
    <w:p>
      <w:pPr>
        <w:jc w:val="both"/>
        <w:ind w:left="1080" w:right="20" w:hanging="532"/>
        <w:spacing w:after="0" w:line="281"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Recognition of the importance of broadly neutralizing antibodies: </w:t>
      </w:r>
      <w:r>
        <w:rPr>
          <w:rFonts w:ascii="Arial" w:cs="Arial" w:eastAsia="Arial" w:hAnsi="Arial"/>
          <w:sz w:val="17"/>
          <w:szCs w:val="17"/>
          <w:color w:val="auto"/>
        </w:rPr>
        <w:t>From the outset, we chose to focus on mAbs capable of broadly</w:t>
      </w:r>
      <w:r>
        <w:rPr>
          <w:rFonts w:ascii="Arial" w:cs="Arial" w:eastAsia="Arial" w:hAnsi="Arial"/>
          <w:sz w:val="17"/>
          <w:szCs w:val="17"/>
          <w:b w:val="1"/>
          <w:bCs w:val="1"/>
          <w:color w:val="auto"/>
        </w:rPr>
        <w:t xml:space="preserve"> </w:t>
      </w:r>
      <w:r>
        <w:rPr>
          <w:rFonts w:ascii="Arial" w:cs="Arial" w:eastAsia="Arial" w:hAnsi="Arial"/>
          <w:sz w:val="17"/>
          <w:szCs w:val="17"/>
          <w:color w:val="auto"/>
        </w:rPr>
        <w:t>neutralizing not only SARS-CoV-2 and its variants, but also the entire viral class of sarbecoviruses that target the hACE2 receptor. Our rationale was driven by the recognition that COVID-19 is a continuation of previous human coronavirus outbreaks, including SARS and MERS, and the likelihood that future variants and other viral outbreaks will continue to emerge.</w:t>
      </w:r>
    </w:p>
    <w:p>
      <w:pPr>
        <w:spacing w:after="0" w:line="70" w:lineRule="exact"/>
        <w:rPr>
          <w:rFonts w:ascii="Arial" w:cs="Arial" w:eastAsia="Arial" w:hAnsi="Arial"/>
          <w:sz w:val="17"/>
          <w:szCs w:val="17"/>
          <w:color w:val="auto"/>
        </w:rPr>
      </w:pPr>
    </w:p>
    <w:p>
      <w:pPr>
        <w:jc w:val="both"/>
        <w:ind w:left="1080" w:hanging="532"/>
        <w:spacing w:after="0" w:line="294"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Industry-leading B-cell mining, protein engineering and developability screening capabilities through our partnership with Adimab: </w:t>
      </w:r>
      <w:r>
        <w:rPr>
          <w:rFonts w:ascii="Arial" w:cs="Arial" w:eastAsia="Arial" w:hAnsi="Arial"/>
          <w:sz w:val="16"/>
          <w:szCs w:val="16"/>
          <w:color w:val="auto"/>
        </w:rPr>
        <w:t>We leverage nature’s solutions using Adimab’s deep B-cell mining capabilities to isolate broadly neutralizing antibodies from a</w:t>
      </w:r>
      <w:r>
        <w:rPr>
          <w:rFonts w:ascii="Arial" w:cs="Arial" w:eastAsia="Arial" w:hAnsi="Arial"/>
          <w:sz w:val="16"/>
          <w:szCs w:val="16"/>
          <w:b w:val="1"/>
          <w:bCs w:val="1"/>
          <w:color w:val="auto"/>
        </w:rPr>
        <w:t xml:space="preserve"> </w:t>
      </w:r>
      <w:r>
        <w:rPr>
          <w:rFonts w:ascii="Arial" w:cs="Arial" w:eastAsia="Arial" w:hAnsi="Arial"/>
          <w:sz w:val="16"/>
          <w:szCs w:val="16"/>
          <w:color w:val="auto"/>
        </w:rPr>
        <w:t>disease survivor of an earlier SARS infection. We then utilize Adimab’s leading protein engineering capabilities to improve the potency, breadth and half-life of the antibody candidates we advance into preclinical development. We specifically engineer our antibodies to extend their half-lives without affecting Fc-mediated innate immune effector activity. In addition, we have access to Adimab’s extensive suite of developability assays that allow for selection of lead candidates most likely to be readily manufactured and formulated for use in humans.</w:t>
      </w:r>
    </w:p>
    <w:p>
      <w:pPr>
        <w:spacing w:after="0" w:line="65" w:lineRule="exact"/>
        <w:rPr>
          <w:rFonts w:ascii="Arial" w:cs="Arial" w:eastAsia="Arial" w:hAnsi="Arial"/>
          <w:sz w:val="16"/>
          <w:szCs w:val="16"/>
          <w:color w:val="auto"/>
        </w:rPr>
      </w:pPr>
    </w:p>
    <w:p>
      <w:pPr>
        <w:jc w:val="both"/>
        <w:ind w:left="1080" w:hanging="532"/>
        <w:spacing w:after="0" w:line="269"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Reduced risk of clinical resistance: </w:t>
      </w:r>
      <w:r>
        <w:rPr>
          <w:rFonts w:ascii="Arial" w:cs="Arial" w:eastAsia="Arial" w:hAnsi="Arial"/>
          <w:sz w:val="17"/>
          <w:szCs w:val="17"/>
          <w:color w:val="auto"/>
        </w:rPr>
        <w:t>We are developing antibodies that target conserved residues in the receptor-binding domain, or RBD,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viral S protein. Importantly, these residues are distinct from those recognized by more narrowly targeted SARS-CoV-2-specific antibodies that are currently available or in development. In addition, the residues that our antibodies target are not readily targeted by antibodies induced by natural infection, which are referred to as public antibodies. These two factors suggest that the residues our antibodies target are less likely to mutate, which we believe will reduce the risk of resistance to our antibodies. In contrast, many of the SARS-CoV-2-specific antibodies that are currently available or in development target residues that are both variable and commonly recognized by public antibodies. The combination of variable residues and immune selection pressure exerted by antibodies elicited by vaccination and natural infection has led to the emergence of SARS-CoV-2 variants with reduced susceptibility to some of the mAbs currently available under EUA. In contrast, our broadly neutralizing antibodies, including ADG20, have maintained potent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against these known and emerging variants. Furthermore, the frequency of circulating variants with mutations in the residues targeted by our antibodies has been extremely low.</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Discovery of ADG20</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founding scientists discovered and engineered a highly potent and broad mAb-based therapeutic candidate for both the treatment and prevention of COVID-19. They focused on isolating an antibody capable of broadly neutralizing the entire viral class of SARS-like viruses from the sarbecovirus lineage, including diverse family members such as SARS-CoV-1, WIV1, SHC014 and SARS-CoV-2, as opposed to only neutralizing SARS-CoV-2.</w:t>
      </w:r>
    </w:p>
    <w:p>
      <w:pPr>
        <w:spacing w:after="0" w:line="18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To achieve this objective, a blood sample was obtained from a survivor of the 2003 SARS outbreak who had never been exposed to SARS-CoV-2. After purification, the B-cells were sorted based on reactivity to SARS-CoV-2, enabling us to isolate and identify 200 antibodies that bound to the SARS-CoV-2 S protein. These antibodies were then evaluated for their breadth of neutralization against SARS-CoV-1, SARS-CoV-2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WIV1. Out of the 200 antibodies, seven demonstrated broad neutralization potency, as shown in the graphic below.</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Seven Antibodies Isolated from a SARS Survivor Demonstrated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Significant Breadth of Viral Neutralization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77435" cy="33686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7743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Rather than immediately advancing one of these seven candidates into clinical development, we opted to improve the binding affinities, and thus neutralizing activities, of three of these antibodies using the Adimab protein engineering platform. Affinity maturation allowed us to increase the SARS-CoV-2 S protein binding affinity and neutralization potency of ADI-55688 by as much as 500- and 77-fold, respectively, as shown in the graphic below. Based on this enhanced profile, we selected to evaluate ADG2, the ADI-55688 progeny with the most improved binding affinity and neutralization potency, in additional preclinical studies.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Protein Engineering Substantially Improved Binding to and Neutralization of SARS-CoV-2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171450</wp:posOffset>
            </wp:positionV>
            <wp:extent cx="4783455" cy="22028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8345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 xml:space="preserve">To determine whether ADG2 retained its broad neutralization capability, we evaluated its activity against additional members of the sarbecovirus lineage. Clade 1 of this lineage is of particular concern as it includes members that can infect human cells using the hACE2 receptor. Of the Clade 1 viruses, authentic virus neutralization assays, which represent the relevant assays to evaluate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are only available for SARS-CoV-1, SARS-CoV-2, WIV1 and SHC014. Among the Clade 1 viruses, SHC014 is the most genetically divergent from SARS-CoV-2, and therefore, the ability to neutralize both SARS-CoV-2 and SHC014 suggests an ability to neutralize the majority of viruses in the clade.</w:t>
      </w:r>
    </w:p>
    <w:p>
      <w:pPr>
        <w:spacing w:after="0" w:line="16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compared the activity of ADG2 with other currently available or clinical-stage mAbs against a subset of Clade 1 sarbecoviruses in authentic virus neutralization assays using transfected HeLa cells that express the hACE2 receptor and non-human primate Vero cells. ADG2 demonstrated high potency, as defined as an IC</w:t>
      </w:r>
      <w:r>
        <w:rPr>
          <w:rFonts w:ascii="Arial" w:cs="Arial" w:eastAsia="Arial" w:hAnsi="Arial"/>
          <w:sz w:val="15"/>
          <w:szCs w:val="15"/>
          <w:color w:val="auto"/>
        </w:rPr>
        <w:t>50</w:t>
      </w:r>
      <w:r>
        <w:rPr>
          <w:rFonts w:ascii="Arial" w:cs="Arial" w:eastAsia="Arial" w:hAnsi="Arial"/>
          <w:sz w:val="18"/>
          <w:szCs w:val="18"/>
          <w:color w:val="auto"/>
        </w:rPr>
        <w:t xml:space="preserve"> value of less than 10 ng/mL, against SARS-CoV-2 in the two different assays, whereas the potency of certain other antibodies was observed to vary. Importantly, ADG2 exhibited highly potent activity against the other Clade 1 viruses tested, including SARS-CoV-1, WIV1 and SHC014, whereas the other antibodies demonstrated either limited potency or were non-neutralizing, or N.N., at the highest concentration tested, as shown in the graphic below.</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 Shows Broad and Potent Neutralizing Activity Across Diverse SARS-Related Coronaviruses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94580" cy="2922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89458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further engineered ADG2 with an Fc region modification designed to extend the half-life to enable the potential for a single-dose administration to provide durable protection against COVID-19 for up to 12 months, which resulted in our lead product candidate, ADG20.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ADG20: Our Solution for the Treatment and Prevention of COVID-19</w:t>
      </w:r>
    </w:p>
    <w:p>
      <w:pPr>
        <w:spacing w:after="0" w:line="121"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ADG20, our lead product candidate, is designed to be a potent, broadly neutralizing antibody for both the treatment and prevention of COVID-19, including disease caused by variants, as either a single or combination agent. Unlike other antibody-based therapies specifically targeting SARS-CoV-2, ADG20 has demonstrated an ability to potently neutralize SARS-CoV-2, including variants of concern, as well as a broad range of sarbecoviruses in non-clinical studies. In addition, ADG20 can be conveniently administered as a single-dose IM injection. We believe these and other attributes of ADG20 differentiate it from other antibodies that are either available under EUA or in development to address COVID-19.</w:t>
      </w:r>
    </w:p>
    <w:p>
      <w:pPr>
        <w:spacing w:after="0" w:line="16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Our clinical development plan for ADG20 includes two global clinical trials designed to demonstrate the safety and efficacy of ADG20 for the treatment and prevention of COVID-19, respectively. We have completed enrollment in our first-in-human Phase 1 clinical trial in healthy volunteers, which demonstrated that a single-dose of ADG20 was well tolerated at doses up to 500 mg IV and 600 mg IM and that the initial pharmacokinetic profile was consistent with an extended half-life mAb. In addition, the serum virus neutralizing antibody titers measured following administration of ADG20 were within the range of peak serum neutralizing antibody titers reported for mRNA COVID-19 vaccine recipients. We are conducting two separate Phase 2/3 clinical trials to evaluate ADG20 for the treatment of COVID-19, which we refer to as our STAMP trial, and for the prevention of symptomatic COVID-19, which we refer to as our EVADE trial. Our STAMP trial is designed to provide a near-term path to authorization, marketing approval and commercial launch of ADG20 for the treatment of mild to moderate COVID-19 in patients at high risk of disease progression. Our EVADE trial is designed to evaluate the prevention of COVID-19 in both post-exposure and pre-exposure populations. We are also developing a clinical development strategy to support the use of ADG20 in the pediatric population.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Key Advantages of ADG20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ADG20 will have the following key clinical and commercial advantages:</w:t>
      </w:r>
    </w:p>
    <w:p>
      <w:pPr>
        <w:spacing w:after="0" w:line="131" w:lineRule="exact"/>
        <w:rPr>
          <w:sz w:val="20"/>
          <w:szCs w:val="20"/>
          <w:color w:val="auto"/>
        </w:rPr>
      </w:pPr>
    </w:p>
    <w:p>
      <w:pPr>
        <w:jc w:val="both"/>
        <w:ind w:left="1080" w:right="2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Broadly neutralizing activity across sarbecoviruses. </w:t>
      </w:r>
      <w:r>
        <w:rPr>
          <w:rFonts w:ascii="Arial" w:cs="Arial" w:eastAsia="Arial" w:hAnsi="Arial"/>
          <w:sz w:val="18"/>
          <w:szCs w:val="18"/>
          <w:color w:val="auto"/>
        </w:rPr>
        <w:t>From the outset, we selected and engineered the mAb that became ADG20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specifically for its ability to broadly neutralize not only SARS-CoV-2 and its variants, but also additional members of the sarbecovirus lineage.</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 onset of protection. </w:t>
      </w:r>
      <w:r>
        <w:rPr>
          <w:rFonts w:ascii="Arial" w:cs="Arial" w:eastAsia="Arial" w:hAnsi="Arial"/>
          <w:sz w:val="18"/>
          <w:szCs w:val="18"/>
          <w:color w:val="auto"/>
        </w:rPr>
        <w:t>Currently available COVID-19 vaccines can take several weeks, and often require multiple doses, to induce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peak neutralizing antibody response. As a mAb, ADG20 has the potential to confer more rapid protection post-dose against COVID-19 and its complications.</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durability. </w:t>
      </w:r>
      <w:r>
        <w:rPr>
          <w:rFonts w:ascii="Arial" w:cs="Arial" w:eastAsia="Arial" w:hAnsi="Arial"/>
          <w:sz w:val="18"/>
          <w:szCs w:val="18"/>
          <w:color w:val="auto"/>
        </w:rPr>
        <w:t>ADG20 has the potential to provide durable protection by virtue of its potency and half-life extension.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Physiologically based pharmacokinetic modeling has suggested that a single-dose 300 mg IM injection of ADG20 may result in durable serum levels that we believe may provide protection for up to 12 months.</w:t>
      </w:r>
    </w:p>
    <w:p>
      <w:pPr>
        <w:spacing w:after="0" w:line="89" w:lineRule="exact"/>
        <w:rPr>
          <w:rFonts w:ascii="Arial" w:cs="Arial" w:eastAsia="Arial" w:hAnsi="Arial"/>
          <w:sz w:val="18"/>
          <w:szCs w:val="18"/>
          <w:color w:val="auto"/>
        </w:rPr>
      </w:pPr>
    </w:p>
    <w:p>
      <w:pPr>
        <w:jc w:val="both"/>
        <w:ind w:left="1080" w:hanging="532"/>
        <w:spacing w:after="0" w:line="279"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Convenient, single-dose IM injection for use in the outpatient setting. </w:t>
      </w:r>
      <w:r>
        <w:rPr>
          <w:rFonts w:ascii="Arial" w:cs="Arial" w:eastAsia="Arial" w:hAnsi="Arial"/>
          <w:sz w:val="17"/>
          <w:szCs w:val="17"/>
          <w:color w:val="auto"/>
        </w:rPr>
        <w:t>Currently available COVID-19 mAbs are administered via IV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infusions that require specialized facilities that are properly equipped to accommodate IV infusions in actively infected patients, which may lead to a delay in administration. In contrast, the low viscosity, high concentration formulation and high potency of ADG20 allow it to be delivered as a convenient, single-dose IM injection in traditional outpatient settings.</w:t>
      </w:r>
    </w:p>
    <w:p>
      <w:pPr>
        <w:spacing w:after="0" w:line="76" w:lineRule="exact"/>
        <w:rPr>
          <w:rFonts w:ascii="Arial" w:cs="Arial" w:eastAsia="Arial" w:hAnsi="Arial"/>
          <w:sz w:val="17"/>
          <w:szCs w:val="17"/>
          <w:color w:val="auto"/>
        </w:rPr>
      </w:pPr>
    </w:p>
    <w:p>
      <w:pPr>
        <w:jc w:val="both"/>
        <w:ind w:left="1080" w:hanging="532"/>
        <w:spacing w:after="0" w:line="275"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Ability to both complement and supplement currently available COVID-19 vaccines, including for immunocompromised individuals. </w:t>
      </w:r>
      <w:r>
        <w:rPr>
          <w:rFonts w:ascii="Arial" w:cs="Arial" w:eastAsia="Arial" w:hAnsi="Arial"/>
          <w:sz w:val="17"/>
          <w:szCs w:val="17"/>
          <w:color w:val="auto"/>
        </w:rPr>
        <w:t>ADG20 is designed to provide convenient, rapid and durable protection against COVID-19 and its complications, including for vulnerable individuals unlikely to mount a protective immune response to vaccines, such as the immunocompromised population. ADG20 has the potential to be used as either a complement (i.e., an alternative) or supplement (i.e., add-on) to vaccines, as well as a means to provide protection following an exposure to an individual with laboratory-confirmed COVID-19.</w:t>
      </w:r>
    </w:p>
    <w:p>
      <w:pPr>
        <w:spacing w:after="0" w:line="8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titer, high yield manufacturing process. </w:t>
      </w:r>
      <w:r>
        <w:rPr>
          <w:rFonts w:ascii="Arial" w:cs="Arial" w:eastAsia="Arial" w:hAnsi="Arial"/>
          <w:sz w:val="18"/>
          <w:szCs w:val="18"/>
          <w:color w:val="auto"/>
        </w:rPr>
        <w:t>We have developed a proprietary process to manufacture ADG20 at a large scale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suitable for broad commercialization and enables a relatively low cost of goods.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 refrigeration requirements to facilitate worldwide distribution and storage. </w:t>
      </w:r>
      <w:r>
        <w:rPr>
          <w:rFonts w:ascii="Arial" w:cs="Arial" w:eastAsia="Arial" w:hAnsi="Arial"/>
          <w:sz w:val="18"/>
          <w:szCs w:val="18"/>
          <w:color w:val="auto"/>
        </w:rPr>
        <w:t>ADG20 may be conveniently stored under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refrigerated conditions during distribution and prior to administration. We are in the process of confirming the long-term stability of ADG20 in sterile liquid form under refrigerated conditions.</w:t>
      </w:r>
    </w:p>
    <w:p>
      <w:pPr>
        <w:spacing w:after="0" w:line="89"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Long shelf life to enable stockpiling. </w:t>
      </w:r>
      <w:r>
        <w:rPr>
          <w:rFonts w:ascii="Arial" w:cs="Arial" w:eastAsia="Arial" w:hAnsi="Arial"/>
          <w:sz w:val="18"/>
          <w:szCs w:val="18"/>
          <w:color w:val="auto"/>
        </w:rPr>
        <w:t>ADG20 has the potential to be developed as a lyophilized formulation to further extend the shelf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drug product under refrigerated conditions. Through a combination of the lyophilized form and the long-term frozen storage of the drug substance intermediate, we believe the shelf life of ADG20 can be further extended to enable stockpiling initiatives to address future potential coronavirus pandemics.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ADG20 has the potential to impact viral replication and subsequent disease through multiple mechanisms of action, including direct blocking of viral entry into the host cell, or neutralization, and elimination of infected host cells through Fc-mediated innate immune effector activity. The majority of antibodies, including ADG20, that neutralize SARS-CoV-2 target the S protein, and more specifically, target the surface that overlaps with the hACE2 receptor binding site.</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Public antibodies that are commonly elicited by natural SARS-CoV-2 infection have been categorized into three classes based on their shared epitopes and escape mutations. These public antibodies target variable amino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acid residues that are likely not important for viral fitness, and thus are susceptible to mutation. A subset of the mutations, including those at the E484K, L452R and K417N/T residues that are present in multiple variants of concern, confers resistance to class 1 and class 2 antibodies, which likely emerged in response to immune pressure exerted on these amino acid residues by the commonly induced public antibodies.</w:t>
      </w:r>
    </w:p>
    <w:p>
      <w:pPr>
        <w:spacing w:after="0" w:line="16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Class 1 antibodies, such as etesevimab, or LY-CoV016, and casirivimab, or REGN10933, are impacted by escape mutations at amino acid residue K417N/T, which are found in the Beta (B.1.351) and Gamma (P.1) variants. Class 2 antibodies, such as bamlanivimab, or LY-CoV555, and tixagevimab, or COV2-2196, are impacted by escape mutations at amino acid residue E484, which are found in Beta (B.1.351), Gamma (P.1), Iota (B.1.526) and Kappa (B.1.617.1) variants. Class 3 antibodies, such as imdevimab, or REGN10987, bind largely to variable residues and are thus associated with multiple potential routes of escape. As of May 5, 2021, variants containing mutations at key Class 3 residues have been detected in global sequence databases at frequencies exceeding 5.5%.</w:t>
      </w:r>
    </w:p>
    <w:p>
      <w:pPr>
        <w:spacing w:after="0" w:line="19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The graphic below shows the amino acid sequences for RBDs of Clade 1 sarbecoviruses with SARS-CoV-2 in the top row. The graphic also shows the specific amino acid residues targeted by Class 1-3 antibodies and ADG20. When the amino acid residue at a certain position is the same or biochemically similar across viruses, it is considered to be conserved. These conserved residues are highlighted in the graphic below in green and yellow. When the amino acid residue at a certain position changes across viruses, it is considered variable. These variable residues are highlighted in the graphic below in red. Antibodies targeting residues that are conserved are more likely to be broadly neutralizing whereas those that target variable residues are more likely to lose effectiveness against viruses that have a different residue at that position.</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1-3 Antibodies Target Variable Residues Associated with Viral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808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 xml:space="preserve">In contrast to Class 1-3 antibodies, ADG20 employs a unique binding strategy. The amino acid residues that ADG20 engages are conserved, as highlighted in green and yellow above, which provides it with broadly neutralizing capabilities and suggests that these residues may be important to viral fitness, and thus less likely to mutate in the context of an infection. </w:t>
      </w:r>
      <w:r>
        <w:rPr>
          <w:rFonts w:ascii="Arial" w:cs="Arial" w:eastAsia="Arial" w:hAnsi="Arial"/>
          <w:sz w:val="16"/>
          <w:szCs w:val="16"/>
          <w:i w:val="1"/>
          <w:iCs w:val="1"/>
          <w:color w:val="auto"/>
        </w:rPr>
        <w:t>In vitro</w:t>
      </w:r>
      <w:r>
        <w:rPr>
          <w:rFonts w:ascii="Arial" w:cs="Arial" w:eastAsia="Arial" w:hAnsi="Arial"/>
          <w:sz w:val="16"/>
          <w:szCs w:val="16"/>
          <w:color w:val="auto"/>
        </w:rPr>
        <w:t>, serial viral passaging of virus in the presence of ADG20 leads to the emergence of mutations at position G504. As of May 16, 2021, mutations at this position were present at extremely low frequency (0.004%) among circulating SARS-CoV-2 isolates. In contrast, Class 1-3 antibodies that lack neutralization breadth typically select for multiple mutations in serial viral passage experiments, many of which are present at high frequency among circulating SARS-CoV-2 isolates, such as E484K and K417N. In addition, the binding site engaged by ADG20 is not readily targeted by public antibodies, which significantly limits immune pressure at these residues. A comparison of ADG20’s binding to the RBD of the SARS-CoV-2 S protein with that of Class 1-3 antibodies is illustrated in the molecular model presented below.</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Targets a Unique Site on the RBD of the SARS-CoV-2 S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171450</wp:posOffset>
            </wp:positionV>
            <wp:extent cx="4732020" cy="41573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32020" cy="415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 xml:space="preserve">In addition to potent neutralization, ADG20 displays Fc-mediated innate immune effector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including antibody-dependent cellular cytotoxicity, or ADCC, antibody-dependent cellular phagocytosis, or ADCP, and antibody-dependent complement deposition, or ADCD. We believe this mechanism of action may help to clear infected host cells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contribute to the control of SARS-CoV-2 infection.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 xml:space="preserve">ADG20 has been evaluated in a series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to demonstrate its potency and breadth as well as safety and efficacy in various animal models.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binding studies have demonstrated that ADG20 binds with high affinity to a diverse set of RBD subdomain 1, or RBD SD1, molecules from naturally circulating SARS-CoV-2 variants and related sarbecoviruses. Additional binding studies have indicated that the Fc modifications of ADG20 confer enhanced affinity to non-human primate and human neonatal Fc receptors, or FcRn, at low pH, which has translated into a prolonged serum half-life in non-human primates due to enhanced recycling via FcRn.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ADG20 has demonstrated potent neutralizing activity against SARS-CoV-2 and the emerging variants that have been associated with lower efficacy rates of certain vaccines and are resistant or partially resistant to a subset of currently available or clinical-stage mAbs.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ADG20 demonstrated an ability to prevent and treat SARS-CoV-2 infection and associated disease as well as a prolonged serum half-life. Prophylactic administration of ADG2 or ADG20 provided protection against SARS-CoV-2 infection in three different animal models, and treatment with ADG2 reduced disease burden in animals infected with SARS-CoV-2.</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Vitro Studies Demonstrated Potency and Broad Neutralization of SARS-CoV-2 and All Known Variants</w:t>
      </w:r>
    </w:p>
    <w:p>
      <w:pPr>
        <w:spacing w:after="0" w:line="11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 xml:space="preserve">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analysis conducted by an independent laboratory using authentic SARS-CoV-2 assays, we evaluated the potency and neutralizing activity of ADG20 against the Victoria virus strain, which is similar to the original Wuhan-Hu-1 virus strain, and the Alpha (B.1.1.7), Beta (B.1.351) and Gamma (P.1) and Delta (B.1.617.2) variants. ADG20 demonstrated robust viral neutralization activity against the original Victoria virus as well as all four variants. As shown in the table below, ADG20 displayed potent activity, as determined by low half-maximal inhibitory concentration, or IC</w:t>
      </w:r>
      <w:r>
        <w:rPr>
          <w:rFonts w:ascii="Arial" w:cs="Arial" w:eastAsia="Arial" w:hAnsi="Arial"/>
          <w:sz w:val="14"/>
          <w:szCs w:val="14"/>
          <w:color w:val="auto"/>
        </w:rPr>
        <w:t>50</w:t>
      </w:r>
      <w:r>
        <w:rPr>
          <w:rFonts w:ascii="Arial" w:cs="Arial" w:eastAsia="Arial" w:hAnsi="Arial"/>
          <w:sz w:val="17"/>
          <w:szCs w:val="17"/>
          <w:color w:val="auto"/>
        </w:rPr>
        <w:t>, values and 99-100% maximum neutralization plateaus, demonstrating near complete neutralization of the total viral population for all five virus strains. The other antibodies in the table below were selected for inclusion because they represent mAb therapies that are either in late-stage development or have been granted an EUA in the United States and India or are available for use as unauthorized products in certain EU member states for the treatment of mild to moderate COVID-19 in patients at high risk of disease progression.</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ADG20 Displays Potent and Complete Neutralizing Activity Against SARS-CoV-2 and Variants of Concern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b w:val="1"/>
                <w:bCs w:val="1"/>
                <w:color w:val="auto"/>
                <w:w w:val="99"/>
              </w:rPr>
              <w:t>IC</w:t>
            </w:r>
            <w:r>
              <w:rPr>
                <w:rFonts w:ascii="Arial" w:cs="Arial" w:eastAsia="Arial" w:hAnsi="Arial"/>
                <w:sz w:val="12"/>
                <w:szCs w:val="12"/>
                <w:b w:val="1"/>
                <w:bCs w:val="1"/>
                <w:color w:val="auto"/>
                <w:w w:val="99"/>
              </w:rPr>
              <w:t>50</w:t>
            </w:r>
            <w:r>
              <w:rPr>
                <w:rFonts w:ascii="Arial" w:cs="Arial" w:eastAsia="Arial" w:hAnsi="Arial"/>
                <w:sz w:val="14"/>
                <w:szCs w:val="14"/>
                <w:b w:val="1"/>
                <w:bCs w:val="1"/>
                <w:color w:val="auto"/>
                <w:w w:val="99"/>
              </w:rPr>
              <w:t xml:space="preserve"> (mcg/mL)</w:t>
            </w: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Neutralization Plateau (%)</w:t>
            </w:r>
          </w:p>
        </w:tc>
        <w:tc>
          <w:tcPr>
            <w:tcW w:w="760" w:type="dxa"/>
            <w:vAlign w:val="bottom"/>
            <w:tcBorders>
              <w:bottom w:val="single" w:sz="8" w:color="auto"/>
            </w:tcBorders>
          </w:tcPr>
          <w:p>
            <w:pPr>
              <w:spacing w:after="0"/>
              <w:rPr>
                <w:sz w:val="14"/>
                <w:szCs w:val="14"/>
                <w:color w:val="auto"/>
              </w:rPr>
            </w:pPr>
          </w:p>
        </w:tc>
      </w:tr>
      <w:tr>
        <w:trPr>
          <w:trHeight w:val="119"/>
        </w:trPr>
        <w:tc>
          <w:tcPr>
            <w:tcW w:w="3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Alpha</w:t>
            </w:r>
          </w:p>
        </w:tc>
        <w:tc>
          <w:tcPr>
            <w:tcW w:w="80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Beta</w:t>
            </w:r>
          </w:p>
        </w:tc>
        <w:tc>
          <w:tcPr>
            <w:tcW w:w="76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rPr>
              <w:t>Gamma</w:t>
            </w:r>
          </w:p>
        </w:tc>
        <w:tc>
          <w:tcPr>
            <w:tcW w:w="82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auto"/>
              </w:rPr>
              <w:t>Delta</w:t>
            </w:r>
          </w:p>
        </w:tc>
        <w:tc>
          <w:tcPr>
            <w:tcW w:w="760" w:type="dxa"/>
            <w:vAlign w:val="bottom"/>
          </w:tcPr>
          <w:p>
            <w:pPr>
              <w:spacing w:after="0"/>
              <w:rPr>
                <w:sz w:val="10"/>
                <w:szCs w:val="10"/>
                <w:color w:val="auto"/>
              </w:rPr>
            </w:pPr>
          </w:p>
        </w:tc>
        <w:tc>
          <w:tcPr>
            <w:tcW w:w="70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Alpha</w:t>
            </w:r>
          </w:p>
        </w:tc>
        <w:tc>
          <w:tcPr>
            <w:tcW w:w="700" w:type="dxa"/>
            <w:vAlign w:val="bottom"/>
          </w:tcPr>
          <w:p>
            <w:pPr>
              <w:jc w:val="right"/>
              <w:ind w:right="134"/>
              <w:spacing w:after="0" w:line="119" w:lineRule="exact"/>
              <w:rPr>
                <w:sz w:val="20"/>
                <w:szCs w:val="20"/>
                <w:color w:val="auto"/>
              </w:rPr>
            </w:pPr>
            <w:r>
              <w:rPr>
                <w:rFonts w:ascii="Arial" w:cs="Arial" w:eastAsia="Arial" w:hAnsi="Arial"/>
                <w:sz w:val="13"/>
                <w:szCs w:val="13"/>
                <w:b w:val="1"/>
                <w:bCs w:val="1"/>
                <w:color w:val="auto"/>
              </w:rPr>
              <w:t>Beta</w:t>
            </w:r>
          </w:p>
        </w:tc>
        <w:tc>
          <w:tcPr>
            <w:tcW w:w="76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rPr>
              <w:t>Gamma</w:t>
            </w:r>
          </w:p>
        </w:tc>
        <w:tc>
          <w:tcPr>
            <w:tcW w:w="76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auto"/>
              </w:rPr>
              <w:t>Delta</w:t>
            </w:r>
          </w:p>
        </w:tc>
      </w:tr>
      <w:tr>
        <w:trPr>
          <w:trHeight w:val="185"/>
        </w:trPr>
        <w:tc>
          <w:tcPr>
            <w:tcW w:w="3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Victoria</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B.1.1.7</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B.1.351</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P.1</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B.1.617.2</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Victoria</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B.1.1.7</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B.1.351</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B.1.617.2</w:t>
            </w:r>
          </w:p>
        </w:tc>
      </w:tr>
      <w:tr>
        <w:trPr>
          <w:trHeight w:val="209"/>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ADG20</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0.004</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0.006</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0.010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0.009</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0.006</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AZD1061</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0.013</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0.012</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0.014</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0.007</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0.038</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09"/>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AZD8895</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0.005</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0.011</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0.046</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0.046</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0.003</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REGN10987</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0.032</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0.028</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0.007</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0.013</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0.017</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95</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97</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09"/>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REGN10933</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0.004</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0.014</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3.284</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6.177</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0.003</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LY-CoV555</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0.006</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0.009</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&gt;10</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&gt;10</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8.311</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10"/>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LY-CoV016</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0.034</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3.225</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&gt;10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&gt;10</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0.012</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N/A</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S309</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0.040</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0.078</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0.082</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0.076</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0.113</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89</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95</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In addition, the neutralization potency and breadth of ADG20 was evaluated by an independent U.S. government laboratory against a panel of 64 SARS-CoV-2 pseudovirus variants, including the Epsilon (B.1.427/429), Iota (B.1.526) and Kappa (B.1.617.1) variants. We utilized the non-clinical and pre-clinical services program offered by the National Institute of Allergy and Infectious Diseases to generate this data. Variants tested included spike proteins incorporating single or double amino acid substitutions and spike proteins encoding the full sets of mutations observed in emerging variants of concern and variants of interest. As shown in the graphic below, ADG20 maintained potent neutralization activity across all variants tested to date, with IC</w:t>
      </w:r>
      <w:r>
        <w:rPr>
          <w:rFonts w:ascii="Arial" w:cs="Arial" w:eastAsia="Arial" w:hAnsi="Arial"/>
          <w:sz w:val="15"/>
          <w:szCs w:val="15"/>
          <w:color w:val="auto"/>
        </w:rPr>
        <w:t>50</w:t>
      </w:r>
      <w:r>
        <w:rPr>
          <w:rFonts w:ascii="Arial" w:cs="Arial" w:eastAsia="Arial" w:hAnsi="Arial"/>
          <w:sz w:val="18"/>
          <w:szCs w:val="18"/>
          <w:color w:val="auto"/>
        </w:rPr>
        <w:t xml:space="preserve"> values within approximately 0.4- to 5.1-fold relative to the reference D614G strain. The D614G strain is a variant of the original Wuhan-Hu-1 strain that emerged in the early phases of the pandemic and rapidly outcompeted the original strain to become the globally dominant variant by mid-2020. Moreover, emerging variants, such as Alpha (B.1.1.7) and Beta (B.1.351), all harbor the D614G mutation, making it a suitable reference for comparison.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Displayed Potent Neutralizing Activity Against a Broad Panel of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1259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60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Vivo Studies of ADG2 and ADG20 Demonstrated Efficacy in Treatment and Prevention of SARS-CoV-2 Infection</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 xml:space="preserve">To determine whether ADG2, the parent molecule of ADG20, could prevent SARS-CoV-1 and SARS-CoV-2 infection and associated disease in mice, we conducted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study where Balb/c mice were administered 200 µg of ADG2 or placebo, or sham, via intraperitoneal injection and then challenged 12 hours later with either mouse-adapted, or MA, SARS-CoV-1 or SARS-CoV-2 via the intranasal route. Body weight, respiratory function and lung histopathology were evaluated. In this preclinical study, ADG2 administered prophylactically protected healthy adult mice from weight loss, respiratory distress and pulmonary hemorrhage associated with infection due to MA SARS-CoV-1 or SARS-CoV-2, as shown below. Prophylactic treatment with ADG2 also prevented viral replication in the lungs post-infection. In contrast, prophylactic sham treatment resulted in deteriorations across all four parameters.</w:t>
      </w:r>
    </w:p>
    <w:p>
      <w:pPr>
        <w:spacing w:after="0" w:line="200" w:lineRule="exact"/>
        <w:rPr>
          <w:sz w:val="20"/>
          <w:szCs w:val="20"/>
          <w:color w:val="auto"/>
        </w:rPr>
      </w:pPr>
    </w:p>
    <w:p>
      <w:pPr>
        <w:spacing w:after="0" w:line="20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ADG2 Provides Complete Protection Against Severe SARS-CoV-2 and SARS-CoV-1 Disease in a Mouse Model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SARS-CoV-2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573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SARS-CoV-1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65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8604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To determine whether a low dose of ADG2 could provide therapeutic benefit against SARS-CoV-2-associated disease in mice, we conducted an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preclinical study where Balb/c mice were challenged intranasally with MA SARS-CoV-2 and then treated with either 200 µg of ADG2 or placebo</w:t>
      </w:r>
      <w:r>
        <w:rPr>
          <w:rFonts w:ascii="Arial" w:cs="Arial" w:eastAsia="Arial" w:hAnsi="Arial"/>
          <w:sz w:val="18"/>
          <w:szCs w:val="18"/>
          <w:i w:val="1"/>
          <w:iCs w:val="1"/>
          <w:color w:val="auto"/>
        </w:rPr>
        <w:t xml:space="preserve"> </w:t>
      </w:r>
      <w:r>
        <w:rPr>
          <w:rFonts w:ascii="Arial" w:cs="Arial" w:eastAsia="Arial" w:hAnsi="Arial"/>
          <w:sz w:val="18"/>
          <w:szCs w:val="18"/>
          <w:color w:val="auto"/>
        </w:rPr>
        <w:t>via intraperitoneal injection 12 hours following challenge. Compared to placebo, ADG2 resulted in less weight loss and was associated with improved respiratory function and histological signs of hemorrhage. In addition, treatment with ADG2 also resulted in a significant reduction in lung viral loads at four days post-infection relative to treatment with placebo.</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 xml:space="preserve">In conjunction with the United States Army Medical Research Institute for Infectious Diseases, or USAMRIID, we conducted two preclinical studies to investigate the efficacy of ADG20 in the prevention of SARS-CoV-2 infection in hamsters and non-human primates, or NHPs. A dose ranging study of ADG20 in hamsters was conducted to investigate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of ADG20 in preventing SARS-CoV-2 infection and to evaluate the potential for antibody-dependent enhancement, or ADE, of infection at sub-neutralizing, or sub-efficacious, concentrations of ADG20. The preclinical study included six cohorts, with four cohorts administered differing doses of ADG20 and two cohorts administered a control antibody. The antibodies were administered 24 hours prior to an intranasal viral challenge and viral load was measured in lungs harvested on days three or six post-challenge. This preclinical study demonstrated that ADG20 inhibits viral replication in a dose-dependent manner with no evidence of ADE of viral replication at sub-efficacious serum concentrations.</w:t>
      </w:r>
    </w:p>
    <w:p>
      <w:pPr>
        <w:spacing w:after="0" w:line="19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also conducted a preclinical study with USAMRIID to investigate the efficacy of ADG20 in the prevention of SARS-CoV-2 infection in NHPs. Three cohorts were dosed with 5 mg/kg of ADG20, 25 mg/kg of ADG20 or an irrelevant control antibody through IV infusion three days prior to combined intranasal and intratracheal challenge with SARS-CoV-2/WA-1, a strain similar to the original Wuhan-Hu-1 strain. Swabs of the nasopharyngeal cavities were taken daily on days one through six post-challenge to assess viral load by both viral plaque assay, which measures levels of infectious virus, and RT-PCR of subgenomic viral RNA, which measures active viral replication. Viral replication in the lungs was also evaluated by subgenomic RT-PCR on bronchioalveolar lavage, or BAL, fluid collected on days one, three and five. As shown in the graphic below, persistent viral replication was detected through day six in the nasopharyngeal cavities of all control-treated animals. In contrast, complete protection against viral replication was observed in all respiratory compartments at the 25 mg/kg dose level. Substantial protection was also observed at the 5 mg/kg dose level, as demonstrated by reduced viral loads and accelerated viral clearance compared to control-treated animals.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Provides Potent Prophylactic Protection in an NHP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54178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541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As shown in the graphic below, we believe that intervention with an antiviral neutralizing antibody before exposure to SARS-CoV-2, post-exposure but prior to the onset of symptoms or early in the course of symptomatic disease when viral replication is high but before the onset of significant immune pathology is likely to provide the greatest benefit to patients. This belief is supported by recent clinical experience with</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SARS-CoV-2 mAbs as well as prior experience with the use of neutralizing antibodies for the treatment and prevention of other respiratory virus infections such as influenza and respiratory syncytial virus, or RSV. For these reasons, our clinical development strategy is focused on prevention and early treatment of COVID-19 with the goal of preventing severe disease and its sequelae.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for Treatment and Prevention of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wp:posOffset>
            </wp:positionV>
            <wp:extent cx="5186045" cy="1808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60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As shown below, our clinical development plan for ADG20 includes a series of clinical trials to demonstrate the potential of ADG20 for both the treatment and prevention of COVID-19 in adults and adolescents. We have completed enrollment in our first-in-human Phase 1 clinical trial in healthy volunteers, which demonstrated that ADG20 was well tolerated and displayed a pharmacokinetic profile consistent with an extended half-life mAb. In addition, serum virus neutralizing antibody titers measured following administration of ADG20 were within the range of peak serum neutralizing antibody titers reported for mRNA COVID-19 vaccine recipients. For the treatment of mild to moderate COVID-19 in patients at high risk of disease progression, we are conducting our combined Phase 2/3 STAMP trial that is designed to provide a near-term path to authorization, marketing approval and commercial launch. For the prevention of symptomatic COVID-19, we are conducting our combined Phase 2/3 EVADE clinical trial in both post-exposure and pre-exposure populations. 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In addition, we are developing a clinical plan to support the use of ADG20 in the pediatric population for both the treatment and prevention of COVID-19.</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Clinical Development Program for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8632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First-in-Human Phase 1 Dose Escalation Clinical Trial</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In February 2021, we initiated a Phase 1 single ascending-dose escalation clinical trial of ADG20, which is designed to evaluate the safety, tolerability and pharmacokinetic properties of ADG20, along with serum virus neutralizing antibody titers. We have completed enrollment of 30 healthy volunteers across three cohorts, with ten participants per cohort randomized 8 to 2 to ADG20 or placebo, respectively. Each participant received a single IM or IV administration of either 300 mg IM, 500 mg IV or 600 mg IM of ADG20 or placebo. As of June 14, 2021, no serious adverse events, study drug-related adverse events, hypersensitivity reactions, infusion-related reactions or injection site reactions were reported in any study participant. All reported adverse events were mild in severity and resolved.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 xml:space="preserve">The preliminary pharmacokinetic profile approximately 3 months following administration of a single 300 mg IM dose is shown in the illustration below. The observed data are consistent with the pharmacokinetic profile predicted by a physiologically based pharmacokinetic model used to guide dose selection and project a prolonged serum half-life of approximately 60 to 100 days. Based on the model predicted pharmacokinetic profile, the median ADG20 serum concentration at 52 weeks, or approximately 12 months, is projected to exceed the ADG20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13"/>
          <w:szCs w:val="13"/>
          <w:color w:val="auto"/>
        </w:rPr>
        <w:t>90</w:t>
      </w:r>
      <w:r>
        <w:rPr>
          <w:rFonts w:ascii="Arial" w:cs="Arial" w:eastAsia="Arial" w:hAnsi="Arial"/>
          <w:sz w:val="16"/>
          <w:szCs w:val="16"/>
          <w:color w:val="auto"/>
        </w:rPr>
        <w:t xml:space="preserve"> by approximately 100-fold, supporting the potential for a single IM injection to provide protection from COVID-19 for up to 12 months. Preliminary observed ADG20 pharmacokinetic profiles were dose proportional across the other dose levels tested and were also well predicted by the model.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Preliminary Pharmacokinetic Profile of a Single 300 mg IM Dose of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171450</wp:posOffset>
            </wp:positionV>
            <wp:extent cx="4732020" cy="29914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3202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Serum virus neutralizing antibody titers are believed to be a key correlate of protection against COVID-19. By approximately two weeks following administration of a single 300 mg IM dose of ADG20, measured serum neutralizing antibody titers were within the range of peak serum neutralizing antibody titers reported for mRNA COVID-19 vaccine recipients. Using the quantitative pharmacology model, median serum neutralizing antibody titers at 6 months were projected to remain within the range reported for mRNA vaccine recipients in a similar timeframe. At 52 weeks, or approximately 12 months, post-dosing median titers were projected to remain above a threshold associated with protection from SARS-CoV-2 infection in non-human primates administered purified IgG from previously infected animals. These data further support the potential for a single 300 mg IM injection of ADG20 to provide protection against COVID-19 for up to 12 months.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Combined Phase 2/3 STAMP Trial of ADG20 for the Treatment of COVID-19</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Emerging evidence has shown that for high-risk patients, intervention with a mAb therapy early in the course of infection can prevent disease progression, hospitalization and death. Based on this evidence, we are conducting our STAMP trial, a combined Phase 2/3 clinical trial of ADG20 for the treatment of COVID-19 in ambulatory adult patients with mild to moderate disease who are at high risk of disease progression. Our STAMP trial is designed to be a double-blind, randomized, placebo-controlled clinical trial comparing the efficacy of a single IM dose of ADG20 to placebo, with a target enrollment of approximately 1,100 patients, all of which will be enrolled outside of the United States. After evaluation of safety data from the Phase 2 portion of the trial, we may expand enrollment to adolescents and pregnant women in the Phase 3 portion. The primary objectives of this clinical trial are to assess the safety and efficacy of ADG20 compared to placebo in the prevention of COVID-19-related hospitalization or death through Day 29.</w:t>
      </w:r>
    </w:p>
    <w:p>
      <w:pPr>
        <w:spacing w:after="0" w:line="19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designed our STAMP trial to have a pre-specified interim analysis to support the potential to demonstrate early evidence of efficacy and to submit an EUA. If the interim analysis is positive and the public health emergency is still in effect, we plan to submit an EUA to the FDA. Our EUA submission will be based on clinical and virology endpoints and will be supplemented with non-clinical virological data demonstrating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ADG20 activity against known SARS-CoV-2 variants of concern. Our EUA plan is supported by recently issued FDA guidance. If the Phase 3 data are positive, either at the interim analysis or at the completion of the trial, we expect to submit a biologics license application, or BLA, to the FDA for full approval of ADG20 for the treatment of mild to moderate COVID-19 in patients at high risk of progressing to severe COVID-19 and/or hospitalization. Our BLA for the treatment indication will be further supported by clinical data from the EVADE trial.</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order to demonstrate clinical efficacy of ADG20 in patients where other mAb therapies are expected to have more limited success, we are prioritizing enrollment of the STAMP trial in countries with high rates of SARS-CoV-2 variants that have been associated with lower efficacy rates of certain vaccines and are resistant or partially resistant to a subset of currently available or clinical-stage mAbs.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Combined Phase 2/3 EVADE Trial of ADG20 for the Prevention of COVID-19</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have initiated our combined Phase 2/3 EVADE clinical trial of ADG20 to evaluate the safety and efficacy of ADG20 in the prevention of symptomatic COVID-19 in two separate populations: (1) individuals with known exposure to a person with laboratory-confirmed SARS-CoV-2 infection, which we refer to as post-exposure prophylaxis, and (2) individuals who are at increased risk for SARS-CoV-2 infection, which we refer to as pre-exposure prophylaxis. The eligible trial population also includes individuals at risk of generating poor vaccine response, such as those who are immunocompromised. Our EVADE trial is designed as a randomized, double-blind, placebo-controlled clinical trial to evaluate the efficacy of a single IM dose of ADG20 in preventing COVID-19, with a target enrollment of approximately 6,400 individuals in the United States and other countries. The primary endpoint is the proportion of participants with laboratory-confirmed symptomatic COVID-19 through Day 28 for the post-exposure cohort and through six months for the pre-exposure cohort. In addition, we will follow participants for 12 months to assess the proportion of participants who develop symptomatic COVID-19 through this time period in both cohorts. For those participants who do get infected with SARS-CoV-2, we will evaluate the impact of ADG20 on viral load as a surrogate for transmission potential. After evaluation of data from the first 200 adult participants across both cohorts in the Phase 2 portion of the trial, we may expand enrollment to adolescents and pregnant women in the Phase 3 portion.</w:t>
      </w:r>
    </w:p>
    <w:p>
      <w:pPr>
        <w:spacing w:after="0" w:line="172"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We initiated enrollment in the Phase 2 portion of our EVADE trial in April 2021. If the Phase 2 portion is successful, we plan to initiate enrollment in the Phase 3 portion of the trial. If the Phase 3 data are positive in either or both cohorts of the trial, we expect to submit a BLA to the FDA for full approval of ADG20 for the prevention of COVID-19 in the pre- and/or post-exposure setting. Similar to our STAMP trial, we are prioritizing enrollment in countries, including the United States, with high rates of SARS-CoV-2 variants, including variants that have been associated with lower efficacy rates of certain vaccines and are resistant or partially resistant to a subset of currently available or clinical-stage mAbs.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Pediatric Clinical Development Plan</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Although children are at lower risk of developing severe COVID-19 compared to adults, a subset of children experience poor outcomes, including severe acute disease, such as the multisystem inflammatory syndrome, or MIS-C, and long-term sequelae of disease, also known as long COVID. Safe and effective therapies are needed to prevent severe disease and hospitalization in high-risk children as well as complications of COVID-19 such as MIS-C and long COVID. In addition, children of all ages are infectious and capable of transmission, regardless of symptom status, and the contribution of children to ongoing disease transmission is likely underappreciated. The secondary impacts of the COVID-19 pandemic on children due to widespread school closure, including a burgeoning mental health crisis, food insecurity and loss of gains in literacy, further attest to the need for safe and effective agents to prevent COVID-19 in children to support widespread school re-opening. Prevention efforts in children are also important for protection of high-risk adults who have contact with children and may not be fully protected by vaccination, as well as for the achievement of global herd immunity given that 25% of the world’s population are under the age of 14.</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Similar to our strategy for the adult and adolescent populations, we anticipate generating data to support the use of ADG20 for both the treatment and prevention of COVID-19 in the pediatric population. We believe ADG20 has the potential to provide a treatment option for children at high risk of severe disease, a viable prevention option for children with household or other high-risk exposures and an alternative to vaccines for certain high-risk children. Based on decades of experience using Synagis, an antibody administered to high-risk infants and toddlers for the prevention of severe lower respiratory tract disease due to RSV, we believe the pediatric use of ADG20 could become well-accepted for certain subsets of the pediatric population.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Commercial Opportunity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Market Opportunity</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that three core assumptions underpin the robust commercial opportunity inherent in ADG20 as both a treatment and preventative option for COVID-19:</w:t>
      </w:r>
    </w:p>
    <w:p>
      <w:pPr>
        <w:spacing w:after="0" w:line="72" w:lineRule="exact"/>
        <w:rPr>
          <w:sz w:val="20"/>
          <w:szCs w:val="20"/>
          <w:color w:val="auto"/>
        </w:rPr>
      </w:pPr>
    </w:p>
    <w:p>
      <w:pPr>
        <w:jc w:val="both"/>
        <w:ind w:left="1080" w:hanging="532"/>
        <w:spacing w:after="0" w:line="270"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Vaccines alone are not expected to adequately address the COVID-19 pandemic. </w:t>
      </w:r>
      <w:r>
        <w:rPr>
          <w:rFonts w:ascii="Arial" w:cs="Arial" w:eastAsia="Arial" w:hAnsi="Arial"/>
          <w:sz w:val="17"/>
          <w:szCs w:val="17"/>
          <w:color w:val="auto"/>
        </w:rPr>
        <w:t>We believe high levels of vaccine hesitancy may</w:t>
      </w:r>
      <w:r>
        <w:rPr>
          <w:rFonts w:ascii="Arial" w:cs="Arial" w:eastAsia="Arial" w:hAnsi="Arial"/>
          <w:sz w:val="17"/>
          <w:szCs w:val="17"/>
          <w:b w:val="1"/>
          <w:bCs w:val="1"/>
          <w:color w:val="auto"/>
        </w:rPr>
        <w:t xml:space="preserve"> </w:t>
      </w:r>
      <w:r>
        <w:rPr>
          <w:rFonts w:ascii="Arial" w:cs="Arial" w:eastAsia="Arial" w:hAnsi="Arial"/>
          <w:sz w:val="17"/>
          <w:szCs w:val="17"/>
          <w:color w:val="auto"/>
        </w:rPr>
        <w:t>leave as many as 100 million people in the United States and 2 billion people worldwide susceptible to COVID-19, assuming that less than 70% of the population will take a full course of a vaccine. We also believe there is a significant portion of the population that will choose not to receive the second vaccine dose or a potential future booster, which will make the duration of their protection uncertain. We also believe the challenges around the distribution and storage of certain vaccines will make widespread administration difficult in less developed or remote parts of the world. As a result, our epidemiological modeling has suggested that as much as 50% of the global population may be susceptible to infection within three years based on current assumptions of viral transmissibility as well as vaccine adoption, availability and length of protection, even when assuming that vaccine boosters are readily available. We believe these predictive assessments are indicative of the significant opportunity that may be available for a mAb therapy like ADG20 that has the potential to offer both treatment and preventative benefit.</w:t>
      </w:r>
    </w:p>
    <w:p>
      <w:pPr>
        <w:spacing w:after="0" w:line="82" w:lineRule="exact"/>
        <w:rPr>
          <w:rFonts w:ascii="Arial" w:cs="Arial" w:eastAsia="Arial" w:hAnsi="Arial"/>
          <w:sz w:val="17"/>
          <w:szCs w:val="17"/>
          <w:color w:val="auto"/>
        </w:rPr>
      </w:pPr>
    </w:p>
    <w:p>
      <w:pPr>
        <w:jc w:val="both"/>
        <w:ind w:left="1080" w:hanging="532"/>
        <w:spacing w:after="0" w:line="254"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ADG20 will find clinical application as both a complement to and supplement for vaccine use. </w:t>
      </w:r>
      <w:r>
        <w:rPr>
          <w:rFonts w:ascii="Arial" w:cs="Arial" w:eastAsia="Arial" w:hAnsi="Arial"/>
          <w:sz w:val="18"/>
          <w:szCs w:val="18"/>
          <w:color w:val="auto"/>
        </w:rPr>
        <w:t>We conducted market research with</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physicians in the United States and Europe to better understand their perceptions of the potential profile of ADG20 and its likely applications. When shown the product profile of ADG20 versus four other mAbs in development, casirivimab/imdevimab (REGEN-COV), bamlanivimab/etesevimab (LY-CoV555/016), cilgavimab/tixagevimab (AZ7442) and sotrovimab (VIR-7831), both groups of physicians preferred ADG20 as a potential preventative for all types of individuals, including those unvaccinated, as well as a supplement for high-risk individuals, such as the elderly and the immunocompromised. For treatment, both groups of physicians also preferred ADG20 for all patient types, including low- and high-risk patients as well as pre-symptomatic, but infected, patients. We believe the results of our market research support the potential acceptance of ADG20 as both a complement to and supplement for vaccines across a wide variety of individuals.</w:t>
      </w:r>
    </w:p>
    <w:p>
      <w:pPr>
        <w:spacing w:after="0" w:line="93" w:lineRule="exact"/>
        <w:rPr>
          <w:rFonts w:ascii="Arial" w:cs="Arial" w:eastAsia="Arial" w:hAnsi="Arial"/>
          <w:sz w:val="18"/>
          <w:szCs w:val="18"/>
          <w:color w:val="auto"/>
        </w:rPr>
      </w:pPr>
    </w:p>
    <w:p>
      <w:pPr>
        <w:jc w:val="both"/>
        <w:ind w:left="1080" w:right="20" w:hanging="532"/>
        <w:spacing w:after="0" w:line="254"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ADG20 can both address COVID-19 and be a stockpiling product of choice for COVID-2X, the next SARS-like coronavirus.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the aggregate of ADG20’s potential advantages, including its dosing convenience, the potential durability of its efficacy and its utility against SARS-CoV-2 variants, position ADG20 as a compelling option to address the current COVID-19 pandemic. In addition, ADG20’s broad activity against a diverse group of SARS-related viruses make ADG20 an attractive option to enable stockpiling purchases to address future potential pandemics due to SARS-like viruses. To further enhance ADG20’s stockpiling profile, we are developing a lyophilized formulation of the API of ADG20 to further extend the shelf life of the drug product under refrigerated conditions. Through a combination of the lyophilized form and the long-term frozen storage of the drug substance intermediate, we believe the shelf life can be even further extended.</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ADG20 Attributes vs. Competitive mAbs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ADG20 has a unique combination of attributes that positions ADG20 to be a differentiated mAb for both the treatment and prevention of COVID-19.</w:t>
      </w:r>
    </w:p>
    <w:p>
      <w:pPr>
        <w:spacing w:after="0" w:line="170"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Low Risk of Clinical Resistance. </w:t>
      </w:r>
      <w:r>
        <w:rPr>
          <w:rFonts w:ascii="Arial" w:cs="Arial" w:eastAsia="Arial" w:hAnsi="Arial"/>
          <w:sz w:val="16"/>
          <w:szCs w:val="16"/>
          <w:color w:val="auto"/>
        </w:rPr>
        <w:t>The currently known SARS-CoV-2 variants of concern likely emerged in response to immune pressure exerted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 variable amino acid residues such as K417 and E484, which are targeted by public antibodies commonly induced by natural infection. Because most of the mAbs currently in development were isolated from COVID-19 survivors and belong to one of the three classes of public RBD-directed antibodies, many of the clinical-stage mAbs show significant loss of potency against variants of concern. For example, casirivimab, bamlanivimab, etesevimab and regandivimab all show significant loss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neutralizing potency against the Beta (B1.351), Gamma (P.1), Iota (B.1.526) and/or Epsilon (B.1.429) variants, which contain mutations at the key amino acid residues recognized by these antibodies. Furthermore, the EUA for bamlanivimab was recently revoked by the FDA due to the increase in SARS-CoV-2 variants resistant to this antibody, raising concerns of increased risk of treatment failure and distribution of a second agent, bamlanvimab/etesevimab, has been paused in the United States due to data showing that the combined frequency of two variants resistant to this product, the Gamma (P.1) and Beta (B.1.351) variants, now exceeds 11% in the United States and is trending upward. In contrast, ADG20 binds to conserved residues that are not readily targeted by public antibodies. This suggests that these residues are less likely to mutate than those recognized by other antibodies, which is supported by preliminary data demonstrating that mutations in the ADG20 binding site are currently present at extremely low frequency in circulating SARS-CoV-2 viruses and none of the variants of concern described to date contain mutations in the ADG20 binding site. Thus, ADG20 demonstrates potent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neutralizing activity against common circulating SARS-CoV-2 variants, including the Alpha (B.1.1.7), Beta (B1.351), Gamma (P.1) and Delta (B.1.617.2) variants of concern and additional variants of interest.</w:t>
      </w:r>
    </w:p>
    <w:p>
      <w:pPr>
        <w:spacing w:after="0" w:line="17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Half-Life Extension. </w:t>
      </w:r>
      <w:r>
        <w:rPr>
          <w:rFonts w:ascii="Arial" w:cs="Arial" w:eastAsia="Arial" w:hAnsi="Arial"/>
          <w:sz w:val="17"/>
          <w:szCs w:val="17"/>
          <w:color w:val="auto"/>
        </w:rPr>
        <w:t>ADG20 was engineered from its parent antibody, ADG2, with a modification in the Fc region that results in enhanced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binding to FcRn at low pH levels. Enhanced binding to FcRn receptors at low pH levels improves FcRn-mediated antibody recycling, leading to an extended serum half-life in humans. The prolonged half-life for ADG20 is supported by preliminary pharmacokinetic data from the Phase 1 healthy volunteer study. Other antibodies that do not include half-life extensions, such as casirivimab/imdevimab, bamlanivimab/etesevimab and regdanvimab, will likely require frequent periodic administration to provide an extended duration of protection.</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Effector Function. </w:t>
      </w:r>
      <w:r>
        <w:rPr>
          <w:rFonts w:ascii="Arial" w:cs="Arial" w:eastAsia="Arial" w:hAnsi="Arial"/>
          <w:sz w:val="16"/>
          <w:szCs w:val="16"/>
          <w:color w:val="auto"/>
        </w:rPr>
        <w:t>Antibodies with Fc-mediated immune effector function summon immune cells and other immune mediators to the site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infection to help destroy infected cells and clear the infection.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for other SARS-CoV-2 mAbs also suggest that Fc effector functions help to modulate protective immune responses. Notably, etesevimab and cilgavimab/tixagevimab include Fc modifications that reduce innate immune effector functions. In contrast, ADG20 was engineered to retain Fc-mediated innate immune effector activity, including ADCC and ADCP.</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Potency. </w:t>
      </w:r>
      <w:r>
        <w:rPr>
          <w:rFonts w:ascii="Arial" w:cs="Arial" w:eastAsia="Arial" w:hAnsi="Arial"/>
          <w:sz w:val="18"/>
          <w:szCs w:val="18"/>
          <w:color w:val="auto"/>
        </w:rPr>
        <w:t>Our definition for potent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neutralization of SARS-CoV-2 is demonstration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IC</w:t>
      </w:r>
      <w:r>
        <w:rPr>
          <w:rFonts w:ascii="Arial" w:cs="Arial" w:eastAsia="Arial" w:hAnsi="Arial"/>
          <w:sz w:val="15"/>
          <w:szCs w:val="15"/>
          <w:color w:val="auto"/>
        </w:rPr>
        <w:t>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equal to 10 ng/mL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against a range of authentic SARS-CoV-2 variants, including Alpha (B.1.1.7), Beta (B1.351), Gamma (P.1) and Delta (B.1.617.2). Of the clinical-stage and authorized mAbs, only ADG20 and AZD1061 have this characteristic.</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Convenient Dosing Regimen. </w:t>
      </w:r>
      <w:r>
        <w:rPr>
          <w:rFonts w:ascii="Arial" w:cs="Arial" w:eastAsia="Arial" w:hAnsi="Arial"/>
          <w:sz w:val="18"/>
          <w:szCs w:val="18"/>
          <w:color w:val="auto"/>
        </w:rPr>
        <w:t>Given the high potency, low viscosity and high concentration formulation of ADG20, we are developing ADG20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single-dose IM injection for both the treatment and prevention of COVID-19. To our knowledge, the dosing regimens for currently available or clinical-stage SARS-CoV-2 mAbs require either IV infusion or multiple subcutaneous or intramuscular injections for the treatment and/or prevention of COVID-19.</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Breadth. </w:t>
      </w:r>
      <w:r>
        <w:rPr>
          <w:rFonts w:ascii="Arial" w:cs="Arial" w:eastAsia="Arial" w:hAnsi="Arial"/>
          <w:sz w:val="18"/>
          <w:szCs w:val="18"/>
          <w:color w:val="auto"/>
        </w:rPr>
        <w:t>ADG20 has demonstrated potent and broad neutralizing activity against SARS-CoV-2 and other SARS-like viruses that infect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cells through the same hACE2 receptor pathway as SARS-CoV-2. To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knowledge, the only other mAb in late-stage clinical development that has demonstrated activity against additional SARS-like viruses is sotrovimab, but with lower potency compared to ADG20.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Go-to-Market Strategy</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believe the commercialization of ADG20 will involve direct sales to governments, including relevant health agencies and national health systems, and in the United States, health insurers, integrated delivery networks and large employers. We intend to establish our own commercial organization in the United States and Europe, where we believe a focused commercial infrastructure will be able to successfully commercialize ADG20. We have begun discussions with some of these entities and will continue to do so as we progress ADG20 through a potential EUA and commercialization. In other markets, such as Latin America, Asia-Pacific, including China, and Middle Eastern and African countries, we intend to commercialize ADG20 through partnerships.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94615</wp:posOffset>
            </wp:positionV>
            <wp:extent cx="5186045" cy="2297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illustrated in the graphic above, we are developing additional product candidates, such as ADG10, for potential use in combination with ADG20 for the treatment and prevention of COVID-19 and have initiated discovery programs focused on preventative agents for additional coronaviruses as well as seasonal and pandemic influenza, which are discussed in greater detail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Broadly Neutralizing Antibodies in Development</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envision additional product development opportunities emerging from our development of ADG20 for the treatment and prevention of COVID-19. We are initiating IND-enabling studies with ADG10, an additional broadly neutralizing antibody for potential use in combination with ADG20 for COVID-19. We believe the incorporation of a second broadly neutralizing antibody that targets a distinct viral epitope from the epitope targeted by ADG20 will ensure long-lasting product activity for COVID-19 as new variants of SARS-CoV-2 arise as well as for future outbreaks of disease that may arise from additional SARS-like viruses with pandemic potential. We anticipate submitting an IND to the FDA in the fourth quarter of 2021. If cleared, we anticipate initiating first-in-human clinical development in the first quarter of 2022.</w:t>
      </w:r>
    </w:p>
    <w:p>
      <w:pPr>
        <w:spacing w:after="0" w:line="178"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 xml:space="preserve">A number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including assessments of binding affinity and neutralization potency, have been conducted with ADG10 and ADG1, the parent molecule of ADG10. ADG1 is an affinity-matured progeny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 xml:space="preserve">of ADI-55689, an antibody that was isolated from a survivor of the 2003 SARS outbreak along with the parent molecule of ADG2/ADG20. Affinity maturation increased ADG1 binding affinity to the SARS-CoV-2 S protein and neutralization potency against SARS-CoV-2 by as much as 85-fold and 40-fold, respectively. ADG1 binds with high affinity to the RBD of the spike proteins of multiple ACE-2 targeting sarbecoviruses and has been shown to potently neutralize multiple members of this group of SARS-like viruses </w:t>
      </w:r>
      <w:r>
        <w:rPr>
          <w:rFonts w:ascii="Arial" w:cs="Arial" w:eastAsia="Arial" w:hAnsi="Arial"/>
          <w:sz w:val="18"/>
          <w:szCs w:val="18"/>
          <w:i w:val="1"/>
          <w:iCs w:val="1"/>
          <w:color w:val="auto"/>
        </w:rPr>
        <w:t>in vitro. To create ADG10, the same Fc region modification included in ADG20</w:t>
      </w:r>
      <w:r>
        <w:rPr>
          <w:rFonts w:ascii="Arial" w:cs="Arial" w:eastAsia="Arial" w:hAnsi="Arial"/>
          <w:sz w:val="18"/>
          <w:szCs w:val="18"/>
          <w:color w:val="auto"/>
        </w:rPr>
        <w:t xml:space="preserve"> </w:t>
      </w:r>
      <w:r>
        <w:rPr>
          <w:rFonts w:ascii="Arial" w:cs="Arial" w:eastAsia="Arial" w:hAnsi="Arial"/>
          <w:sz w:val="18"/>
          <w:szCs w:val="18"/>
          <w:i w:val="1"/>
          <w:iCs w:val="1"/>
          <w:color w:val="auto"/>
        </w:rPr>
        <w:t>that was designed to extend half-life was introduced into ADG1.</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Similar to ADG2, ADG1 possesses broad activity and binds with high affinity to a diverse set of RBD molecules from naturally circulating SARS-CoV-2 variants and related sarbecoviruses. ADG10 has demonstrated broad and potent neutralizing activity against authentic SARS-CoV-2 viruses, including the Victoria virus strain and the Alpha (B.1.1.7), Beta (B.1.351), Gamma (P.I) and Delta (B.1.617.2) variants. As shown in the table below, ADG10 potently and completely neutralized all five virus strains tested, as demonstrated by the low IC</w:t>
      </w:r>
      <w:r>
        <w:rPr>
          <w:rFonts w:ascii="Arial" w:cs="Arial" w:eastAsia="Arial" w:hAnsi="Arial"/>
          <w:sz w:val="15"/>
          <w:szCs w:val="15"/>
          <w:color w:val="auto"/>
        </w:rPr>
        <w:t>50</w:t>
      </w:r>
      <w:r>
        <w:rPr>
          <w:rFonts w:ascii="Arial" w:cs="Arial" w:eastAsia="Arial" w:hAnsi="Arial"/>
          <w:sz w:val="18"/>
          <w:szCs w:val="18"/>
          <w:color w:val="auto"/>
        </w:rPr>
        <w:t xml:space="preserve"> values and 100% neutralization plateaus achieved.</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ADG10 Displays Potent and Complete Neutralizing Activity Against SARS-CoV-2 Variants of Concern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IC</w:t>
            </w:r>
            <w:r>
              <w:rPr>
                <w:rFonts w:ascii="Arial" w:cs="Arial" w:eastAsia="Arial" w:hAnsi="Arial"/>
                <w:sz w:val="12"/>
                <w:szCs w:val="12"/>
                <w:b w:val="1"/>
                <w:bCs w:val="1"/>
                <w:color w:val="auto"/>
              </w:rPr>
              <w:t>50</w:t>
            </w:r>
            <w:r>
              <w:rPr>
                <w:rFonts w:ascii="Arial" w:cs="Arial" w:eastAsia="Arial" w:hAnsi="Arial"/>
                <w:sz w:val="14"/>
                <w:szCs w:val="14"/>
                <w:b w:val="1"/>
                <w:bCs w:val="1"/>
                <w:color w:val="auto"/>
              </w:rPr>
              <w:t xml:space="preserve"> (mcg/mL)</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Neutralization Plateau (%)</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Victoria</w:t>
            </w:r>
          </w:p>
        </w:tc>
        <w:tc>
          <w:tcPr>
            <w:tcW w:w="5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Alpha</w:t>
            </w:r>
          </w:p>
        </w:tc>
        <w:tc>
          <w:tcPr>
            <w:tcW w:w="22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Beta</w:t>
            </w:r>
          </w:p>
        </w:tc>
        <w:tc>
          <w:tcPr>
            <w:tcW w:w="7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Gamma</w:t>
            </w:r>
          </w:p>
        </w:tc>
        <w:tc>
          <w:tcPr>
            <w:tcW w:w="56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Delta</w:t>
            </w:r>
          </w:p>
        </w:tc>
        <w:tc>
          <w:tcPr>
            <w:tcW w:w="280" w:type="dxa"/>
            <w:vAlign w:val="bottom"/>
          </w:tcPr>
          <w:p>
            <w:pPr>
              <w:spacing w:after="0"/>
              <w:rPr>
                <w:sz w:val="10"/>
                <w:szCs w:val="10"/>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Victoria</w:t>
            </w:r>
          </w:p>
        </w:tc>
        <w:tc>
          <w:tcPr>
            <w:tcW w:w="7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Alpha</w:t>
            </w:r>
          </w:p>
        </w:tc>
        <w:tc>
          <w:tcPr>
            <w:tcW w:w="7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Beta</w:t>
            </w: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Gamma</w:t>
            </w:r>
          </w:p>
        </w:tc>
        <w:tc>
          <w:tcPr>
            <w:tcW w:w="5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Delta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B.1.1.7</w:t>
            </w:r>
          </w:p>
        </w:tc>
        <w:tc>
          <w:tcPr>
            <w:tcW w:w="2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B.1.351</w:t>
            </w: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P.1</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B.1.617.2</w:t>
            </w:r>
          </w:p>
        </w:tc>
        <w:tc>
          <w:tcPr>
            <w:tcW w:w="760" w:type="dxa"/>
            <w:vAlign w:val="bottom"/>
            <w:gridSpan w:val="2"/>
            <w:vMerge w:val="continue"/>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B.1.1.7</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B.1.351</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P.1</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B.1.617.2</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ADG10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0.006</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0.010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0.011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0.003</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0.026</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neutralization potency and breadth of ADG10 was further evaluated against a panel of 64 SARS-CoV-2 pseudovirus variants incorporating single or double amino acid spike substitutions or spike proteins encoding the full sets of mutations observed in emerging variants of concern and variants of interest, including the Epsilon (B.1.427/429), Iota (B.1.526) and Kappa (B.1.617.1) variants. We utilized the non-clinical and pre-clinical services program offered by the National Institute of Allergy and Infectious Disease to generate these data. Similar to ADG20, ADG10 maintained potent neutralization activity across all variants tested with IC</w:t>
      </w:r>
      <w:r>
        <w:rPr>
          <w:rFonts w:ascii="Arial" w:cs="Arial" w:eastAsia="Arial" w:hAnsi="Arial"/>
          <w:sz w:val="15"/>
          <w:szCs w:val="15"/>
          <w:color w:val="auto"/>
        </w:rPr>
        <w:t>50</w:t>
      </w:r>
      <w:r>
        <w:rPr>
          <w:rFonts w:ascii="Arial" w:cs="Arial" w:eastAsia="Arial" w:hAnsi="Arial"/>
          <w:sz w:val="18"/>
          <w:szCs w:val="18"/>
          <w:color w:val="auto"/>
        </w:rPr>
        <w:t xml:space="preserve"> values within approximately 0.3- to 4-fold relative to the D614G reference strain, as shown in the graphic below.</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ADG10 Displayed Potent Neutralizing Activity Against a Broad Panel of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248920</wp:posOffset>
            </wp:positionV>
            <wp:extent cx="5186045" cy="21170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Programs in Discovery</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believe that the robust antibody discovery and development capabilities that have enabled our expedited advancement of ADG20 into clinical trials may also be used to develop therapeutic or preventative options for other respiratory viral infections, such as seasonal and pandemic influenza. Broadly neutralizing antibodies with extended half-life have the potential to be used directly for the prevention of respiratory viral infection and disease.</w:t>
      </w:r>
    </w:p>
    <w:p>
      <w:pPr>
        <w:spacing w:after="0" w:line="149"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addition, the epitopes targeted by broadly neutralizing antibodies can be used as templates for the rational design of vaccine immunogens that elicit similar types of antibodies. In collaboration with an academic partner, we have initiated work on the design of coronavirus vaccine antigens that focus the antibody response on highly conserved epitopes defined by ADG10, ADG20 and other broadly neutralizing antibodies discovered by us and others. We have formulated a strategy to discover and engineer potent, broadly neutralizing antibodies targeting certain regions of the influenza virus surface protein, with the goal of generating product candidates with the potential to provide protection against both seasonal and pandemic influenza.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Strategy</w:t>
      </w:r>
    </w:p>
    <w:p>
      <w:pPr>
        <w:spacing w:after="0" w:line="121"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do not currently own or operate any manufacturing facilities and have invested significant resources to develop and scale up a suitable manufacturing process for ADG20 in partnership with a contract manufacturer, WuXi, with whom we have been working since our inception. With WuXi, we have developed a high yield, industry standard mAb drug substance manufacturing process suitable for large-scale manufacturing, as well as an industry standard sterile liquid drug product manufacturing process and formulation that enables IM delivery of ADG20. Currently, the ADG20 drug substance is produced using a recombinant Chinese Hamster Ovary, or CHO, commercial cell line, fed-batch suspension cell culture and a chromatography column-based purification process. ADG20 drug substance has been successfully manufactured at commercial scale and with acceptable yields in the planned launch facility at WuXi. We plan to implement the industry standard sterile liquid drug product manufacturing process in a WuXi commercial facility prior to the submission of our EUA application.</w:t>
      </w:r>
    </w:p>
    <w:p>
      <w:pPr>
        <w:spacing w:after="0" w:line="17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have established long-term master services agreements with WuXi, pursuant to which we purchase drug substance for both clinical and commercial supply. We may terminate the master services agreements at any time for convenience in accordance with the terms of the agreements, including fulfilling our obligation to make full payment for all committed purchases. Either party may also terminate the master services agreements with respect to an uncured breach by the other party in accordance with the terms of the agreements. The agreements include confidentiality and intellectual property provisions to protect our proprietary rights related to our product candidates. We have also established a cell license agreement with WuXi that allows for the transfer and use of the commercial cell line currently used in the manufacture of ADG20 drug substance at WuXi. This license enables cell line and manufacturing process transfer to additional contract manufacturers. We are obligated to pay WuXi royalties in the range of 0.3% to 0.5% based on our net sales of any products covered by the license, unless we use WuXi to manufacture all of our commercial supplies, and we may buy out our royalty obligations by making a one-time payment of $15.0 million to WuXi at our option. Royalties are due on a licensed product-by-licensed product basis commencing on the date of the first commercial sale of the applicable product and continue for so long as we commercialize licensed products or until we exercise our option to buy out the royalty obligations.</w:t>
      </w:r>
    </w:p>
    <w:p>
      <w:pPr>
        <w:spacing w:after="0" w:line="17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While we expect to continue to devote significant resources to the process development and optimization of the manufacture of ADG20 and its scale up, we believe the manufacturing processes for mAbs such as ADG20 are well established and should not create meaningful impediments to either clinical development or commercial launch. However, within the context of the global pandemic, sufficient capacity for commercial scale manufacturing has been constrained on a worldwide basis. We continue to identify additional drug substance and drug product contract manufacturers to ensure that we will have sufficient capacity as well as redundancy within our supply chain to avoid product shortages in the future. We are actively pursuing a second source contract manufacturer to add capacity and redundancy and to meet anticipated demand, if ADG20 is authorized or approved. While any reduction or halt in the supply of drug substance or drug product could limit our ability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develop our product candidates until a replacement contract manufacturer is found and qualified, we believe that we have sufficient clinical supply of ADG20 to support our current and planned clinical trials and to fulfill our initial commercial launch needs upon either receipt of an EUA or BLA approval. We will also continue to apply mitigation strategies to ensure minimal disruption to our manufacturing supply due to global raw material supply chain shortages.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Adimab</w:t>
      </w:r>
    </w:p>
    <w:p>
      <w:pPr>
        <w:spacing w:after="0" w:line="12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We were founded in June 2020 by Adimab to focus initially on the development of antibodies for both the treatment and prevention of COVID-19. Adimab is a leading provider of antibody discovery, engineering and optimization services and has established an extensive presence in the drug discovery industry. Since its founding in 2007, Adimab has partnered with over 80 pharmaceutical and biotechnology companies, including Biogen, GlaxoSmithKline, Merck, Regeneron and Takeda, and the Adimab platform has been used in more than 385 antibody discovery and optimization programs, more than 40 of which have advanced into clinical trials, including five programs in pivotal clinical trials. Five percent of all antibodies that entered clinical trials in 2020 originated from Adimab technology. Adimab has extensive domain expertise in B-cell immunology, and its prior discovery initiatives include targeting viral infections such as Ebola, Zika, RSV, hantavirus and yellow fever. We are leveraging this expertise to expedite our discovery and development activities and anticipate continued interaction with Adimab related to antibody discovery services.</w:t>
      </w:r>
    </w:p>
    <w:p>
      <w:pPr>
        <w:spacing w:after="0" w:line="16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are party to an assignment and license agreement with Adimab under which Adimab assigned to us its rights to all existing coronavirus antibodies controlled by it and their derivatives, including ADG20. See “—Licensing, Collaborations and Partnerships—Assignment and License Agreement with Adimab.” In addition,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Adagio, Adagio will have the exclusive option to require Adimab to assign us its rights in any such antibody and to grant us certain licenses. See “—Licensing, Collaborations and Partnerships—Collaboration Agreement with Adimab.”</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Collaborations and Partnerships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Assignment and License Agreement with Adimab</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In July 2020, we entered into an assignment and license agreement with Adimab, or the Adimab Assignment Agreement, with respect to discovery and optimization of coronavirus-specific antibodies, including COVID-19 and SARS. Under the Adimab Assignment Agreement, Adimab assigned to us its rights to all existing coronavirus antibodies controlled by it and their derivatives, patents claiming such antibodies, know-how related to such antibodies, and biological and chemical materials specifically related to such antibodies. Adimab also granted us a non-exclusive, worldwide, royalty-bearing, sublicensable license to certain of its antibody discovery and optimization platform technology to research, develop, make, use, and sell coronavirus antibodies and products containing or comprising coronavirus antibodies, provided that we may not use such licensed rights to discover or optimize antibodies. Adimab cannot grant any third party any license or right under any patent claiming our coronavirus antibodies and cannot deliver our coronavirus antibodies to third parties; however, we have limited recourse in the event of accidental disclosures.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obligated to use commercially reasonable efforts to achieve specified development and regulatory milestones for products in certain major markets and to commercialize a product in any country in which we obtain marketing approval. We are obligated to pay Adimab quarterly for its services performed under the agreement at a specified full-time equivalent rate.</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July 2020, in consideration for the rights assigned and license conveyed under the Adimab Assignment Agreement, we issued 5,000,000 shares of our Series A preferred stock, then having a fair value of $40.0 million, to Adimab. In addition, under the Adimab Assignment Agreement, we are obligated to pay Adimab up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Through June 28, 2021, we had made aggregate milestone payments of $3.5 million to Adimab under the Adimab Assignment Agreement. We are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 (ii) the expiration of the last valid claim of any patent in such country that was assigned to us under the Adimab Assignment Agreement or that claims priority to any such patent. If we commercialize any products as a diagnostic device (other than a companion diagnostic device) or as a research reagent, we must negotiate reasonable financial terms for such products.</w:t>
      </w:r>
    </w:p>
    <w:p>
      <w:pPr>
        <w:spacing w:after="0" w:line="166"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The Adimab Assignment Agreement will expire, unless earlier terminated, on the expiration of the last-to-expire royalty term. We have the right to terminate the Adimab Assignment Agreement at any time upon advance written notice to Adimab. In addition, subject to certain conditions, either we or Adimab may terminate the Adimab Assignment Agreement if the other party commits a material breach of the agreement and fails to cure such breach within a specified cure period after written notice is provided, except that after the initiation of the first clinical trial of a Product, Adimab may only terminate the agreement if we materially breach, and do not cure, our diligence obligation or a payment obligation. Upon expiration of the Adimab Assignment Agreement, the license becomes royalty-free, irrevocable and perpetual. Upon termination of the Adimab Assignment Agreement, all licenses and rights granted by either party will terminate and, in the case of our termination for convenience or Adimab’s termination for our material breach, we are required to assign to Adimab all right, title and interest to the patents assigned by Adimab to us or that claim priority to such patents.</w:t>
      </w:r>
    </w:p>
    <w:p>
      <w:pPr>
        <w:spacing w:after="0" w:line="16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Through June 28, 2021, we had made aggregate payments of $4.3 million to Adimab under the Adimab Assignment Agreement, inclusive of the milestone payments.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Collaboration Agreement with Adimab</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May 2021, we entered into a collaboration agreement with Adimab, or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If Adimab is unable to generate antibodies directed against a target selected by us, then we may replace such target.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or the Evaluation Term. We granted Adimab a non-exclusive, non-sublicensable license to certain of our patents and intellectual property solely to perform Adimab’s responsibilities under the research plans. Under the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will assign to us all right, title and interest in the antibodies of the optioned research program and will grant us a worldwide, royalty-free, fully paid-up, non-exclusive, sublicensable license under the Adimab platform technology to research, develop, make, use, and sell the antibodies for which we have exercised our options and products containing or comprising those antibodies.</w:t>
      </w:r>
    </w:p>
    <w:p>
      <w:pPr>
        <w:spacing w:after="0" w:line="16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Under the Adimab Collaboration Agreement, we are obligated to use commercially reasonable efforts to develop, seek marketing approval for, and commercialize one product that contains an antibody discovered in each research program for which we exercise our option to obtain licenses and assignments.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are obligated to pay Adimab a quarterly fee of $1.3 million, which obligation may be cancelled at our option at any time. For so long as we are paying such quarterly fee (or earlier (i) if we experience a change of control after the third anniversary of the Adimab Collaboration Agreement or</w:t>
      </w:r>
    </w:p>
    <w:p>
      <w:pPr>
        <w:jc w:val="both"/>
        <w:ind w:left="120" w:right="20" w:hanging="4"/>
        <w:spacing w:after="0" w:line="252" w:lineRule="auto"/>
        <w:tabs>
          <w:tab w:leader="none" w:pos="3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Adimab owns less than a specified percentage of our equity), Adimab and its affiliates will not assist or direct certain third parties to discover or optimize antibodies that are intended to bind to coronaviruses or influenza viruses. We may also elect to decrease the scope of Adimab’s exclusivity obligations and obtain a corresponding decrease in the quarterly fee.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9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Adimab Collaboration Agreement will expire (i) if we do not exercise any option, upon the conclusion of the last Evaluation Term for the research programs, or (ii) if we exercise an option, on the expiration of the 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cure periods. Following termination, we are prohibited from (i) researching, developing, manufacturing or commercializing, any products containing antibodies discovered under the agreement, (ii) practicing, licensing, assigning, granting options to, or otherwise covenanting away rights to the foregoing products, and (iii) licensing or otherwise granting covenants not to sue third parties for the foregoing products.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Through June 28, 2021, we had made no payments to Adimab under the Adimab Collaboration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Cell Line License Agreement with WuXi</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We are also party to a Cell Line License Agreement with WuXi, entered into as of December 2, 2020. See “Management’s Discussion and Analysis of Financial Condition and Results of Operations—Contractual Obligations and Commitments” and “—Manufacturing Strategy.”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 experience provide us with competitive advantages. However, we expect substantial competition from multiple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preclinical testing, conducting clinical trials, manufacturing, obtaining regulatory approvals and marketing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178"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face competition from segments of the pharmaceutical, biotechnology and other related markets that pursue the development of antibody and small molecule antivirals targeting COVID-19. Companies that have authorized or late-stage COVID-19 antibody-based programs include AstraZeneca plc, Brii Biosciences Limited, Celltrion Healthcare Co, Ltd., Eli Lilly and Co, Regeneron Pharmaceuticals, Inc., SAb Biotherapeutics, Inc. and Vir Biotechnology, Inc. in collaboration with GlaxoSmithKline. In addition, we may face competition from many established pharmaceutical companies focused on developing oral antivirals for the treatment of COVID-19. Beyond antibody and small molecule antiviral treatments, we also face competition from SARS-CoV-2 vaccines that are either available under EUA, approved or in development for the prevention of COVID-19.</w:t>
      </w:r>
    </w:p>
    <w:p>
      <w:pPr>
        <w:spacing w:after="0" w:line="164"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our product candidates. Some of our competitors have already obtained EUAs from the FDA for the treatment of mild to moderate COVID-19 in high risk patients, and others in the future may obtain FDA or other regulatory approval or authorization more rapidly than we may, which could result in our competitors establishing a strong market position before we are able to enter the market. The key competitive factors affecting the success of our product candidates, if approved, are likely to be their efficacy, safety, convenience, price and the availability of reimbursement from government and other third-party payors.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68" w:lineRule="auto"/>
        <w:rPr>
          <w:sz w:val="20"/>
          <w:szCs w:val="20"/>
          <w:color w:val="auto"/>
        </w:rPr>
      </w:pPr>
      <w:r>
        <w:rPr>
          <w:rFonts w:ascii="Arial" w:cs="Arial" w:eastAsia="Arial" w:hAnsi="Arial"/>
          <w:sz w:val="17"/>
          <w:szCs w:val="17"/>
          <w:color w:val="auto"/>
        </w:rPr>
        <w:t>Our commercial success depends in part on our ability to obtain and maintain patent and other proprietary protection for commercially important technology,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Although we own a number of pending patent applications that have not yet issued as patents, we do not own or license any issued patents with claims directed to our product candidates, including ADG20, and we may not be successful in prosecuting our filed patent applications or obtaining patent protection for our product candidates. Our pending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priority date with respect to our PCT and provisional U.S. patent applications and any patent protection on the inventions disclosed in such patent applications. See “Risk Factors—Risks Related to Our Intellectual Property.”</w:t>
      </w:r>
    </w:p>
    <w:p>
      <w:pPr>
        <w:spacing w:after="0" w:line="170"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cell therapy that may be important for the development of our business. We also intend to seek patent protection or rely upon trade secret rights to protect other technologies that may be used to discover and validate targets, as well as to manufacture and develop novel cell therapy products. Additional regulatory protection may also be afforded through data exclusivity, market exclusivity and patent term extensions where available.</w:t>
      </w:r>
    </w:p>
    <w:p>
      <w:pPr>
        <w:spacing w:after="0" w:line="17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ADG20 and ADG10</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As of May 21, 2021, we own one patent family for which we have filed one PCT patent application, one U.S. non-provisional patent application and two foreign patent applications in Argentina and Taiwan. This patent family is directed to broadly neutralizing anti-coronavirus antibodies, including ADG20 and ADG10, and uses thereof. These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188"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As of May 21, 2021, we own two additional patent families for which we have filed provisional U.S. patent applications. The first patent family is directed to methods of treating and preventing disease based on data obtained from ADG20 clinical trials and includes two U.S. provisional patent applications. The second patent family is directed to additional broadly neutralizing anti-coronavirus antibodies, combination therapies, and uses thereof and includes four U.S. provisional patent applications. Any U.S. non-provisional patent applications timely filed based upon these U.S. provisional patent applications, if issued, are expected to expire in 2042, without taking into account any possible patent term adjustment or extension.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Trade Secrets and Proprietary Information</w:t>
      </w:r>
    </w:p>
    <w:p>
      <w:pPr>
        <w:spacing w:after="0" w:line="117" w:lineRule="exact"/>
        <w:rPr>
          <w:sz w:val="20"/>
          <w:szCs w:val="20"/>
          <w:color w:val="auto"/>
        </w:rPr>
      </w:pPr>
    </w:p>
    <w:p>
      <w:pPr>
        <w:jc w:val="both"/>
        <w:ind w:left="120" w:right="20" w:firstLine="440"/>
        <w:spacing w:after="0" w:line="288" w:lineRule="auto"/>
        <w:rPr>
          <w:sz w:val="20"/>
          <w:szCs w:val="20"/>
          <w:color w:val="auto"/>
        </w:rPr>
      </w:pPr>
      <w:r>
        <w:rPr>
          <w:rFonts w:ascii="Arial" w:cs="Arial" w:eastAsia="Arial" w:hAnsi="Arial"/>
          <w:sz w:val="16"/>
          <w:szCs w:val="16"/>
          <w:color w:val="auto"/>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Factors—Risks Related to Our Intellectual Property.”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the United States, biologic products are licensed by the FDA for marketing under the Public Health Service Act, or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biologic product may be marketed in the United States generally involves the following:</w:t>
      </w:r>
    </w:p>
    <w:p>
      <w:pPr>
        <w:spacing w:after="0" w:line="131" w:lineRule="exact"/>
        <w:rPr>
          <w:sz w:val="20"/>
          <w:szCs w:val="20"/>
          <w:color w:val="auto"/>
        </w:rPr>
      </w:pPr>
    </w:p>
    <w:p>
      <w:pPr>
        <w:ind w:left="1080" w:right="2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Good Manufacturing Practices, or GMPs;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or IND, which must become effective before human clinical trials may begin;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Practices, or GCPs, and any additional requirements for the protection of human research subjects and their health information to establish the safety, purity, potency and efficacy of the proposed biologic product for its intended use;</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potency, and efficacy from results of nonclinical testing and clinical trials;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satisfactory completion of an FDA inspection prior to BLA approval of the manufacturing facility or facilities where the biologic product is produced to assess compliance with GMPs to assure that the facilities, methods and controls are adequate to preserve the biologic’s identity, strength, quality and purity;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potential FDA Advisory Committee meeting to elicit expert input on critical issues, including a vote by external committee members;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FDA review and approval, or licensure, of the BLA and payment of associated user fees, when applicable;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9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IRBs are charged with protecting the welfare and rights of study participants and consider such items as whether the risks to individuals participating in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540" w:right="20" w:hanging="424"/>
        <w:spacing w:after="0" w:line="277"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 The biologic product is initially introduced into healthy human subjects and tested for safety. In the case of some biologic products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rare diseases, the initial human testing is often conducted in patients.</w:t>
      </w:r>
    </w:p>
    <w:p>
      <w:pPr>
        <w:spacing w:after="0" w:line="75" w:lineRule="exact"/>
        <w:rPr>
          <w:rFonts w:ascii="Arial" w:cs="Arial" w:eastAsia="Arial" w:hAnsi="Arial"/>
          <w:sz w:val="18"/>
          <w:szCs w:val="18"/>
          <w:color w:val="auto"/>
        </w:rPr>
      </w:pPr>
    </w:p>
    <w:p>
      <w:pPr>
        <w:jc w:val="both"/>
        <w:ind w:left="540" w:right="20" w:hanging="424"/>
        <w:spacing w:after="0" w:line="342" w:lineRule="auto"/>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Phase 2</w:t>
      </w:r>
      <w:r>
        <w:rPr>
          <w:rFonts w:ascii="Arial" w:cs="Arial" w:eastAsia="Arial" w:hAnsi="Arial"/>
          <w:sz w:val="16"/>
          <w:szCs w:val="16"/>
          <w:color w:val="auto"/>
        </w:rPr>
        <w:t>. The biologic product is evaluated in a limited patient population to identify possible adverse effects and safety risks, to preliminarily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the efficacy of the biologic product for specific targeted diseases and to determine dosage tolerance, optimal dosage and dosing schedule.</w:t>
      </w:r>
    </w:p>
    <w:p>
      <w:pPr>
        <w:spacing w:after="0" w:line="29" w:lineRule="exact"/>
        <w:rPr>
          <w:rFonts w:ascii="Arial" w:cs="Arial" w:eastAsia="Arial" w:hAnsi="Arial"/>
          <w:sz w:val="16"/>
          <w:szCs w:val="16"/>
          <w:color w:val="auto"/>
        </w:rPr>
      </w:pPr>
    </w:p>
    <w:p>
      <w:pPr>
        <w:jc w:val="both"/>
        <w:ind w:left="540" w:right="20" w:hanging="424"/>
        <w:spacing w:after="0" w:line="279" w:lineRule="auto"/>
        <w:tabs>
          <w:tab w:leader="none" w:pos="54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Phase 3</w:t>
      </w:r>
      <w:r>
        <w:rPr>
          <w:rFonts w:ascii="Arial" w:cs="Arial" w:eastAsia="Arial" w:hAnsi="Arial"/>
          <w:sz w:val="17"/>
          <w:szCs w:val="17"/>
          <w:color w:val="auto"/>
        </w:rPr>
        <w:t>. Clinical trials are undertaken to further evaluate dosage, clinical efficacy, potency and safety in an expanded patient population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geographically dispersed clinical trial sites. These clinical trials are intended to establish the overall risk/benefit ratio of the biologic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 xml:space="preserve">FDA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18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GMP requirements. To help reduce the risk of the introduction of adventitious agents with the use of biologics, the PHS Act emphasizes the importance of manufacturing control for biologic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6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5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Under the Prescription Drug User Fee Act, as amended, or the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Within 60 days following submission of the application, the FDA reviews the BLA to determine if it is substantially complete before the agency accepts it for filing. The FDA may refuse to file any BLA that it deems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has an acceptable purity profile and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68"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Before approving a BLA, the FDA may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6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9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One of the performance goals agreed to by the FDA under the PDUFA is to review and render a decision on standard BLAs within 10 months of filing and priority BLAs within six months of filing. The FDA does not always meet its PDUFA goal dates for standard and priority BLAs, and its review goals are subject to change from time to time. The review process and the PDUFA goal date may be extended by three months if the FDA requests or if the BLA sponsor provides additional information or clarification regarding information already provided in the submission within the three months preceding the PDUFA goal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w:t>
      </w:r>
    </w:p>
    <w:p>
      <w:pPr>
        <w:spacing w:after="0" w:line="18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Following approval, the manufacturing facilities are subject to biennial inspections by the FDA, and such inspections may result in an issuance of FDA Form 483 deficiency observations, an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7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recalls. Defects in manufacturing of commercial products can result in product recalls.</w:t>
      </w:r>
    </w:p>
    <w:p>
      <w:pPr>
        <w:spacing w:after="0" w:line="165"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applicable regulatory requirements may result in restrictions on the marketing of a product or withdrawal of the product from the market, as well as possible civil or criminal sanctions. Failure to comply with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8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BLA, including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Review and Approval Programs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8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rather than the standard goal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endpoints, and the biological product may be subject to accelerated withdrawal procedures.</w:t>
      </w:r>
    </w:p>
    <w:p>
      <w:pPr>
        <w:spacing w:after="0" w:line="17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Biologics Price Competition and Innovation Act</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 xml:space="preserve">The Biologics Price Competition and Innovation Act of 2009, or BPCIA, which was enacted as part of the Patient Protection and Affordable Care Act of 2010, as amended by the Health Care and Education Reconciliation Act of 2010, or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studies and generally at least one clinical study, absent a waiver from the Secretary of the Department of Health and Human Services, or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 Term Restoration</w:t>
      </w:r>
    </w:p>
    <w:p>
      <w:pPr>
        <w:spacing w:after="0" w:line="117"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Depending upon the timing, duration and specifics of FDA approval of product candidates, some of a sponsor’s U.S. patents may be eligible for limited patent term extension under the Drug Price Competition and Patent Term Restoration Act of 1984, or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Outside of the United States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 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the European Union, for example, a clinical trial application, or CTA, must be submitted to each country’s national health authority and an independent ethics committee, much like the FDA and the IRB,</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respectively. Once the CTA is approved in accordance with the applicable requirements, clinical study development may proceed. The requirements and process governing the conduct of clinical studies are to a significant extent harmonized at the European Union level but could vary from country to country. In all cases, the clinical studies are conducted in accordance with GCP and the applicable regulatory requirements and the ethical principles that have their origin in the Declaration of Helsinki. The way clinical trials are conducted in the European Union will undergo a major change when the Clinical Trial Regulation (Regulation (EU) No 536/2014) comes into application, probably in 2022. The Regulation harmonizes the assessment and supervision processes for clinical trials throughout the European Union via a Clinical Trials Information System, which will contain a centralized European Union portal and database.</w:t>
      </w:r>
    </w:p>
    <w:p>
      <w:pPr>
        <w:spacing w:after="0" w:line="195"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To obtain regulatory approval of an investigational biological product under European Union regulatory systems, we must submit a marketing authorization application. The application used to file the BLA in the United States is similar to that required in the European Union, with the exception of, among other things, country-specific document requirements. Innovative products that target an unmet medical need may be eligible for a number of expedited development and review programs in the European Union, such as The Priority Medicines, or PRIME, scheme, which provides incentives similar to the breakthrough therapy designation in the United States. Such products are generally eligible for accelerated assessment and may also benefit from different types of fast 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165"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 A Pediatric Investigation Plan, or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which if granted, provides 10 years of market protection.</w:t>
      </w:r>
    </w:p>
    <w:p>
      <w:pPr>
        <w:spacing w:after="0" w:line="180"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United Kingdom left the European Union on January 31, 2020, following which existing EU medicinal product legislation continued to apply in the United Kingdom during the transition period under the terms of the EU-UK Withdrawal Agreement. A transition period, which ended on December 31, 2020, maintained the United Kingdom’s access to the EU single market and to the global trade deals negotiated by the European Union on behalf of its members. The transition period provided time for the United Kingdom and European Union to negotiate a framework for partnership for the future, which was crystallized in the Trade and Cooperation Agreement, or TCA, that became effective on January 1, 2021.</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As a result of the Northern Ireland Protocol, different rules apply in Northern Ireland than in England, Wales and Scotland, or collectively Great Britain. In general, Northern Ireland continues to follow the EU regulatory regime, but its national medicines and medical devices authority remains the Medicines and Healthcare Products Regulatory Agency, or MHRA. Following the effectiveness of the Human Medicines (Amendment etc.) (EU Exit) Regulations 2019 on January 31, 2020, the UK regulatory regime for clinical trials, marketing authorizations, importing, exporting and pharmacovigilance largely mirrors that of the European Union.</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Significant uncertainty exits as to obtaining and maintaining coverage and adequate reimbursement for our product candidates, including ADG20,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 also provide coverage or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7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9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coverage and adequate reimbursement may not be available with respect to the treatments in which our product candidates, if approved, are used under any foreign reimbursement system.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89" w:lineRule="exact"/>
        <w:rPr>
          <w:sz w:val="20"/>
          <w:szCs w:val="20"/>
          <w:color w:val="auto"/>
        </w:rPr>
      </w:pPr>
    </w:p>
    <w:p>
      <w:pPr>
        <w:jc w:val="both"/>
        <w:ind w:left="1080" w:right="2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92"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8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92" w:lineRule="exact"/>
        <w:rPr>
          <w:rFonts w:ascii="Arial" w:cs="Arial" w:eastAsia="Arial" w:hAnsi="Arial"/>
          <w:sz w:val="18"/>
          <w:szCs w:val="18"/>
          <w:color w:val="auto"/>
        </w:rPr>
      </w:pPr>
    </w:p>
    <w:p>
      <w:pPr>
        <w:jc w:val="both"/>
        <w:ind w:left="1080" w:hanging="532"/>
        <w:spacing w:after="0" w:line="311"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54" w:lineRule="exact"/>
        <w:rPr>
          <w:rFonts w:ascii="Arial" w:cs="Arial" w:eastAsia="Arial" w:hAnsi="Arial"/>
          <w:sz w:val="16"/>
          <w:szCs w:val="16"/>
          <w:color w:val="auto"/>
        </w:rPr>
      </w:pPr>
    </w:p>
    <w:p>
      <w:pPr>
        <w:jc w:val="both"/>
        <w:ind w:left="1080" w:hanging="532"/>
        <w:spacing w:after="0" w:line="272"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such information regarding payments and transfers of value provided during the previous year to physician assistants, nurse practitioners, clinical nurse specialists, anesthesiologist assistants, certified nurse anesthetists and certified nurse-midwives;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hanging="532"/>
        <w:spacing w:after="0" w:line="286"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Foreign Corrupt Practices Act, or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6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any of our products, if approved, are sold in a foreign country, we may be subject to similar foreign laws.</w:t>
      </w:r>
    </w:p>
    <w:p>
      <w:pPr>
        <w:spacing w:after="0" w:line="17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6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ACA. These regulations became effective on April 1, 2016. Since that time, there have been significant efforts to</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modify or eliminate the ACA. For example, the Tax Cuts and Jobs Act, or the Tax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184"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Other legislative changes have been proposed and adopted since passage of the ACA.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litigation extended the 2% reduction, on average, to 2030 unless additional congressional action is taken. However, pursuant to COVID-19 relief legislation, the 2% Medicare sequester reductions have been suspended from May 1, 2020 through December 31, 2021.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6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Further legislative and regulatory changes under the ACA remain possible, although the new administration under President Biden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expand the ACA. For example,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unknown what form any other such changes or law would take and how or whether it may affect our business in the future. We expect that changes or additions to the ACA or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7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ACA has been subject to challenges in the courts. On December 14, 2018, the U.S. District Court for the Northern District of Texas ruled that the ACA is unconstitutional in its entirety because the “individual mandate” was repealed by Congress. On December 18, 2019, the U.S. Court of Appeals for the Fifth Circuit held that the individual mandate is unconstitutional and remanded the case to the District Court to reconsider its earlier invalidation of the entire ACA. An appeal was taken to the U.S. Supreme Court, which heard oral arguments in the case on November 10, 2020. A ruling is expected in 2021. On February 10, 2021, the Biden administration withdrew the federal government’s support for overturning the ACA. It is unclear how the Supreme Court ruling, other such litigation and the healthcare reform measures of the Biden administration will impact the ACA and our business.</w:t>
      </w:r>
    </w:p>
    <w:p>
      <w:pPr>
        <w:spacing w:after="0" w:line="19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ACA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ACA, effective January 1, 2019, to close the coverage gap in most Medicare drug plans by increasing from 50 percent to 70 percent the point-of-sale discount that is owed by pharmaceutical manufacturers who participate in Medicare Part 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The ACA also expanded the Public Health Service’s 340B drug pricing program. The 340B drug pricing program requires participating manufacturers to agree to charge statutorily defined covered entities no more than the 340B “ceiling price” for the manufacturer’s covered outpatient drugs. The ACA expanded the 340B program to include additional types of covered entities: certain free-standing cancer hospitals, critical access hospitals, rural referral centers and sole community hospitals, each as defined by the ACA. Because the 340B ceiling price is determined based on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As of May 1, 2021, we had 49 full-time employees and 2 part-time employees. Of our 51 full- and part-time employees, approximately 19 have Ph.D. or M.D. degrees and 39 are engaged in research and development activities. We have a remote workforce, with approximately 45% of our employees based in Massachusetts, 18% based in California, 10% based in New Jersey, and the remaining 27% in various additional states. None of our employees are represented by labor unions or covered by collective bargaining agreements. We consider our relationship with our employees to be good.</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new employees, advisors and consultants, and maintaining and enhancing our diverse and inclusive team.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Since our inception, we have been a virtual company with our employees working from their homes. We rent an office in a short-term office space building in Waltham, Massachusetts for general and administrative purposes. We do not own or lease any laboratory or manufacturing facilities, and we plan to enter into a lease for office space in the near term. We believe that our remote working approach is adequate to meet our ongoing needs, and that, if we require physical facilities, we will be able to obtain additional facilities on commercially reasonable terms.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information regarding our current executive officers and directors, including their ages as of April 30,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ind w:left="720"/>
              <w:spacing w:after="0"/>
              <w:rPr>
                <w:sz w:val="20"/>
                <w:szCs w:val="20"/>
                <w:color w:val="auto"/>
              </w:rPr>
            </w:pPr>
            <w:r>
              <w:rPr>
                <w:rFonts w:ascii="Arial" w:cs="Arial" w:eastAsia="Arial" w:hAnsi="Arial"/>
                <w:sz w:val="14"/>
                <w:szCs w:val="14"/>
                <w:b w:val="1"/>
                <w:bCs w:val="1"/>
                <w:color w:val="auto"/>
                <w:w w:val="90"/>
              </w:rPr>
              <w:t>Age</w:t>
            </w:r>
          </w:p>
        </w:tc>
        <w:tc>
          <w:tcPr>
            <w:tcW w:w="660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Position(s)</w:t>
            </w:r>
          </w:p>
        </w:tc>
      </w:tr>
      <w:tr>
        <w:trPr>
          <w:trHeight w:val="61"/>
        </w:trPr>
        <w:tc>
          <w:tcPr>
            <w:tcW w:w="360" w:type="dxa"/>
            <w:vAlign w:val="bottom"/>
            <w:tcBorders>
              <w:top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Tillman U. Gerngross, Ph.D.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57</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Co-Founder, Chief Executive Officer and Director</w:t>
            </w:r>
          </w:p>
        </w:tc>
      </w:tr>
      <w:tr>
        <w:trPr>
          <w:trHeight w:val="67"/>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Lynn Connolly, M.D., Ph.D.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53</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Medical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Rebecca Dabora, Ph.D.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61</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Technology &amp; Manufacturing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Jane Pritchett Henderson</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55</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Elham (Ellie) Hershberger, Pharm. 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53</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Development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Halley Gilbert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51</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67"/>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Laura Walker, Ph.D.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36</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Co-Founder &amp; Chief Scientific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Eric Kimble, M.B.A.</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53</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Commercial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René Russo, Pharm. 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46</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Co-Founder, Director and Chair of the Board</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Terrance McGuire</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65</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Ajay Royan</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41</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r>
      <w:tr>
        <w:trPr>
          <w:trHeight w:val="67"/>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 Chase</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51</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Howard Mayer, M.D.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58</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r>
      <w:tr>
        <w:trPr>
          <w:trHeight w:val="135"/>
        </w:trPr>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60" w:type="dxa"/>
            <w:vAlign w:val="bottom"/>
          </w:tcPr>
          <w:p>
            <w:pPr>
              <w:spacing w:after="0"/>
              <w:rPr>
                <w:sz w:val="11"/>
                <w:szCs w:val="1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b w:val="1"/>
          <w:bCs w:val="1"/>
          <w:color w:val="auto"/>
        </w:rPr>
        <w:t xml:space="preserve">Tillman U. Gerngross, Ph.D. </w:t>
      </w:r>
      <w:r>
        <w:rPr>
          <w:rFonts w:ascii="Arial" w:cs="Arial" w:eastAsia="Arial" w:hAnsi="Arial"/>
          <w:sz w:val="17"/>
          <w:szCs w:val="17"/>
          <w:color w:val="auto"/>
        </w:rPr>
        <w:t>is our co-founder and has served as a member of our board of directors and as our Chief Executive Officer since</w:t>
      </w:r>
      <w:r>
        <w:rPr>
          <w:rFonts w:ascii="Arial" w:cs="Arial" w:eastAsia="Arial" w:hAnsi="Arial"/>
          <w:sz w:val="17"/>
          <w:szCs w:val="17"/>
          <w:b w:val="1"/>
          <w:bCs w:val="1"/>
          <w:color w:val="auto"/>
        </w:rPr>
        <w:t xml:space="preserve"> </w:t>
      </w:r>
      <w:r>
        <w:rPr>
          <w:rFonts w:ascii="Arial" w:cs="Arial" w:eastAsia="Arial" w:hAnsi="Arial"/>
          <w:sz w:val="17"/>
          <w:szCs w:val="17"/>
          <w:color w:val="auto"/>
        </w:rPr>
        <w:t>June 2020. Dr. Gerngross is a founder, director and executive officer of numerous biotechnology companies. He is a co-founder of Adimab, LLC and has served as its Chief Executive Officer and as a director since 2007. He is also a co-founder and Chairman of Avitide, Inc. since August 2012, a co-founder and Chairman of Alector, Inc. since September 2017, a co-founder, President and Chairman of Amagma, Inc. since August 2019 and a co-founder, President and Chairman of Ankyra Therapeutics, Inc. since November 2019. Dr. Gerngross is currently a Venture Partner at SV Life Sciences Advisors, LLC, which he joined in 2006. Dr. Gerngross co-founded GlycoFi, Inc. and served as its Chief Scientific Officer from 2000 to 2006 until it was acquired by Merck &amp; Company, Inc. Dr. Gerngross currently teaches at the Thayer School of Engineering, at Dartmouth College, where he has taught since 1998. Dr. Gerngross received a B.S. and M.S. in Chemical Engineering and a Ph.D. in Molecular Biology from Technical University of Vienna. We believe Dr. Gerngross is qualified to serve as a member of our board of directors because of his knowledge of Adagio as a co-founder and his expertise as an executive officer and director in the biotechnology industry.</w:t>
      </w:r>
    </w:p>
    <w:p>
      <w:pPr>
        <w:spacing w:after="0" w:line="17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auto"/>
        </w:rPr>
        <w:t xml:space="preserve">Lynn Connolly, M.D., Ph.D. </w:t>
      </w:r>
      <w:r>
        <w:rPr>
          <w:rFonts w:ascii="Arial" w:cs="Arial" w:eastAsia="Arial" w:hAnsi="Arial"/>
          <w:sz w:val="17"/>
          <w:szCs w:val="17"/>
          <w:color w:val="auto"/>
        </w:rPr>
        <w:t>has served as our Chief Medical Officer since July 2020. Prior to joining Adagio, Dr. Connolly served as Senior</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Clinical Research from March 2020 to July 2020 and Vice President, Clinical Research from March 2018 to February 2020 of Vir Biotechnology, Inc. Dr. Connolly served as Vice President and Head of Late Development from January 2017 to March 2018 and Senior Medical</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Director from January 2016 to January 2017 of Achaogen, Inc. Dr. Connolly received a B.A. in Molecular Biology from University of California, Berkeley and a M.D. and Ph.D. in Cell Biology from University of California, San Francisco.</w:t>
      </w:r>
    </w:p>
    <w:p>
      <w:pPr>
        <w:spacing w:after="0" w:line="166" w:lineRule="exact"/>
        <w:rPr>
          <w:sz w:val="20"/>
          <w:szCs w:val="20"/>
          <w:color w:val="auto"/>
        </w:rPr>
      </w:pPr>
    </w:p>
    <w:p>
      <w:pPr>
        <w:jc w:val="both"/>
        <w:ind w:left="120" w:firstLine="440"/>
        <w:spacing w:after="0" w:line="258" w:lineRule="auto"/>
        <w:rPr>
          <w:sz w:val="20"/>
          <w:szCs w:val="20"/>
          <w:color w:val="auto"/>
        </w:rPr>
      </w:pPr>
      <w:r>
        <w:rPr>
          <w:rFonts w:ascii="Arial" w:cs="Arial" w:eastAsia="Arial" w:hAnsi="Arial"/>
          <w:sz w:val="18"/>
          <w:szCs w:val="18"/>
          <w:b w:val="1"/>
          <w:bCs w:val="1"/>
          <w:color w:val="auto"/>
        </w:rPr>
        <w:t xml:space="preserve">Rebecca Dabora, Ph.D. </w:t>
      </w:r>
      <w:r>
        <w:rPr>
          <w:rFonts w:ascii="Arial" w:cs="Arial" w:eastAsia="Arial" w:hAnsi="Arial"/>
          <w:sz w:val="18"/>
          <w:szCs w:val="18"/>
          <w:color w:val="auto"/>
        </w:rPr>
        <w:t>has served as our Chief Technology &amp; Manufacturing Officer since July 2020. In addition, Dr. Dabora is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as Principal for RDBio Consulting LLC since July 2005. Prior to joining Adagio, Dr. Dabora served as Interim Chief Technology Officer of SwanBio Therapeutics, Inc. from July 2019 to July 2020 and Chief Technology Officer of Aspyrian Therapeutics, Inc. from March 2016 to March 2017. Dr. Dabora received a B.A. in Biochemistry from Bowdoin College and a Ph.D. in Applied Biological Sciences and Biochemical Engineering from the Massachusetts Institute of Technology.</w:t>
      </w:r>
    </w:p>
    <w:p>
      <w:pPr>
        <w:spacing w:after="0" w:line="183"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b w:val="1"/>
          <w:bCs w:val="1"/>
          <w:color w:val="auto"/>
        </w:rPr>
        <w:t xml:space="preserve">Jane Pritchett Henderson </w:t>
      </w:r>
      <w:r>
        <w:rPr>
          <w:rFonts w:ascii="Arial" w:cs="Arial" w:eastAsia="Arial" w:hAnsi="Arial"/>
          <w:sz w:val="17"/>
          <w:szCs w:val="17"/>
          <w:color w:val="auto"/>
        </w:rPr>
        <w:t>has served as our Chief Financial Officer since December 2020. In addition, Ms. Henderson serves as a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Akero Therapeutics, Inc. since April 2019 and as a chair of the audit committee and director of IVERIC bio, Inc., since January 2018 and Sesen Bio Inc., formerly Eleven Biotherapeutics, Inc., since October 2013. Prior to joining Adagio, Ms. Henderson served as Chief Financial Officer of Turnstone Biologics from June 2018 to December 2020, Chief Financial Officer and Senior Vice President, Corporate Development of Voyager Therapeutics, Inc. from January 2017 to June 2018 and Senior Vice President and Chief Financial &amp; Business Officer of Kolltan Pharmaceuticals, Inc. from February 2013 to November 2016. Ms. Henderson received a B.S. in Psychology from Duke University.</w:t>
      </w:r>
    </w:p>
    <w:p>
      <w:pPr>
        <w:spacing w:after="0" w:line="173" w:lineRule="exact"/>
        <w:rPr>
          <w:sz w:val="20"/>
          <w:szCs w:val="20"/>
          <w:color w:val="auto"/>
        </w:rPr>
      </w:pPr>
    </w:p>
    <w:p>
      <w:pPr>
        <w:jc w:val="both"/>
        <w:ind w:left="120" w:firstLine="440"/>
        <w:spacing w:after="0" w:line="314" w:lineRule="auto"/>
        <w:rPr>
          <w:sz w:val="20"/>
          <w:szCs w:val="20"/>
          <w:color w:val="auto"/>
        </w:rPr>
      </w:pPr>
      <w:r>
        <w:rPr>
          <w:rFonts w:ascii="Arial" w:cs="Arial" w:eastAsia="Arial" w:hAnsi="Arial"/>
          <w:sz w:val="16"/>
          <w:szCs w:val="16"/>
          <w:b w:val="1"/>
          <w:bCs w:val="1"/>
          <w:color w:val="auto"/>
        </w:rPr>
        <w:t xml:space="preserve">Elham (Ellie) Hershberger, Pharm.D. </w:t>
      </w:r>
      <w:r>
        <w:rPr>
          <w:rFonts w:ascii="Arial" w:cs="Arial" w:eastAsia="Arial" w:hAnsi="Arial"/>
          <w:sz w:val="16"/>
          <w:szCs w:val="16"/>
          <w:color w:val="auto"/>
        </w:rPr>
        <w:t>has served as our Chief Development Officer since June 2020. Prior to joining Adagio, Dr. Hershberger</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of EMH Consulting Group, Inc. from July 2017 to October 2020 and as Head of Clinical Development of Visterra, Inc. from January 2016 to July 2017. Dr. Hershberger received a B.S. in Chemistry from University of Minnesota and a Pharm.D. from Ferris State University.</w:t>
      </w:r>
    </w:p>
    <w:p>
      <w:pPr>
        <w:spacing w:after="0" w:line="142" w:lineRule="exact"/>
        <w:rPr>
          <w:sz w:val="20"/>
          <w:szCs w:val="20"/>
          <w:color w:val="auto"/>
        </w:rPr>
      </w:pPr>
    </w:p>
    <w:p>
      <w:pPr>
        <w:jc w:val="both"/>
        <w:ind w:left="120" w:firstLine="440"/>
        <w:spacing w:after="0" w:line="256" w:lineRule="auto"/>
        <w:rPr>
          <w:sz w:val="20"/>
          <w:szCs w:val="20"/>
          <w:color w:val="auto"/>
        </w:rPr>
      </w:pPr>
      <w:r>
        <w:rPr>
          <w:rFonts w:ascii="Arial" w:cs="Arial" w:eastAsia="Arial" w:hAnsi="Arial"/>
          <w:sz w:val="18"/>
          <w:szCs w:val="18"/>
          <w:b w:val="1"/>
          <w:bCs w:val="1"/>
          <w:color w:val="auto"/>
        </w:rPr>
        <w:t xml:space="preserve">Halley Gilbert </w:t>
      </w:r>
      <w:r>
        <w:rPr>
          <w:rFonts w:ascii="Arial" w:cs="Arial" w:eastAsia="Arial" w:hAnsi="Arial"/>
          <w:sz w:val="18"/>
          <w:szCs w:val="18"/>
          <w:color w:val="auto"/>
        </w:rPr>
        <w:t>has served as our Chief Operating Officer since June 2020. Prior to joining Adagio, Ms. Gilbert served as Senior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Development and Chief Administrative Officer of Ironwood Pharmaceuticals, Inc from March 2019 to February 2020 and served as the Senior Vice President and Chief Legal Officer of Ironwood Pharmaceuticals, Inc. from February 2014 to April 2019. In addition, Ms. Gilbert serves on the board of directors of Arcutis Biotherapeutics, Inc. since April 2020 and has served as a director and the chair of the nominating &amp; governance committees of Vaxcyte, Inc. and CytomX Therapeutics, Inc. since April 2020. Ms. Gilbert received a B.A. from Tufts University and a J.D. from Northwestern University School of Law.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Employees</w:t>
      </w:r>
    </w:p>
    <w:p>
      <w:pPr>
        <w:spacing w:after="0" w:line="117"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Laura Walker, Ph.D. </w:t>
      </w:r>
      <w:r>
        <w:rPr>
          <w:rFonts w:ascii="Arial" w:cs="Arial" w:eastAsia="Arial" w:hAnsi="Arial"/>
          <w:sz w:val="18"/>
          <w:szCs w:val="18"/>
          <w:color w:val="auto"/>
        </w:rPr>
        <w:t>is our co-founder and has served as our Chief Scientific Officer since June 2020. In addition, Dr. Walker has served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roles at Adimab, LLC, including Group Leader, since May 2012 and has served as Senior Director of Antibody Sciences since October 2019. Dr. Walker received a B.S. in Biochemistry from University of Wisconsin-Madison and a Ph.D. in Microbiology and Immunology from The Scripps Research Institute.</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Eric Kimble, M.B.A. </w:t>
      </w:r>
      <w:r>
        <w:rPr>
          <w:rFonts w:ascii="Arial" w:cs="Arial" w:eastAsia="Arial" w:hAnsi="Arial"/>
          <w:sz w:val="18"/>
          <w:szCs w:val="18"/>
          <w:color w:val="auto"/>
        </w:rPr>
        <w:t>has served as Chief Commercial Officer since September 2020. Prior to joining Adagio, Mr. Kimble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Officer for Entasis Therapeutics, Inc. from April 2019 to September 2020 and as a consultant for various emerging biotechnology companies from June 2013 to April 2019. Mr. Kimble received an A.B. in English Literature and Business Economics from Brown University and an M.B.A. from the Harvard Business School.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17"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René Russo, Pharm.D. </w:t>
      </w:r>
      <w:r>
        <w:rPr>
          <w:rFonts w:ascii="Arial" w:cs="Arial" w:eastAsia="Arial" w:hAnsi="Arial"/>
          <w:sz w:val="18"/>
          <w:szCs w:val="18"/>
          <w:color w:val="auto"/>
        </w:rPr>
        <w:t>is our co-founder and has served as the chair of our board of directors since October 2020. Dr. Russo has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of Xilio Therapeutics, Inc since May 2019. Prior to her position at Xilio, Dr. Russo served as President and Chief Executive Officer of Arsanis, Inc. from April 2016</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to November 2018, and as its Chief Development Officer from July 2015 to April 2016. In addition, Dr. Russo has served as a director of Celsius Therapeutics, Inc. since May 2020 and X4 Pharmaceuticals, Inc. since March 2019. Dr. Russo received a B.S. in Pharmacy and a Pharm.D. from Rutgers University. We believe Dr. Russo is qualified to serve as a member of our board of directors because of her experience as an executive at public and private pharmaceutical companies and her expertise in clinical development and commercialization of therapeutics.</w:t>
      </w:r>
    </w:p>
    <w:p>
      <w:pPr>
        <w:spacing w:after="0" w:line="16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b w:val="1"/>
          <w:bCs w:val="1"/>
          <w:color w:val="auto"/>
        </w:rPr>
        <w:t xml:space="preserve">Terrance McGuire </w:t>
      </w:r>
      <w:r>
        <w:rPr>
          <w:rFonts w:ascii="Arial" w:cs="Arial" w:eastAsia="Arial" w:hAnsi="Arial"/>
          <w:sz w:val="17"/>
          <w:szCs w:val="17"/>
          <w:color w:val="auto"/>
        </w:rPr>
        <w:t>has served as a member of our board of directors since October 2020. Mr. McGuire is a Founding Partner of Polaris Partners,</w:t>
      </w:r>
      <w:r>
        <w:rPr>
          <w:rFonts w:ascii="Arial" w:cs="Arial" w:eastAsia="Arial" w:hAnsi="Arial"/>
          <w:sz w:val="17"/>
          <w:szCs w:val="17"/>
          <w:b w:val="1"/>
          <w:bCs w:val="1"/>
          <w:color w:val="auto"/>
        </w:rPr>
        <w:t xml:space="preserve"> </w:t>
      </w:r>
      <w:r>
        <w:rPr>
          <w:rFonts w:ascii="Arial" w:cs="Arial" w:eastAsia="Arial" w:hAnsi="Arial"/>
          <w:sz w:val="17"/>
          <w:szCs w:val="17"/>
          <w:color w:val="auto"/>
        </w:rPr>
        <w:t>a venture capital firm investing in technology and healthcare companies, since 1996. In addition, Mr. McGuire serves as chairman of the board of directors of Ironwood Pharmaceuticals, Inc. and has served as a director since 1998. Mr. McGuire also currently serves on the boards of directors of Acceleron Pharma, Inc. since 2005, Pulmatrix, Inc. since May 2016 and Adimab, LLC since August 2007. Mr. McGuire received a B.S. in physics and economics from Hobart College, an M.B.A. from Harvard Business School and an M.S. in engineering from the Thayer School at Dartmouth College. We believe Mr. McGuire is qualified to serve as a member of our board of directors because of his expertise in the biotechnology industry through his career in venture capital as well as his experience as a director of several biotechnology companies.</w:t>
      </w:r>
    </w:p>
    <w:p>
      <w:pPr>
        <w:spacing w:after="0" w:line="17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b w:val="1"/>
          <w:bCs w:val="1"/>
          <w:color w:val="auto"/>
        </w:rPr>
        <w:t xml:space="preserve">Ajay Royan </w:t>
      </w:r>
      <w:r>
        <w:rPr>
          <w:rFonts w:ascii="Arial" w:cs="Arial" w:eastAsia="Arial" w:hAnsi="Arial"/>
          <w:sz w:val="18"/>
          <w:szCs w:val="18"/>
          <w:color w:val="auto"/>
        </w:rPr>
        <w:t>has served as a member of our board of directors since October 2020. Mr. Royan has served as Managing General Partner and</w:t>
      </w:r>
      <w:r>
        <w:rPr>
          <w:rFonts w:ascii="Arial" w:cs="Arial" w:eastAsia="Arial" w:hAnsi="Arial"/>
          <w:sz w:val="18"/>
          <w:szCs w:val="18"/>
          <w:b w:val="1"/>
          <w:bCs w:val="1"/>
          <w:color w:val="auto"/>
        </w:rPr>
        <w:t xml:space="preserve"> </w:t>
      </w:r>
      <w:r>
        <w:rPr>
          <w:rFonts w:ascii="Arial" w:cs="Arial" w:eastAsia="Arial" w:hAnsi="Arial"/>
          <w:sz w:val="18"/>
          <w:szCs w:val="18"/>
          <w:color w:val="auto"/>
        </w:rPr>
        <w:t>Founder of Mithril Capital Management LLC, a venture capital firm investing in technology companies, since June 2012 and on the board of directors of several private companies in which Mithril Capital Management LLC or its affiliates have invested. In addition, Mr. Royan has served as a director of Adimab, LLC since September 2014 and has served as a director of Blacksky Holdings, Inc. since June 2016. Mr. Royan serves on the Science Advisory Board of the Oak Ridge National Laboratory, the board of directors of Fulbright Canada, and the Presidents’ Circle of the National Academies of Science, Engineering, and Medicine. Mr. Royan received a B.A. from Yale University. We believe Mr. Royan is qualified to serve as a member of our board of directors because of his expertise in the technology industry through his career in venture capital and his experience as a director of several technology companies.</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Philip Chase </w:t>
      </w:r>
      <w:r>
        <w:rPr>
          <w:rFonts w:ascii="Arial" w:cs="Arial" w:eastAsia="Arial" w:hAnsi="Arial"/>
          <w:sz w:val="18"/>
          <w:szCs w:val="18"/>
          <w:color w:val="auto"/>
        </w:rPr>
        <w:t>has served as a member of our board of directors since October 2020. In addition, Mr. Chase has served as the General Counsel of</w:t>
      </w:r>
      <w:r>
        <w:rPr>
          <w:rFonts w:ascii="Arial" w:cs="Arial" w:eastAsia="Arial" w:hAnsi="Arial"/>
          <w:sz w:val="18"/>
          <w:szCs w:val="18"/>
          <w:b w:val="1"/>
          <w:bCs w:val="1"/>
          <w:color w:val="auto"/>
        </w:rPr>
        <w:t xml:space="preserve"> </w:t>
      </w:r>
      <w:r>
        <w:rPr>
          <w:rFonts w:ascii="Arial" w:cs="Arial" w:eastAsia="Arial" w:hAnsi="Arial"/>
          <w:sz w:val="18"/>
          <w:szCs w:val="18"/>
          <w:color w:val="auto"/>
        </w:rPr>
        <w:t>Adimab, LLC since November 2011 and as a director of Adimab, LLC since July 2018. Mr. Chase received a B.A. from Colby College and a J.D. from Columbia University Law School. We believe Mr. Chase is qualified to serve as a member of our board of directors because of his extensive experience in the biopharmaceutical industry.</w:t>
      </w:r>
    </w:p>
    <w:p>
      <w:pPr>
        <w:spacing w:after="0" w:line="180"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b w:val="1"/>
          <w:bCs w:val="1"/>
          <w:color w:val="auto"/>
        </w:rPr>
        <w:t xml:space="preserve">Howard Mayer, M.D. </w:t>
      </w:r>
      <w:r>
        <w:rPr>
          <w:rFonts w:ascii="Arial" w:cs="Arial" w:eastAsia="Arial" w:hAnsi="Arial"/>
          <w:sz w:val="17"/>
          <w:szCs w:val="17"/>
          <w:color w:val="auto"/>
        </w:rPr>
        <w:t>has served as a member of our board of directors since August 2020. In addition, Dr. Mayer has served on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Entasis Therapeutics Holdings Inc. since August 2019. Dr. Mayer has served as the Executive Vice President, Head of Research and Development for Ipsen Biopharmaceuticals, Inc. since December 2019. Prior to joining Ipsen, Dr. Mayer served as the Senior Vice President, Chief Medical Officer and Global Head of Research &amp; Development, Neuroscience Division at Shire Pharmaceuticals, Inc., or Shire, from April 2018 to November 2019 until it was acquired by Takeda Pharmaceutical Company in 2019. Prior to that position, Dr. Mayer served as a Senior Vice President and Head of Global Research and Development at Shire from August 2017 to January 2018, and as a Senior Vice President and Head of Global Clinical Development at Shire from August 2013 to August 2017. Dr. Mayer received a B.A. from the University of Pennsylvania and an M.D. from Albert Einstein College of Medicine. We believe that Dr. Mayer is qualified to serve as a member of our board of directors because of his extensive experience in the biopharmaceutical industry and his scientific background.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which currently consists of six members. Our directors were elected to, and currently serve on, the board pursuant to a voting agreement among us and all of our stockholders and voting rights granted by our current amended and restated certificate of incorporation. The voting agreement will terminate upon the closing of this offering, after which there will be no further contractual obligations regarding the election of our directors.</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accordance with our amended and restated certificate of incorporation and amended and restated bylaws that will be in effect upon the closing of this offering, our board of directors will be divided into three classes, each of which will consist, as nearly as possible, of one-third of the total number of directors constituting our entire board and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240"/>
              <w:spacing w:after="0"/>
              <w:rPr>
                <w:sz w:val="20"/>
                <w:szCs w:val="20"/>
                <w:color w:val="auto"/>
              </w:rPr>
            </w:pPr>
            <w:r>
              <w:rPr>
                <w:rFonts w:ascii="Arial" w:cs="Arial" w:eastAsia="Arial" w:hAnsi="Arial"/>
                <w:sz w:val="18"/>
                <w:szCs w:val="18"/>
                <w:color w:val="auto"/>
              </w:rPr>
              <w:t>Class I, which will consist of</w:t>
            </w:r>
          </w:p>
        </w:tc>
        <w:tc>
          <w:tcPr>
            <w:tcW w:w="680" w:type="dxa"/>
            <w:vAlign w:val="bottom"/>
          </w:tcPr>
          <w:p>
            <w:pPr>
              <w:ind w:left="200"/>
              <w:spacing w:after="0"/>
              <w:rPr>
                <w:sz w:val="20"/>
                <w:szCs w:val="20"/>
                <w:color w:val="auto"/>
              </w:rPr>
            </w:pPr>
            <w:r>
              <w:rPr>
                <w:rFonts w:ascii="Arial" w:cs="Arial" w:eastAsia="Arial" w:hAnsi="Arial"/>
                <w:sz w:val="18"/>
                <w:szCs w:val="18"/>
                <w:color w:val="auto"/>
              </w:rPr>
              <w:t>and</w:t>
            </w:r>
          </w:p>
        </w:tc>
        <w:tc>
          <w:tcPr>
            <w:tcW w:w="6960" w:type="dxa"/>
            <w:vAlign w:val="bottom"/>
          </w:tcPr>
          <w:p>
            <w:pPr>
              <w:jc w:val="right"/>
              <w:spacing w:after="0"/>
              <w:rPr>
                <w:sz w:val="20"/>
                <w:szCs w:val="20"/>
                <w:color w:val="auto"/>
              </w:rPr>
            </w:pPr>
            <w:r>
              <w:rPr>
                <w:rFonts w:ascii="Arial" w:cs="Arial" w:eastAsia="Arial" w:hAnsi="Arial"/>
                <w:sz w:val="18"/>
                <w:szCs w:val="18"/>
                <w:color w:val="auto"/>
                <w:w w:val="97"/>
              </w:rPr>
              <w:t>, and their terms will expire at our first annual meeting of stockholders to be held after the</w:t>
            </w:r>
          </w:p>
        </w:tc>
      </w:tr>
      <w:tr>
        <w:trPr>
          <w:trHeight w:val="230"/>
        </w:trPr>
        <w:tc>
          <w:tcPr>
            <w:tcW w:w="300" w:type="dxa"/>
            <w:vAlign w:val="bottom"/>
          </w:tcPr>
          <w:p>
            <w:pPr>
              <w:spacing w:after="0"/>
              <w:rPr>
                <w:sz w:val="20"/>
                <w:szCs w:val="20"/>
                <w:color w:val="auto"/>
              </w:rPr>
            </w:pPr>
          </w:p>
        </w:tc>
        <w:tc>
          <w:tcPr>
            <w:tcW w:w="266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68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240"/>
              <w:spacing w:after="0"/>
              <w:rPr>
                <w:sz w:val="20"/>
                <w:szCs w:val="20"/>
                <w:color w:val="auto"/>
              </w:rPr>
            </w:pPr>
            <w:r>
              <w:rPr>
                <w:rFonts w:ascii="Arial" w:cs="Arial" w:eastAsia="Arial" w:hAnsi="Arial"/>
                <w:sz w:val="18"/>
                <w:szCs w:val="18"/>
                <w:color w:val="auto"/>
              </w:rPr>
              <w:t>Class II, which will consist of</w:t>
            </w:r>
          </w:p>
        </w:tc>
        <w:tc>
          <w:tcPr>
            <w:tcW w:w="680" w:type="dxa"/>
            <w:vAlign w:val="bottom"/>
          </w:tcPr>
          <w:p>
            <w:pPr>
              <w:ind w:left="180"/>
              <w:spacing w:after="0"/>
              <w:rPr>
                <w:sz w:val="20"/>
                <w:szCs w:val="20"/>
                <w:color w:val="auto"/>
              </w:rPr>
            </w:pPr>
            <w:r>
              <w:rPr>
                <w:rFonts w:ascii="Arial" w:cs="Arial" w:eastAsia="Arial" w:hAnsi="Arial"/>
                <w:sz w:val="18"/>
                <w:szCs w:val="18"/>
                <w:color w:val="auto"/>
              </w:rPr>
              <w:t>and</w:t>
            </w:r>
          </w:p>
        </w:tc>
        <w:tc>
          <w:tcPr>
            <w:tcW w:w="6960" w:type="dxa"/>
            <w:vAlign w:val="bottom"/>
          </w:tcPr>
          <w:p>
            <w:pPr>
              <w:jc w:val="right"/>
              <w:spacing w:after="0"/>
              <w:rPr>
                <w:sz w:val="20"/>
                <w:szCs w:val="20"/>
                <w:color w:val="auto"/>
              </w:rPr>
            </w:pPr>
            <w:r>
              <w:rPr>
                <w:rFonts w:ascii="Arial" w:cs="Arial" w:eastAsia="Arial" w:hAnsi="Arial"/>
                <w:sz w:val="18"/>
                <w:szCs w:val="18"/>
                <w:color w:val="auto"/>
                <w:w w:val="94"/>
              </w:rPr>
              <w:t>, and their terms will expire at our second annual meeting of stockholders to be held after the</w:t>
            </w:r>
          </w:p>
        </w:tc>
      </w:tr>
      <w:tr>
        <w:trPr>
          <w:trHeight w:val="230"/>
        </w:trPr>
        <w:tc>
          <w:tcPr>
            <w:tcW w:w="300" w:type="dxa"/>
            <w:vAlign w:val="bottom"/>
          </w:tcPr>
          <w:p>
            <w:pPr>
              <w:spacing w:after="0"/>
              <w:rPr>
                <w:sz w:val="20"/>
                <w:szCs w:val="20"/>
                <w:color w:val="auto"/>
              </w:rPr>
            </w:pPr>
          </w:p>
        </w:tc>
        <w:tc>
          <w:tcPr>
            <w:tcW w:w="2660" w:type="dxa"/>
            <w:vAlign w:val="bottom"/>
          </w:tcPr>
          <w:p>
            <w:pPr>
              <w:ind w:left="240"/>
              <w:spacing w:after="0"/>
              <w:rPr>
                <w:sz w:val="20"/>
                <w:szCs w:val="20"/>
                <w:color w:val="auto"/>
              </w:rPr>
            </w:pPr>
            <w:r>
              <w:rPr>
                <w:rFonts w:ascii="Arial" w:cs="Arial" w:eastAsia="Arial" w:hAnsi="Arial"/>
                <w:sz w:val="18"/>
                <w:szCs w:val="18"/>
                <w:color w:val="auto"/>
              </w:rPr>
              <w:t>closing of this offering; and</w:t>
            </w:r>
          </w:p>
        </w:tc>
        <w:tc>
          <w:tcPr>
            <w:tcW w:w="68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240"/>
              <w:spacing w:after="0"/>
              <w:rPr>
                <w:sz w:val="20"/>
                <w:szCs w:val="20"/>
                <w:color w:val="auto"/>
              </w:rPr>
            </w:pPr>
            <w:r>
              <w:rPr>
                <w:rFonts w:ascii="Arial" w:cs="Arial" w:eastAsia="Arial" w:hAnsi="Arial"/>
                <w:sz w:val="18"/>
                <w:szCs w:val="18"/>
                <w:color w:val="auto"/>
              </w:rPr>
              <w:t>Class III, which will consist of</w:t>
            </w:r>
          </w:p>
        </w:tc>
        <w:tc>
          <w:tcPr>
            <w:tcW w:w="680" w:type="dxa"/>
            <w:vAlign w:val="bottom"/>
          </w:tcPr>
          <w:p>
            <w:pPr>
              <w:ind w:left="260"/>
              <w:spacing w:after="0"/>
              <w:rPr>
                <w:sz w:val="20"/>
                <w:szCs w:val="20"/>
                <w:color w:val="auto"/>
              </w:rPr>
            </w:pPr>
            <w:r>
              <w:rPr>
                <w:rFonts w:ascii="Arial" w:cs="Arial" w:eastAsia="Arial" w:hAnsi="Arial"/>
                <w:sz w:val="18"/>
                <w:szCs w:val="18"/>
                <w:color w:val="auto"/>
              </w:rPr>
              <w:t>and</w:t>
            </w:r>
          </w:p>
        </w:tc>
        <w:tc>
          <w:tcPr>
            <w:tcW w:w="6960" w:type="dxa"/>
            <w:vAlign w:val="bottom"/>
          </w:tcPr>
          <w:p>
            <w:pPr>
              <w:jc w:val="right"/>
              <w:spacing w:after="0"/>
              <w:rPr>
                <w:sz w:val="20"/>
                <w:szCs w:val="20"/>
                <w:color w:val="auto"/>
              </w:rPr>
            </w:pPr>
            <w:r>
              <w:rPr>
                <w:rFonts w:ascii="Arial" w:cs="Arial" w:eastAsia="Arial" w:hAnsi="Arial"/>
                <w:sz w:val="18"/>
                <w:szCs w:val="18"/>
                <w:color w:val="auto"/>
                <w:w w:val="96"/>
              </w:rPr>
              <w:t>, and their terms will expire at our third annual meeting of stockholders to be held after the</w:t>
            </w:r>
          </w:p>
        </w:tc>
      </w:tr>
      <w:tr>
        <w:trPr>
          <w:trHeight w:val="230"/>
        </w:trPr>
        <w:tc>
          <w:tcPr>
            <w:tcW w:w="300" w:type="dxa"/>
            <w:vAlign w:val="bottom"/>
          </w:tcPr>
          <w:p>
            <w:pPr>
              <w:spacing w:after="0"/>
              <w:rPr>
                <w:sz w:val="20"/>
                <w:szCs w:val="20"/>
                <w:color w:val="auto"/>
              </w:rPr>
            </w:pPr>
          </w:p>
        </w:tc>
        <w:tc>
          <w:tcPr>
            <w:tcW w:w="266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680" w:type="dxa"/>
            <w:vAlign w:val="bottom"/>
          </w:tcPr>
          <w:p>
            <w:pPr>
              <w:spacing w:after="0"/>
              <w:rPr>
                <w:sz w:val="20"/>
                <w:szCs w:val="20"/>
                <w:color w:val="auto"/>
              </w:rPr>
            </w:pPr>
          </w:p>
        </w:tc>
        <w:tc>
          <w:tcPr>
            <w:tcW w:w="6960" w:type="dxa"/>
            <w:vAlign w:val="bottom"/>
          </w:tcPr>
          <w:p>
            <w:pPr>
              <w:spacing w:after="0"/>
              <w:rPr>
                <w:sz w:val="20"/>
                <w:szCs w:val="20"/>
                <w:color w:val="auto"/>
              </w:rPr>
            </w:pPr>
          </w:p>
        </w:tc>
      </w:tr>
    </w:tbl>
    <w:p>
      <w:pPr>
        <w:spacing w:after="0" w:line="20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amended and restated bylaws, which will become effective upon the closing of this offering,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of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Applicable Nasdaq rules, or the Nasdaq Listing Rules, require a majority of a listed company’s board of directors to be composed of independent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The Nasdaq independence definition includes a series of objective tests, such as that the director is not, and has not been for at least three years, one of our employees, that neither the director nor any of his family members has engaged in various types of business dealings with us and that the director is not associated with the holders of more than 5% of our common stock.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8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board of directors has determined that all of our directors other than , representing of our directors, are “independent directors” as defined under applicable Nasdaq rules. In making such determination, our board of directors considered the current and prior relationships that each such director has with our company and all other facts and circumstances that our board of directors deemed relevant in determining his or her independence, including the beneficial ownership of our capital stock by each director and the transactions described in the section titled “Certain Relationships and Related Party Transactions.”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Following the completion of this offering, we intend for our audit committee to have the responsibility to consider and discuss our major financial</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board of directors has established an audit committee, compensation committee and a nominating and corporate governance committee, each of which operate pursuant to a committee charter. Our board of directors may establish other committees to facilitate the management of our business. The composition and functions of each committee are described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tabs>
          <w:tab w:leader="none" w:pos="6240" w:val="left"/>
          <w:tab w:leader="none" w:pos="6720" w:val="left"/>
          <w:tab w:leader="none" w:pos="7400" w:val="left"/>
          <w:tab w:leader="none" w:pos="8240" w:val="left"/>
        </w:tabs>
        <w:rPr>
          <w:sz w:val="20"/>
          <w:szCs w:val="20"/>
          <w:color w:val="auto"/>
        </w:rPr>
      </w:pPr>
      <w:r>
        <w:rPr>
          <w:rFonts w:ascii="Arial" w:cs="Arial" w:eastAsia="Arial" w:hAnsi="Arial"/>
          <w:sz w:val="18"/>
          <w:szCs w:val="18"/>
          <w:color w:val="auto"/>
        </w:rPr>
        <w:t>Upon the completion of this offering, our audit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 as chair of the audit committee.</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Our board of directors has determined that each of these individuals meets the independence requirements of Rule 10A-3 under the Securities Exchange Act of 1934, or the Exchange Act, and the applicable listing standards of Nasdaq. Each member of our audit committee can read and understand fundamental financial statements in accordance with Nasdaq audit committee requirements. Our board of directors has also determined that qualifies as an audit committee financial expert within the meaning of SEC regulations and meets the financial sophistication requirements of the Nasdaq Listing Rules. In arriving at these determinations, the board has examined each audit committee member’s scope of experience and the nature of their prior and/or current employment.</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31"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the composition and functioning of our audit committee will comply with all applicable SEC and Nasdaq rules and regulations.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comply with future requirements to the extent they become applicable to us.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560"/>
        <w:spacing w:after="0"/>
        <w:tabs>
          <w:tab w:leader="none" w:pos="7080" w:val="left"/>
          <w:tab w:leader="none" w:pos="7700" w:val="left"/>
          <w:tab w:leader="none" w:pos="8480" w:val="left"/>
          <w:tab w:leader="none" w:pos="9460" w:val="left"/>
        </w:tabs>
        <w:rPr>
          <w:sz w:val="20"/>
          <w:szCs w:val="20"/>
          <w:color w:val="auto"/>
        </w:rPr>
      </w:pPr>
      <w:r>
        <w:rPr>
          <w:rFonts w:ascii="Arial" w:cs="Arial" w:eastAsia="Arial" w:hAnsi="Arial"/>
          <w:sz w:val="18"/>
          <w:szCs w:val="18"/>
          <w:color w:val="auto"/>
        </w:rPr>
        <w:t>Upon the completion of this offering, our compensation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 as chair of the</w:t>
      </w:r>
    </w:p>
    <w:p>
      <w:pPr>
        <w:spacing w:after="0" w:line="23"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compensation committee. Each of these individuals is a non-employee director, as defined in Rule 16b-3 promulgated under the Exchange Act. Our board of directors has determined that each</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of these individuals is ‘‘independent’’ as defined under the applicable listing standards of Nasdaq, including the standards specific to members of a compensation committee. The functions of this committee include, among other things:</w:t>
      </w:r>
    </w:p>
    <w:p>
      <w:pPr>
        <w:spacing w:after="0" w:line="76" w:lineRule="exact"/>
        <w:rPr>
          <w:sz w:val="20"/>
          <w:szCs w:val="20"/>
          <w:color w:val="auto"/>
        </w:rPr>
      </w:pPr>
    </w:p>
    <w:p>
      <w:pPr>
        <w:ind w:left="1080" w:right="2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regarding the compensation and other terms of employment of our executive officers;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performance goals and objectives relevant to the compensation of our executive officers and assessing their performance against these goals and objectives;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type and amount of compensation to be paid or awarded to our non-employee board members;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establishing policies with respect to votes by our stockholders to approve executive compensation to the extent required by Section 14A of the Exchange Act and, if applicable, determining our recommendations regarding the frequency of advisory votes on executive compensation;</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the competitiveness of our executive compensation programs and evaluating the effectiveness of our compensation policy and strategy in achieving expected benefits to us;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terms of any employment agreements, severance arrangements, change in control protections and any other compensatory arrangements for our executive officers;</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reviewing and evaluating on an annual basis the performance of the compensation committee and the compensation committee charter.</w:t>
      </w:r>
    </w:p>
    <w:p>
      <w:pPr>
        <w:spacing w:after="0" w:line="24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believe that the composition and functioning of our compensation committee will comply with all applicable SEC and Nasdaq rules and regulations. We intend to comply with future requirements to the extent they become applicable to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ectPr>
          <w:pgSz w:w="11900" w:h="16838" w:orient="portrait"/>
          <w:cols w:equalWidth="0" w:num="1">
            <w:col w:w="11140"/>
          </w:cols>
          <w:pgMar w:left="320" w:top="459" w:right="439" w:bottom="1440" w:gutter="0" w:footer="0" w:header="0"/>
        </w:sectPr>
      </w:pPr>
    </w:p>
    <w:p>
      <w:pPr>
        <w:spacing w:after="0" w:line="3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hanging="238"/>
        <w:spacing w:after="0" w:line="277" w:lineRule="auto"/>
        <w:rPr>
          <w:sz w:val="20"/>
          <w:szCs w:val="20"/>
          <w:color w:val="auto"/>
        </w:rPr>
      </w:pPr>
      <w:r>
        <w:rPr>
          <w:rFonts w:ascii="Arial" w:cs="Arial" w:eastAsia="Arial" w:hAnsi="Arial"/>
          <w:sz w:val="18"/>
          <w:szCs w:val="18"/>
          <w:color w:val="auto"/>
        </w:rPr>
        <w:t>Upon the completion of this offering, our nominating and corporate governance committee will consist of serving as chair of the nominating and corporate governance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3" w:lineRule="exact"/>
        <w:rPr>
          <w:sz w:val="20"/>
          <w:szCs w:val="20"/>
          <w:color w:val="auto"/>
        </w:rPr>
      </w:pPr>
    </w:p>
    <w:p>
      <w:pPr>
        <w:sectPr>
          <w:pgSz w:w="11900" w:h="16838" w:orient="portrait"/>
          <w:cols w:equalWidth="0" w:num="5">
            <w:col w:w="440" w:space="360"/>
            <w:col w:w="7540" w:space="460"/>
            <w:col w:w="60" w:space="460"/>
            <w:col w:w="1040" w:space="720"/>
            <w:col w:w="6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140"/>
          </w:cols>
          <w:pgMar w:left="320" w:top="459" w:right="43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committee. Our board of directors has determined that each of these individuals is ‘‘independent’’ as defined under the applicable listing standards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and SEC rules and regulations. The functions of this committee include, among other things:</w:t>
      </w:r>
    </w:p>
    <w:p>
      <w:pPr>
        <w:spacing w:after="0" w:line="116"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evaluating, nominating and recommending individuals for membership on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w:t>
      </w:r>
    </w:p>
    <w:p>
      <w:pPr>
        <w:spacing w:after="0" w:line="170"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auto"/>
        </w:rPr>
        <w:t>We believe that the composition and functioning of our nominating and corporate governance committee will comply with all applicable SEC and Nasdaq rules and regulations. We intend to comply with future requirements to the extent they become applicable to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Effective upon the closing of this offering, we will adopt a Code of Business Conduct and Ethics, or the Code of Conduct, applicable to all of our employees, executive officers and directors. This includes our principal executive officer, principal financial officer and principal accounting officer or controller, or persons performing similar functions. Following the closing of this offering, the full text of the Code of Conduct will be available on our website at adagiotx.com. We intend to post on our website all disclosures that are required by law or the listing standards of the Nasdaq Global Market concerning any amendments to, or waivers from, any provision of the Code of Conduct. Information contained on, or that can be accessed through, our website is not incorporated by reference into this prospectus. We have included our website in this prospectus solely as an inactive textual reference.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With the exception of the payments provided pursuant the independent director compensation policy adopted in the fourth quarter of 2020, as described below, we have not historically paid cash retainers or other compensation with respect to service on our board of directors, except for reimbursement of direct expenses incurred in connection with attending meetings of the board or committees.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In October 2020, we adopted an independent director compensation policy pursuant to which our independent directors are entitled to receive an annual cash retainer of $35,000 for serving on our board of directors, payable in arrears on a quarterly basis. In addition, each independent director who is appointed or elected following the policy’s adoption will be entitled to be granted an option to purchase 0.25% of our outstanding shares issuable at the start of the director’s term at an exercise price equal to the fair market value of our common stock on the date of grant, with 25% of the underlying shares vesting on the first anniversary of the grant date and the remainder vesting in 36 equal monthly installments thereafter, subject to the director’s continued service through the applicable vesting date. While Dr. Russo and Dr. Howard Mayer are both independent directors, only Dr. Mayer has received compensation pursuant to this policy because Dr. Russo received compensation pursuant to the consulting agreement described below and received an option award as a co-founder of the Company.</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intend to adopt a non-employee director compensation policy effective upon the completion of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in 2020 by our non-employee directors. Tillman U. Gerngross, Ph.D., our Chief Executive Officer, is also a member of our board of directors but did not receive any additional compensation for service as a director.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6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87"/>
              </w:rPr>
              <w:t>Fees</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6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w w:val="94"/>
              </w:rPr>
              <w:t>Earned or</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All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6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5"/>
              </w:rPr>
              <w:t>Paid in</w:t>
            </w:r>
          </w:p>
        </w:tc>
        <w:tc>
          <w:tcPr>
            <w:tcW w:w="9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500" w:type="dxa"/>
            <w:vAlign w:val="bottom"/>
            <w:vMerge w:val="restart"/>
          </w:tcPr>
          <w:p>
            <w:pPr>
              <w:spacing w:after="0"/>
              <w:rPr>
                <w:sz w:val="12"/>
                <w:szCs w:val="12"/>
                <w:color w:val="auto"/>
              </w:rPr>
            </w:pPr>
          </w:p>
        </w:tc>
        <w:tc>
          <w:tcPr>
            <w:tcW w:w="126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Cash</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500" w:type="dxa"/>
            <w:vAlign w:val="bottom"/>
            <w:vMerge w:val="continue"/>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5"/>
                <w:szCs w:val="15"/>
                <w:color w:val="auto"/>
              </w:rPr>
            </w:pPr>
          </w:p>
        </w:tc>
        <w:tc>
          <w:tcPr>
            <w:tcW w:w="480" w:type="dxa"/>
            <w:vAlign w:val="bottom"/>
          </w:tcPr>
          <w:p>
            <w:pPr>
              <w:ind w:left="20"/>
              <w:spacing w:after="0" w:line="158"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(1)(2)</w:t>
            </w:r>
          </w:p>
        </w:tc>
        <w:tc>
          <w:tcPr>
            <w:tcW w:w="460" w:type="dxa"/>
            <w:vAlign w:val="bottom"/>
          </w:tcPr>
          <w:p>
            <w:pPr>
              <w:spacing w:after="0"/>
              <w:rPr>
                <w:sz w:val="15"/>
                <w:szCs w:val="15"/>
                <w:color w:val="auto"/>
              </w:rPr>
            </w:pPr>
          </w:p>
        </w:tc>
        <w:tc>
          <w:tcPr>
            <w:tcW w:w="88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560" w:type="dxa"/>
            <w:vAlign w:val="bottom"/>
          </w:tcPr>
          <w:p>
            <w:pPr>
              <w:jc w:val="right"/>
              <w:ind w:right="11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René Russo, Pharm.D.</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78,343</w:t>
            </w:r>
          </w:p>
        </w:tc>
        <w:tc>
          <w:tcPr>
            <w:tcW w:w="620" w:type="dxa"/>
            <w:vAlign w:val="bottom"/>
            <w:tcBorders>
              <w:top w:val="single" w:sz="8" w:color="CCEEFF"/>
            </w:tcBorders>
            <w:shd w:val="clear" w:color="auto" w:fill="CCEEFF"/>
          </w:tcPr>
          <w:p>
            <w:pPr>
              <w:jc w:val="right"/>
              <w:ind w:right="364"/>
              <w:spacing w:after="0"/>
              <w:rPr>
                <w:sz w:val="20"/>
                <w:szCs w:val="20"/>
                <w:color w:val="auto"/>
              </w:rPr>
            </w:pPr>
            <w:r>
              <w:rPr>
                <w:rFonts w:ascii="Arial" w:cs="Arial" w:eastAsia="Arial" w:hAnsi="Arial"/>
                <w:sz w:val="15"/>
                <w:szCs w:val="15"/>
                <w:color w:val="auto"/>
                <w:w w:val="87"/>
              </w:rPr>
              <w:t>(3)</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5,941</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84,284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Terrance McGuire</w:t>
            </w: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Royan</w:t>
            </w:r>
          </w:p>
        </w:tc>
        <w:tc>
          <w:tcPr>
            <w:tcW w:w="126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Philip Chase</w:t>
            </w: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Mayer, M.D.</w:t>
            </w:r>
          </w:p>
        </w:tc>
        <w:tc>
          <w:tcPr>
            <w:tcW w:w="126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14,138</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3"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grant-date fair value of the stock options granted under our 2020 Plan, computed in accordance with ASC Topic 718. The assumptions used in calculating the grant-date fair value of the stock options are set forth in the notes to our audited consolidated financial statements included elsewhere in this prospectus. These amounts do not reflect the actual economic value that will be realized by the non-employee director upon vesting of the stock options, the exercise of the stock options or the sale of the common stock underlying such stock options.</w:t>
      </w:r>
    </w:p>
    <w:p>
      <w:pPr>
        <w:spacing w:after="0" w:line="3" w:lineRule="exact"/>
        <w:rPr>
          <w:rFonts w:ascii="Arial" w:cs="Arial" w:eastAsia="Arial" w:hAnsi="Arial"/>
          <w:sz w:val="18"/>
          <w:szCs w:val="18"/>
          <w:color w:val="auto"/>
        </w:rPr>
      </w:pPr>
    </w:p>
    <w:p>
      <w:pPr>
        <w:jc w:val="both"/>
        <w:ind w:left="540" w:right="20" w:hanging="424"/>
        <w:spacing w:after="0" w:line="265"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Dr. Russo’s consulting agreement (referred to below) acknowledges that, in consideration of her consulting services, she was granted an option to purchase 397,059 shares of our common stock, which option vests as to 25% of the underlying share on June 15, 2021, and the remainder of the underlying shares vest in 36 substantially equal monthly installments, subject to her continued service through each vesting date. The terms of Dr. Russo’s option also include the ability for Dr. Russo to exercise the option in full on the date of grant. Dr. Russo exercised her stock option prior to December 31, 2020 and received unvested shares of our common stock. In the event of a “change in control” (as defined our 2020 Plan), the vesting of Dr. Russo’s option will accelerate in full, subject to her continued service as of immediately prior to such change in control. Such shares are subject to a right of repurchase in favor of us at the original option exercise price that lapses in accordance with such vesting schedule. As a result, none of our non-employee directors held option awards as of December 31, 2020, and none of our non-employee directors held stock awards as of December 31, 2020, other than Dr. Russo.</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This amount represents cash consulting fees paid during 2020 pursuant to Dr. Russo’s consulting agreement with us, as described below.</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Consulting Agreement with Dr. Russo</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In June 2020, we entered into a consulting agreement with Dr. René Russo, a current non-employee member of our board of directors, pursuant to which Dr. Russo is entitled to receive $7,500 per month, with payment for any partial months prorated. In addition, Dr. Russo’s consulting agreement provides that she is eligible for an annual additional consulting fee at the discretion of our board of directors. Such annual additional consulting fee has a target amount of $40,500, but the actual amount of the annual additional consulting fee is determined by our board of directors in its discretion.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named executive officers for the period from June 3, 2020 (inception) to December 31, 2020, which consisted of our Chief Executive Officer and our two most highly compensated executive officers other than our Chief Executive Officer, were:</w:t>
      </w:r>
    </w:p>
    <w:p>
      <w:pPr>
        <w:spacing w:after="0" w:line="197"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Tillman U. Gerngross, Ph.D., our Co-Founder, Chief Executive Officer and President;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Lynn Connolly, M.D., Ph.D., our Chief Medical Officer;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Rebecca Dabora, Ph.D., our Chief Technology &amp; Manufacturing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and paid to our named executive officers with respect to the period from June 3, 2020 (inception) to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Salary</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All Other</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9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Bonus</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3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Tillman U. Gerngross, Ph.D.</w:t>
            </w:r>
            <w:r>
              <w:rPr>
                <w:rFonts w:ascii="Arial" w:cs="Arial" w:eastAsia="Arial" w:hAnsi="Arial"/>
                <w:sz w:val="15"/>
                <w:szCs w:val="15"/>
                <w:color w:val="auto"/>
              </w:rPr>
              <w:t>(2)</w:t>
            </w: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Co-Founder, Chief Executive Officer and President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5,941</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02"/>
        </w:trPr>
        <w:tc>
          <w:tcPr>
            <w:tcW w:w="5680" w:type="dxa"/>
            <w:vAlign w:val="bottom"/>
            <w:gridSpan w:val="2"/>
          </w:tcPr>
          <w:p>
            <w:pPr>
              <w:spacing w:after="0" w:line="201" w:lineRule="exact"/>
              <w:rPr>
                <w:sz w:val="20"/>
                <w:szCs w:val="20"/>
                <w:color w:val="auto"/>
              </w:rPr>
            </w:pPr>
            <w:r>
              <w:rPr>
                <w:rFonts w:ascii="Arial" w:cs="Arial" w:eastAsia="Arial" w:hAnsi="Arial"/>
                <w:sz w:val="18"/>
                <w:szCs w:val="18"/>
                <w:color w:val="auto"/>
              </w:rPr>
              <w:t>Lynn Connolly, M.D., Ph.D.</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169,154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88,820</w:t>
            </w:r>
            <w:r>
              <w:rPr>
                <w:rFonts w:ascii="Arial" w:cs="Arial" w:eastAsia="Arial" w:hAnsi="Arial"/>
                <w:sz w:val="15"/>
                <w:szCs w:val="15"/>
                <w:color w:val="auto"/>
                <w:w w:val="98"/>
              </w:rPr>
              <w:t>(4)</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584,095</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3,767</w:t>
            </w:r>
            <w:r>
              <w:rPr>
                <w:rFonts w:ascii="Arial" w:cs="Arial" w:eastAsia="Arial" w:hAnsi="Arial"/>
                <w:sz w:val="15"/>
                <w:szCs w:val="15"/>
                <w:color w:val="auto"/>
              </w:rPr>
              <w:t>(5)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845,836</w:t>
            </w:r>
          </w:p>
        </w:tc>
        <w:tc>
          <w:tcPr>
            <w:tcW w:w="0" w:type="dxa"/>
            <w:vAlign w:val="bottom"/>
          </w:tcPr>
          <w:p>
            <w:pPr>
              <w:spacing w:after="0"/>
              <w:rPr>
                <w:sz w:val="1"/>
                <w:szCs w:val="1"/>
                <w:color w:val="auto"/>
              </w:rPr>
            </w:pPr>
          </w:p>
        </w:tc>
      </w:tr>
      <w:tr>
        <w:trPr>
          <w:trHeight w:val="202"/>
        </w:trPr>
        <w:tc>
          <w:tcPr>
            <w:tcW w:w="5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Rebecca Dabora, Ph.D.</w:t>
            </w: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Technology &amp; Manufacturing Officer</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357,838</w:t>
            </w:r>
            <w:r>
              <w:rPr>
                <w:rFonts w:ascii="Arial" w:cs="Arial" w:eastAsia="Arial" w:hAnsi="Arial"/>
                <w:sz w:val="15"/>
                <w:szCs w:val="15"/>
                <w:color w:val="auto"/>
                <w:w w:val="95"/>
              </w:rPr>
              <w:t>(3)</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225,292</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583,129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2"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amounts reported reflect the aggregate grant-date fair value of option awards granted during the year measured pursuant to Financial Accounting Standard Board Accounting Standards Codification Topic 718, or ASC 718, the basis for computing stock-based compensation in our consolidated financial statements. This calculation assumes that the named executive officer will perform the requisite service for the award to vest in full as required by SEC rules. The assumptions we used in valuing options are described in Note 10 to our audited consolidated financial statements appearing at the end of this prospectus. These amounts do not reflect the actual economic value that will be realized by the named executive officer upon vesting of the stock options, the exercise of the stock options or the sale of the common stock underlying such stock options.</w:t>
      </w:r>
    </w:p>
    <w:p>
      <w:pPr>
        <w:spacing w:after="0" w:line="5" w:lineRule="exact"/>
        <w:rPr>
          <w:rFonts w:ascii="Arial" w:cs="Arial" w:eastAsia="Arial" w:hAnsi="Arial"/>
          <w:sz w:val="18"/>
          <w:szCs w:val="18"/>
          <w:color w:val="auto"/>
        </w:rPr>
      </w:pPr>
    </w:p>
    <w:p>
      <w:pPr>
        <w:ind w:left="540" w:hanging="424"/>
        <w:spacing w:after="0"/>
        <w:tabs>
          <w:tab w:leader="none" w:pos="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Dr. Gerngross is also a member of our board of directors, but he did not receive any additional compensation in his capacity as a director in 2020.</w:t>
      </w:r>
    </w:p>
    <w:p>
      <w:pPr>
        <w:spacing w:after="0" w:line="32" w:lineRule="exact"/>
        <w:rPr>
          <w:rFonts w:ascii="Arial" w:cs="Arial" w:eastAsia="Arial" w:hAnsi="Arial"/>
          <w:sz w:val="16"/>
          <w:szCs w:val="16"/>
          <w:color w:val="auto"/>
        </w:rPr>
      </w:pPr>
    </w:p>
    <w:p>
      <w:pPr>
        <w:jc w:val="both"/>
        <w:ind w:left="540" w:hanging="424"/>
        <w:spacing w:after="0" w:line="250"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total hourly compensation paid in 2020 under the terms of the consulting agreement pursuant to which Dr. Dabora provided services to us before her conversion to a full-time employee. See “—Agreements with our Named Executive Officers and Potential Payments Upon Termination of Employment—Rebecca Dabora, Ph.D.”</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Represents the prorated 2020 annual bonus paid to Dr. Connolly pursuant to the terms of her employment agreement with us. See “—Agreements with our Named Executive Officers and Potential Payments Upon Termination of Employment—Lynn Connolly, M.D., Ph.D.”</w:t>
      </w:r>
    </w:p>
    <w:p>
      <w:pPr>
        <w:ind w:left="540" w:right="20" w:hanging="424"/>
        <w:spacing w:after="0" w:line="260"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employer contributions to Dr. Connolly’s 401(k) plan account and life insurance premiums. See “—Retirement Benefits and Other Compensation.”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2020 Period-End</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were outstanding as of December 31, 2020.</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w w:val="91"/>
              </w:rPr>
              <w:t xml:space="preserve">Option Awards </w:t>
            </w:r>
            <w:r>
              <w:rPr>
                <w:rFonts w:ascii="Arial" w:cs="Arial" w:eastAsia="Arial" w:hAnsi="Arial"/>
                <w:sz w:val="27"/>
                <w:szCs w:val="27"/>
                <w:b w:val="1"/>
                <w:bCs w:val="1"/>
                <w:color w:val="auto"/>
                <w:w w:val="91"/>
                <w:vertAlign w:val="superscript"/>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4"/>
          </w:tcPr>
          <w:p>
            <w:pPr>
              <w:ind w:left="42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Market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Number of</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Number of</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Number of</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shares or</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shares or</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Securities</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Securities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units of</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units of</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Vesting</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Underlying</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Underlying</w:t>
            </w: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Option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 that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stock that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Commence-</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Unexercised</w:t>
            </w:r>
          </w:p>
        </w:tc>
        <w:tc>
          <w:tcPr>
            <w:tcW w:w="180" w:type="dxa"/>
            <w:vAlign w:val="bottom"/>
          </w:tcPr>
          <w:p>
            <w:pPr>
              <w:spacing w:after="0"/>
              <w:rPr>
                <w:sz w:val="17"/>
                <w:szCs w:val="17"/>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Unexercised</w:t>
            </w:r>
          </w:p>
        </w:tc>
        <w:tc>
          <w:tcPr>
            <w:tcW w:w="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Exercise</w:t>
            </w: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have not</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have not</w:t>
            </w:r>
          </w:p>
        </w:tc>
        <w:tc>
          <w:tcPr>
            <w:tcW w:w="0" w:type="dxa"/>
            <w:vAlign w:val="bottom"/>
          </w:tcPr>
          <w:p>
            <w:pPr>
              <w:spacing w:after="0"/>
              <w:rPr>
                <w:sz w:val="1"/>
                <w:szCs w:val="1"/>
                <w:color w:val="auto"/>
              </w:rPr>
            </w:pPr>
          </w:p>
        </w:tc>
      </w:tr>
      <w:tr>
        <w:trPr>
          <w:trHeight w:val="199"/>
        </w:trPr>
        <w:tc>
          <w:tcPr>
            <w:tcW w:w="26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ment</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Options (#)</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Options (#)</w:t>
            </w: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4"/>
              </w:rPr>
              <w:t>Expiration</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vested</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2"/>
              </w:rPr>
              <w:t>vested</w:t>
            </w:r>
          </w:p>
        </w:tc>
        <w:tc>
          <w:tcPr>
            <w:tcW w:w="0" w:type="dxa"/>
            <w:vAlign w:val="bottom"/>
          </w:tcPr>
          <w:p>
            <w:pPr>
              <w:spacing w:after="0"/>
              <w:rPr>
                <w:sz w:val="1"/>
                <w:szCs w:val="1"/>
                <w:color w:val="auto"/>
              </w:rPr>
            </w:pPr>
          </w:p>
        </w:tc>
      </w:tr>
      <w:tr>
        <w:trPr>
          <w:trHeight w:val="206"/>
        </w:trPr>
        <w:tc>
          <w:tcPr>
            <w:tcW w:w="2660" w:type="dxa"/>
            <w:vAlign w:val="bottom"/>
            <w:gridSpan w:val="2"/>
            <w:vMerge w:val="continue"/>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Grant Date</w:t>
            </w: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Exercisable</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line="207" w:lineRule="exact"/>
              <w:rPr>
                <w:sz w:val="20"/>
                <w:szCs w:val="20"/>
                <w:color w:val="auto"/>
              </w:rPr>
            </w:pPr>
            <w:r>
              <w:rPr>
                <w:rFonts w:ascii="Arial" w:cs="Arial" w:eastAsia="Arial" w:hAnsi="Arial"/>
                <w:sz w:val="14"/>
                <w:szCs w:val="14"/>
                <w:b w:val="1"/>
                <w:bCs w:val="1"/>
                <w:color w:val="auto"/>
              </w:rPr>
              <w:t>Unexercisable</w:t>
            </w:r>
            <w:r>
              <w:rPr>
                <w:rFonts w:ascii="Arial" w:cs="Arial" w:eastAsia="Arial" w:hAnsi="Arial"/>
                <w:sz w:val="23"/>
                <w:szCs w:val="23"/>
                <w:b w:val="1"/>
                <w:bCs w:val="1"/>
                <w:color w:val="auto"/>
                <w:vertAlign w:val="superscript"/>
              </w:rPr>
              <w:t>(2)</w:t>
            </w:r>
          </w:p>
        </w:tc>
        <w:tc>
          <w:tcPr>
            <w:tcW w:w="600" w:type="dxa"/>
            <w:vAlign w:val="bottom"/>
          </w:tcPr>
          <w:p>
            <w:pPr>
              <w:jc w:val="center"/>
              <w:spacing w:after="0" w:line="20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22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Date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 Ph.D.</w:t>
            </w:r>
            <w:r>
              <w:rPr>
                <w:rFonts w:ascii="Arial" w:cs="Arial" w:eastAsia="Arial" w:hAnsi="Arial"/>
                <w:sz w:val="15"/>
                <w:szCs w:val="15"/>
                <w:color w:val="auto"/>
              </w:rPr>
              <w:t>(4)</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397,059</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9,148,239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Lynn Connolly, M.D., Ph.D.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9/28/2020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7/13/2020</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172,058</w:t>
            </w:r>
            <w:r>
              <w:rPr>
                <w:rFonts w:ascii="Arial" w:cs="Arial" w:eastAsia="Arial" w:hAnsi="Arial"/>
                <w:sz w:val="15"/>
                <w:szCs w:val="15"/>
                <w:color w:val="auto"/>
              </w:rPr>
              <w:t>(5)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Rebecca Dabora, Ph.D.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9/28/2020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9/28/2020</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66,176</w:t>
            </w:r>
            <w:r>
              <w:rPr>
                <w:rFonts w:ascii="Arial" w:cs="Arial" w:eastAsia="Arial" w:hAnsi="Arial"/>
                <w:sz w:val="15"/>
                <w:szCs w:val="15"/>
                <w:color w:val="auto"/>
              </w:rPr>
              <w:t>(5)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58"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of the awards listed in this table were granted under our 2020 Plan. See the section titled “—Equity Incentive Plans—2020 Equity Incentive Plan” below for additional information.</w:t>
      </w:r>
    </w:p>
    <w:p>
      <w:pPr>
        <w:spacing w:after="0" w:line="1"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of the outstanding stock options were immediately exercisable as of the date of grant, with any unvested shares acquired on exercise subject to a right of repurchase in favor of us at the original exercise price that lapses in accordance with the vesting schedule of the related option. Accordingly, the columns and footnotes below reflect the extent to which stock options held by our named executive officers were vested (as opposed to exercisable) as of December 31, 2020.</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of the option awards listed in the table were granted with a per share exercise price equal to or above the estimated fair value of our common stock on the date of grant, as determined in good faith by our board of directors.</w:t>
      </w:r>
    </w:p>
    <w:p>
      <w:pPr>
        <w:jc w:val="both"/>
        <w:ind w:left="540" w:hanging="424"/>
        <w:spacing w:after="0" w:line="265" w:lineRule="auto"/>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Dr. Gerngross’ consulting agreement (referred to below) acknowledges that, in consideration of his consulting services, he was granted an option to purchase 397,059 shares of our common stock, which option vests as to 25% of the underlying shares on June 15, 2021 and the remainder of the underlying shares vest in 36 substantially equal monthly installments, subject to his continued service through each vesting date. In the event of a “change in control” (as defined our 2020 Plan), the vesting of Dr. Gerngross’s option will accelerate in full, subject to his continued service as of immediately prior to such change in control. The terms of Dr. Gerngross’s option also include the ability for Dr. Gerngross to exercise the option in full on the date of grant. Dr. Gerngross exercised his stock option prior to December 31, 2020 and received unvested shares of our common stock. After exercising his stock option, Dr. Gerngross transferred the unvested shares to Adimab, in exchange for no consideration. Dr. Gerngross is a co-founder and currently serving as Chief Executive Officer and as a director of Adimab. The unvested shares held by Adimab remain subject to the same vesting conditions applicable to Dr. Gerngross’s original option award, including the requirement that Dr. Gerngross continue providing services to us through each vesting date, and such shares are subject to a right of repurchase in favor of us at the original option exercise price that lapses in accordance with such vesting schedule.</w:t>
      </w:r>
    </w:p>
    <w:p>
      <w:pPr>
        <w:spacing w:after="0" w:line="1" w:lineRule="exact"/>
        <w:rPr>
          <w:rFonts w:ascii="Arial" w:cs="Arial" w:eastAsia="Arial" w:hAnsi="Arial"/>
          <w:sz w:val="17"/>
          <w:szCs w:val="17"/>
          <w:color w:val="auto"/>
        </w:rPr>
      </w:pPr>
    </w:p>
    <w:p>
      <w:pPr>
        <w:jc w:val="both"/>
        <w:ind w:left="540" w:right="20" w:hanging="424"/>
        <w:spacing w:after="0" w:line="253"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25% of the shares subject to this award will vest on the first anniversary of the vesting commencement date, with the remaining shares vesting in equal monthly installments over the three years thereafter, in each case subject to the named executive officer’s continued service. Notwithstanding the foregoing, 100% of the shares subject to this award will vest immediately prior to a change in control, subject to the named executive officer’s continued service until immediately prior to such change in control.</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2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We have entered into employment or consulting agreements with each of our named executive officers. The key terms of the agreements are described below. For a discussion of the severance pay and other benefits to be provided in connection with a termination of employment or a change in control under the arrangements with our named executive officers, please see “—Potential Payments Upon Termination or Change in Control” below. We plan to enter into amended employment agreements with each of our named executive officers in connection with this offering.</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Tillman U. Gerngross, Ph.D.</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In July 2020, we entered into a consulting agreement with Dr. Gerngross. This agreement governs the current terms of Dr. Gerngross’s consulting arrangement with us. Dr. Gerngross’s consulting agreement does not provide for the payment of consulting fees but acknowledges that, in consideration of his consulting services, he was granted an option to purchase 397,059 shares of our common stock.</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Lynn Connolly, M.D., Ph.D.</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November 2020, we entered into an employment agreement with Dr. Connolly. This agreement governs the current terms of Dr. Connolly’s employment with us. Pursuant to her employment agreement, Dr. Connolly is entitled to an annual base salary of $360,000, and is eligible to receive an annual target bonus equal to 35% of her annual base salary, with the actual payout determined in the discretion our board of directors and any bonus payable in respect of calendar year 2020 prorated from the commencement of her employment. Dr. Connolly is also eligible for standard benefits such as paid time off, for reimbursement of business expenses, and to participate in our employee benefit plans and programs.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Rebecca Dabora, Ph.D.</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In June 2020, we entered into a consulting agreement with RDBio Consulting LLC, a limited liability company owned by Dr. Dabora, pursuant to which RDBio Consulting LLC agreed to make Dr. Dabora available to provide services to us. The agreement had an initial term of one year and governed the terms of Dr. Dabora’s service relationship with us before she was converted to a full-time employee. The agreement provided that we pay RDBio Consulting, LLC an amount of $400 per hour that Dr. Dabora provided services to us (but not to exceed $3,200 per day). The agreement also provided for reimbursement of business expenses and could be terminated by either party upon 30 days’ prior written notice.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Dr. Connolly is entitled to certain severance and change in control benefits pursuant to her employment agreement. In the event that Dr. Connolly’s employment is terminated, other than during the period commencing three months prior to or ending 12 months following a “change in control,” or the change in control period, by us without “cause” or by Dr. Connolly for “good reason” (each, as defined in Dr. Connolly employment agreement), and subject to her delivery to us of a separation agreement that includes a general release of claims, she will be entitled to continued payment of her base salary for nine months after her termination or resignation date and our continued payment of the employer portion of the cost of group health insurance coverage for a period of up to nine months following her termination or resignation date (provided that she properly elects to receive COBRA continuation coverage). In the event that Dr. Connolly’s employment is terminated by us without cause or by Dr. Connolly for good reason, in either case, during the change in control period, and subject to her delivery to us of a separation agreement that includes a general release of claims, Dr. Connolly will be entitled to continued payment of her base salary for 12 months after her termination or resignation date, an amount equal to her target annual bonus for the year in which her termination or resignation date occurs, accelerated vesting of all equity awards granted to Dr. Connolly as of her termination or resignation date, and our continued payment of the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employer portion of the cost of group health insurance coverage for a period of up to 12 months following her termination or resignation date (provided that she properly elects to receive COBRA continuation coverage). Dr. Connolly’s employment agreement also provides that if any benefits payable to her thereunder or otherwise would result in adverse tax consequences under Section 4999 of the Internal Revenue Code of 1986, as amended, or the Code, then such benefits will be reduced if such reduction would provide Dr. Connolly with a greater net after-tax benefit than would no reduction.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 and Other Compensation</w:t>
      </w:r>
    </w:p>
    <w:p>
      <w:pPr>
        <w:spacing w:after="0" w:line="121"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Our named executive officers were eligible to participate in our employee benefits,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Code, which are updated annually. The 401(k) plan also provides that we will make non-elective contributions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Our board of directors adopted, and our stockholders approved, our 2021 Equity Incentive Plan, or the 2021 Plan, in , 2021. Our 2021 Plan provides for the grant of incentive stock options, or ISOs, to employees, including employees of any parent or subsidiary, and for the grant of nonstatutory stock options, or NSOs, stock appreciation rights, restricted stock awards, restricted stock unit awards, performance awards and other forms of stock awards to employees, directors, and consultants, including employees and consultants of our affiliates. Our 2021 Plan is a successor to the 2020 Plan and will become effective one day prior to the effective date of the registration statement of which this prospectus forms a part.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Initially, the maximum number of shares of our common stock that may be issued under our 2021 Plan after it becomes</w:t>
      </w:r>
    </w:p>
    <w:p>
      <w:pPr>
        <w:spacing w:after="0" w:line="35"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effective will be shares, which is the sum of (i) new shares; plus (ii) the number of shares that remain available for issuance under the 2020 Plan at the time our 2021 Plan becomes effective; and (iii) any shares subject to outstanding stock options or other stock awards that were granted under the 2020 Plan that are forfeited, terminate, expire or are otherwise not issued. In addition, the number of shares of our common stock reserved for issuance under our 2021 Plan will automatically increase on January 1 of each calendar year, starting on January 1, 2022 and continuing</w:t>
      </w:r>
    </w:p>
    <w:p>
      <w:pPr>
        <w:spacing w:after="0" w:line="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through January 1, 2031, in an amount equal to % of the total number of shares of our capital stock outstanding on the last day of the calendar month before the date of each automatic increase, or a lesser number of shares determined by our board of directors. The maximum number of shares of our common stock that may be issued on the exercise of ISOs under our 2021 Plan is .</w:t>
      </w:r>
    </w:p>
    <w:p>
      <w:pPr>
        <w:spacing w:after="0" w:line="19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Shares subject to stock awards granted under our 2021 Plan that expire or terminate without being exercised in full, or that are paid out in cash rather than in shares, do not reduce the number of shares available for issuance under our 2021 Plan. Additionally, shares become available for future grant under our 2021 Plan if they were issued under stock awards under our 2021 Plan if we repurchase them or they are forfeited. This includes shares used to pay the exercise price of a stock award or to satisfy the tax withholding obligations related to a stock award.</w:t>
      </w:r>
    </w:p>
    <w:p>
      <w:pPr>
        <w:spacing w:after="0" w:line="171" w:lineRule="exact"/>
        <w:rPr>
          <w:sz w:val="20"/>
          <w:szCs w:val="20"/>
          <w:color w:val="auto"/>
        </w:rPr>
      </w:pPr>
    </w:p>
    <w:p>
      <w:pPr>
        <w:jc w:val="both"/>
        <w:ind w:left="120" w:firstLine="440"/>
        <w:spacing w:after="0" w:line="258"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2021 Plan.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also delegate to one or more of our officers the authority to</w:t>
      </w:r>
    </w:p>
    <w:p>
      <w:pPr>
        <w:spacing w:after="0" w:line="1" w:lineRule="exact"/>
        <w:rPr>
          <w:sz w:val="20"/>
          <w:szCs w:val="20"/>
          <w:color w:val="auto"/>
        </w:rPr>
      </w:pPr>
    </w:p>
    <w:p>
      <w:pPr>
        <w:ind w:left="120" w:right="20" w:hanging="4"/>
        <w:spacing w:after="0" w:line="323" w:lineRule="auto"/>
        <w:tabs>
          <w:tab w:leader="none" w:pos="35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designate employees (other than officers) to receive specified stock awards and (ii) determine the number of shares subject to such stock awards. Under our 2021 Plan, our board of directors has the authority to determine and amend the terms of awards and underlying agreements, including:</w:t>
      </w:r>
    </w:p>
    <w:p>
      <w:pPr>
        <w:spacing w:after="0" w:line="43" w:lineRule="exact"/>
        <w:rPr>
          <w:rFonts w:ascii="Arial" w:cs="Arial" w:eastAsia="Arial" w:hAnsi="Arial"/>
          <w:sz w:val="16"/>
          <w:szCs w:val="16"/>
          <w:color w:val="auto"/>
        </w:rPr>
      </w:pPr>
    </w:p>
    <w:p>
      <w:pPr>
        <w:ind w:left="1080" w:hanging="532"/>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recipients;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exercise, purchase or strike price of stock awards, if any; the number of shares subject to each stock award;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vesting schedule applicable to the awards, together with any vesting acceleration;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form of consideration, if any, payable on exercise or settlement of the award.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the 2021 Plan, the board of directors also generally has the authority to effect, with the consent of any adversely affected participant:</w:t>
      </w:r>
    </w:p>
    <w:p>
      <w:pPr>
        <w:spacing w:after="0" w:line="131"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reduction of the exercise, purchase, or strike price of any outstanding award;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cancellation of any outstanding award and the grant in substitution therefore of other awards, cash, or other consideration; or</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ISOs and NSOs are granted under stock option agreements adopted by the plan administrator. The plan administrator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 for stock options, within the terms and conditions of the 2021 Plan, provided that the exercise price of a stock option generally cannot be less than 100% of the fair market value of our common stock on the date of grant. Options granted under the 2021 Plan vest at the rate specified in the stock option agreement as determined by the plan administrator.</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w:t>
      </w:r>
    </w:p>
    <w:p>
      <w:pPr>
        <w:spacing w:after="0" w:line="192"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Restricted stock units are granted under restricted stock unit award agreements adopted by the plan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78"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are granted under restricted stock award agreements adopted by the plan administrator.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under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stock appreciation right, which generally cannot be less than 100% of the fair market value of our common stock on the date of grant. A stock appreciation right granted under the 2021 Plan vests at the rate specified in the stock appreciation right agreement as determined by the plan administrator.</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2021 Plan permits the grant of performance-based stock and cash awards. The plan administrator may structure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so that the shares of our stock, cash, or other property will be issued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FDA or any other regulatory body. In addition, we retain the discretion to reduce or eliminate the compensation or economic benefit due upon attainment of the goals. The performance goals may differ from participant to participant and from award to award.</w:t>
      </w:r>
    </w:p>
    <w:p>
      <w:pPr>
        <w:spacing w:after="0" w:line="17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plan administrator may grant other awards based in whole or in part by reference to our common stock.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Non-Employee Director Compensation Limit</w:t>
      </w:r>
      <w:r>
        <w:rPr>
          <w:rFonts w:ascii="Arial" w:cs="Arial" w:eastAsia="Arial" w:hAnsi="Arial"/>
          <w:sz w:val="16"/>
          <w:szCs w:val="16"/>
          <w:color w:val="auto"/>
        </w:rPr>
        <w:t>. The aggregate value of all compensation granted or paid to any non-employee director with respect</w:t>
      </w:r>
    </w:p>
    <w:p>
      <w:pPr>
        <w:spacing w:after="0" w:line="46"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to any calendar year, including stock awards granted and cash fees paid by us to such non-employee director, will not exceed $ in total value, or in the event such non-employee director is first appointed or elected to the board during such annual period, $ in total value (in each case, calculating the value of any such stock awards based on the grant-date fair value of such stock awards for financial reporting purposes).</w:t>
      </w:r>
    </w:p>
    <w:p>
      <w:pPr>
        <w:spacing w:after="0" w:line="173"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(i) the class and maximum number of shares reserved for issuance under the 2021 Plan, (ii) the class and maximum number of shares by which the share reserve may increase automatically each year, (iii) the class and maximum number of shares that may be issued on the exercise of incentive stock options, and (iv) the class and number of shares and exercise price, strike price, or purchase price, if applicable, of all outstanding stock awards.</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following applies to stock awards under the 2021 Plan in the event of a corporate transaction,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a participant’s stock award agreement or other written agreement with us or one of our affiliates or unless otherwise expressly provided by the plan administrator at the time of grant.</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w:t>
      </w:r>
    </w:p>
    <w:p>
      <w:pPr>
        <w:spacing w:after="0" w:line="17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as defined under our 2021 Plan, awards granted under our 2021 Plan will not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acceleration of vesting and exercisability, although this treatment may be provided for in an award agreement.</w:t>
      </w:r>
    </w:p>
    <w:p>
      <w:pPr>
        <w:spacing w:after="0" w:line="17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Under our 2021 Plan, a corporate transaction is defined to include: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 Under the 2021 Plan, a change in control is defined to include (1) the acquisition by any person or company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(3) the approval by the stockholders or the board of directors of a plan of complete dissolution or liquidation of the company, or the occurrence of a complete dissolution or liquidation of the company, except for a liquidation into a parent corporation; (4) a sale, lease, exclusive license or other disposition of all or substantially all of our assets other than to an entity more than 50% of the combined voting power of which is owned by our stockholders; and (5) an unapproved change in the majority of the board of directors.</w:t>
      </w:r>
    </w:p>
    <w:p>
      <w:pPr>
        <w:spacing w:after="0" w:line="17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stock awards under our 2021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2021 Plan.</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amend, suspend, or terminate our 2021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 Certain material amendments also require the approval of our stockholders. No incentive stock options may be granted after the tenth anniversary of the date our board of directors adopted our 2021 Plan. No stock awards may be granted under our 2021 Plan while it is suspended or after it is terminated.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2020 Equity Incentive Plan, or the 2020 Plan, was originally adopted by our board of directors on June 19, 2020 and approved by our stockholders on June 22, 2020. The 2020 Plan allows for the grant of ISOs to employees, including employees of any parent or subsidiary, and for the grant of NSOs, restricted stock awards, restricted stock units and other forms of stock awards to employees, directors, and consultants. Once our 2021 Plan becomes effective, no further grants will be made under the 2020 Plan. Any outstanding awards granted under the 2020 Plan will remain subject to the terms of the 2020 Plan and applicable award agreements.</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The maximum number of shares of our common stock that may be issued under the 2020 Plan is 5,850,958 shares. Shares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stock awards granted under the 2020 Plan that are cancelled, forfeited, settled in cash or that expire by their terms do not reduce the number of shares available for issuance under the 2020 Plan. Additionally, shares used to pay the exercise price of a stock award or to satisfy the tax withholding obligations related to a stock award become available for future grant under the 2020 Plan.</w:t>
      </w:r>
    </w:p>
    <w:p>
      <w:pPr>
        <w:spacing w:after="0" w:line="171"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or a duly authorized committee thereof, administers the 2020 Plan. Under the 2020 Plan,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has the full authority and discretion to take any actions it deems necessary or advisable for the 2020 Plan’s administration.</w:t>
      </w:r>
    </w:p>
    <w:p>
      <w:pPr>
        <w:spacing w:after="0" w:line="14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ISOs and NSOs are granted pursuant to award agreements adopted by the plan administrator. Each award agreement specifies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subject to the option and the exercise price, provided that the exercise price of a stock option generally cannot be less than 100% (or 110% in the case of ISOs granted to certain stockholders) of the fair market value of our common stock on the date of grant. Options granted under the 2020 Plan vest at the rate specified in the applicable award agreement. Payment for the purchase of common stock issued upon the exercise of a stock option may be made in cash or cash equivalents. However, the plan administrator may also allow for other forms of consideration, including</w:t>
      </w:r>
    </w:p>
    <w:p>
      <w:pPr>
        <w:spacing w:after="0" w:line="2" w:lineRule="exact"/>
        <w:rPr>
          <w:sz w:val="20"/>
          <w:szCs w:val="20"/>
          <w:color w:val="auto"/>
        </w:rPr>
      </w:pPr>
    </w:p>
    <w:p>
      <w:pPr>
        <w:ind w:left="360" w:hanging="244"/>
        <w:spacing w:after="0"/>
        <w:tabs>
          <w:tab w:leader="none" w:pos="3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surrendering shares of common stock already owned by a participant, (ii) delivery of a promissory note, (iii) a broker-assisted cashless exercise,</w:t>
      </w:r>
    </w:p>
    <w:p>
      <w:pPr>
        <w:spacing w:after="0" w:line="32" w:lineRule="exact"/>
        <w:rPr>
          <w:rFonts w:ascii="Arial" w:cs="Arial" w:eastAsia="Arial" w:hAnsi="Arial"/>
          <w:sz w:val="16"/>
          <w:szCs w:val="16"/>
          <w:color w:val="auto"/>
        </w:rPr>
      </w:pPr>
    </w:p>
    <w:p>
      <w:pPr>
        <w:jc w:val="both"/>
        <w:ind w:left="120" w:right="20" w:hanging="4"/>
        <w:spacing w:after="0" w:line="253" w:lineRule="auto"/>
        <w:tabs>
          <w:tab w:leader="none" w:pos="4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a “net exercise” arrangement, or (v) by other forms consistent with applicable law. The award agreements specify the term of stock options granted under the 2020 Plan, up to a maximum of 10 years (or five years in the case of ISOs granted to certain stockholders). The plan administrator shall determine the effect on a stock award of the disability, death, retirement, authorized leave of absence, or any other change or purported change in a holder’s status. Unless the plan administrator provides otherwise, stock options generally are not transferable except by will, the laws of descent and distribution.</w:t>
      </w:r>
    </w:p>
    <w:p>
      <w:pPr>
        <w:spacing w:after="0" w:line="19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 plan administrator determines that any dividend or other distribution, reorganization,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combination, repurchase, recapitalization, liquidation, dissolution, or sale, transfer, exchange or other disposition of our assets, or sale or exchange of common stock or other securities, issuance of warrants or other rights to purchase common stock or other securities, or other similar corporate transaction or event, affects the common stock such that an adjustment is determined by the administrator to be appropriate, the plan administrator will make appropriate adjustments to the following: (i) the number and kind of shares available for future stock awards, (ii) the number and kind of shares covered by each outstanding stock award, (iii) the grant or exercise price with respect to any award, and (iv) the terms and conditions of any awards (including, without limitation, any applicable financial or other performance “targets” specified in an award agreement.</w:t>
      </w:r>
    </w:p>
    <w:p>
      <w:pPr>
        <w:spacing w:after="0" w:line="16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2020 Plan provides that in the event of a specified corporate transaction, including without limitation a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consolidation, or the sale or other disposition of all or substantially all of our stock or assets, or in the event of such other corporate transaction, such as a separation or reorganization, the plan administrator will determine how to treat each outstanding stock award. The plan administrator may provide for the:</w:t>
      </w:r>
    </w:p>
    <w:p>
      <w:pPr>
        <w:spacing w:after="0" w:line="92" w:lineRule="exact"/>
        <w:rPr>
          <w:sz w:val="20"/>
          <w:szCs w:val="20"/>
          <w:color w:val="auto"/>
        </w:rPr>
      </w:pPr>
    </w:p>
    <w:p>
      <w:pPr>
        <w:ind w:left="1080" w:right="2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settlement of the intrinsic value of stock awards to the extent vested and exercisable awards, with payment made in cash, cash equivalents or property, followed by the cancellation of such stock awards (whether or not then vested or exercisable);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308"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exercisability and settlement, in whole or in part, of stock awards to the extent vested and exercisable followed by the cancellation of such stock awards (whether or not then vested or exercisable) upon or immediately prior to the effectiveness of the transaction;</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assumption or substitution, in whole or in part, of a stock award by a successor corporation;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adjustment in the number and type of shares of common stock subject to outstanding awards and/or in the terms and conditions of (including, without limitation, the grant or exercise price), and the criteria included in, outstanding awards;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replacement of such award with other rights or property selected by the plan administrator; and/or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termination of such award.</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plan administrator has the authority to amend, suspend, or terminate the 2020 Plan or any portion thereof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provided that no amendment of the 2020 Plan shall materially and adversely affect (as determined by the plan administrator) any award outstanding at the time of such amendment without the participant’s consent. Our board shall obtain stockholder approval of any amendment to the extent necessary to comply with applicable laws.</w:t>
      </w:r>
    </w:p>
    <w:p>
      <w:pPr>
        <w:spacing w:after="0" w:line="29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9520" w:type="dxa"/>
            <w:vAlign w:val="bottom"/>
          </w:tcPr>
          <w:p>
            <w:pPr>
              <w:spacing w:after="0"/>
              <w:rPr>
                <w:sz w:val="20"/>
                <w:szCs w:val="20"/>
                <w:color w:val="auto"/>
              </w:rPr>
            </w:pPr>
            <w:r>
              <w:rPr>
                <w:rFonts w:ascii="Arial" w:cs="Arial" w:eastAsia="Arial" w:hAnsi="Arial"/>
                <w:sz w:val="18"/>
                <w:szCs w:val="18"/>
                <w:b w:val="1"/>
                <w:bCs w:val="1"/>
                <w:i w:val="1"/>
                <w:iCs w:val="1"/>
                <w:color w:val="auto"/>
              </w:rPr>
              <w:t>2021 Employee Stock Purchase Plan</w:t>
            </w:r>
          </w:p>
        </w:tc>
        <w:tc>
          <w:tcPr>
            <w:tcW w:w="1040" w:type="dxa"/>
            <w:vAlign w:val="bottom"/>
          </w:tcPr>
          <w:p>
            <w:pPr>
              <w:spacing w:after="0"/>
              <w:rPr>
                <w:sz w:val="20"/>
                <w:szCs w:val="20"/>
                <w:color w:val="auto"/>
              </w:rPr>
            </w:pPr>
          </w:p>
        </w:tc>
      </w:tr>
      <w:tr>
        <w:trPr>
          <w:trHeight w:val="324"/>
        </w:trPr>
        <w:tc>
          <w:tcPr>
            <w:tcW w:w="9520" w:type="dxa"/>
            <w:vAlign w:val="bottom"/>
          </w:tcPr>
          <w:p>
            <w:pPr>
              <w:spacing w:after="0"/>
              <w:rPr>
                <w:sz w:val="20"/>
                <w:szCs w:val="20"/>
                <w:color w:val="auto"/>
              </w:rPr>
            </w:pPr>
            <w:r>
              <w:rPr>
                <w:rFonts w:ascii="Arial" w:cs="Arial" w:eastAsia="Arial" w:hAnsi="Arial"/>
                <w:sz w:val="18"/>
                <w:szCs w:val="18"/>
                <w:color w:val="auto"/>
                <w:w w:val="93"/>
              </w:rPr>
              <w:t>Our board of directors adopted, and our stockholders approved, our 2021 Employee Stock Purchase Plan, or the 2021 ESPP, in</w:t>
            </w:r>
          </w:p>
        </w:tc>
        <w:tc>
          <w:tcPr>
            <w:tcW w:w="1040" w:type="dxa"/>
            <w:vAlign w:val="bottom"/>
          </w:tcPr>
          <w:p>
            <w:pPr>
              <w:ind w:left="200"/>
              <w:spacing w:after="0"/>
              <w:rPr>
                <w:sz w:val="20"/>
                <w:szCs w:val="20"/>
                <w:color w:val="auto"/>
              </w:rPr>
            </w:pPr>
            <w:r>
              <w:rPr>
                <w:rFonts w:ascii="Arial" w:cs="Arial" w:eastAsia="Arial" w:hAnsi="Arial"/>
                <w:sz w:val="18"/>
                <w:szCs w:val="18"/>
                <w:color w:val="auto"/>
                <w:w w:val="89"/>
              </w:rPr>
              <w:t>, 2021. The</w:t>
            </w:r>
          </w:p>
        </w:tc>
      </w:tr>
    </w:tbl>
    <w:p>
      <w:pPr>
        <w:jc w:val="both"/>
        <w:ind w:left="120" w:right="20"/>
        <w:spacing w:after="0" w:line="253" w:lineRule="auto"/>
        <w:rPr>
          <w:sz w:val="20"/>
          <w:szCs w:val="20"/>
          <w:color w:val="auto"/>
        </w:rPr>
      </w:pPr>
      <w:r>
        <w:rPr>
          <w:rFonts w:ascii="Arial" w:cs="Arial" w:eastAsia="Arial" w:hAnsi="Arial"/>
          <w:sz w:val="18"/>
          <w:szCs w:val="18"/>
          <w:color w:val="auto"/>
        </w:rPr>
        <w:t>2021 ESPP will become effective one day prior to the effective date of the registration statement of which this prospectus forms a part. The purpose of the 2021 ESPP is to secure the services of new employees, to retain the services of existing employees, and to provide incentives for such individuals to exert maximum efforts toward our success and that of our affiliates. The 2021 ESPP is intended to qualify as an “employee stock purchase plan” within the meaning of Section 423 of the Code for U.S. employees.</w:t>
      </w:r>
    </w:p>
    <w:p>
      <w:pPr>
        <w:spacing w:after="0" w:line="193"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Following this offering, the 2021 ESPP authorizes the issuance of shares of our common stock under purchase rights granted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or to employees of any of our designated affiliates. The 2021 ESPP will initially provide participating employees with the opportunity to</w:t>
      </w:r>
    </w:p>
    <w:p>
      <w:pPr>
        <w:jc w:val="both"/>
        <w:ind w:left="120" w:right="20"/>
        <w:spacing w:after="0" w:line="281" w:lineRule="auto"/>
        <w:rPr>
          <w:sz w:val="20"/>
          <w:szCs w:val="20"/>
          <w:color w:val="auto"/>
        </w:rPr>
      </w:pPr>
      <w:r>
        <w:rPr>
          <w:rFonts w:ascii="Arial" w:cs="Arial" w:eastAsia="Arial" w:hAnsi="Arial"/>
          <w:sz w:val="16"/>
          <w:szCs w:val="16"/>
          <w:color w:val="auto"/>
        </w:rPr>
        <w:t>purchase up to an aggregate of shares of our common stock. The number of shares of our common stock reserved for issuance will automatically increase on January 1 of each calendar year, starting on January 1, 2022 and continuing through January 1, 2031, by the lesser of (i) % of the total</w:t>
      </w:r>
    </w:p>
    <w:p>
      <w:pPr>
        <w:spacing w:after="0" w:line="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7"/>
          <w:szCs w:val="17"/>
          <w:color w:val="auto"/>
        </w:rPr>
        <w:t>number of shares of our common stock outstanding on the last day of the calendar month before the date of the automatic increase; and (ii) shares; provided that before the date of any such increase, our board of directors may determine that such increase will be less than the amount set forth in clauses (i) and (ii). As of the date hereof, no shares of our common stock have been purchased under the 2021 ESPP.</w:t>
      </w:r>
    </w:p>
    <w:p>
      <w:pPr>
        <w:spacing w:after="0" w:line="173"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intends to delegate concurrent authority to administer the 2021 ESPP to our compensation committee. The</w:t>
      </w:r>
      <w:r>
        <w:rPr>
          <w:rFonts w:ascii="Arial" w:cs="Arial" w:eastAsia="Arial" w:hAnsi="Arial"/>
          <w:sz w:val="16"/>
          <w:szCs w:val="16"/>
          <w:i w:val="1"/>
          <w:iCs w:val="1"/>
          <w:color w:val="auto"/>
        </w:rPr>
        <w:t xml:space="preserve"> </w:t>
      </w:r>
      <w:r>
        <w:rPr>
          <w:rFonts w:ascii="Arial" w:cs="Arial" w:eastAsia="Arial" w:hAnsi="Arial"/>
          <w:sz w:val="16"/>
          <w:szCs w:val="16"/>
          <w:color w:val="auto"/>
        </w:rPr>
        <w:t>2021 ESPP is implemented through a series of offerings under which eligible employees are granted purchase rights to purchase shares of our common stock on specified dates during such offerings. Under the 2021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2021 ESPP may be terminated under certain circumstances.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Payroll Deductions. </w:t>
      </w:r>
      <w:r>
        <w:rPr>
          <w:rFonts w:ascii="Arial" w:cs="Arial" w:eastAsia="Arial" w:hAnsi="Arial"/>
          <w:sz w:val="17"/>
          <w:szCs w:val="17"/>
          <w:color w:val="auto"/>
        </w:rPr>
        <w:t>Generally, all regular employees, including executive officers, employed by us or by any of our designated affiliates, may</w:t>
      </w:r>
    </w:p>
    <w:p>
      <w:pPr>
        <w:spacing w:after="0" w:line="35" w:lineRule="exact"/>
        <w:rPr>
          <w:sz w:val="20"/>
          <w:szCs w:val="20"/>
          <w:color w:val="auto"/>
        </w:rPr>
      </w:pPr>
    </w:p>
    <w:p>
      <w:pPr>
        <w:jc w:val="both"/>
        <w:ind w:left="120" w:right="20"/>
        <w:spacing w:after="0" w:line="295" w:lineRule="auto"/>
        <w:rPr>
          <w:sz w:val="20"/>
          <w:szCs w:val="20"/>
          <w:color w:val="auto"/>
        </w:rPr>
      </w:pPr>
      <w:r>
        <w:rPr>
          <w:rFonts w:ascii="Arial" w:cs="Arial" w:eastAsia="Arial" w:hAnsi="Arial"/>
          <w:sz w:val="16"/>
          <w:szCs w:val="16"/>
          <w:color w:val="auto"/>
        </w:rPr>
        <w:t>participate in the 2021 ESPP and may contribute, normally through payroll deductions, up to % of their earnings (as defined in the 2021 ESPP) for the purchase of our common stock under the 2021 ESPP. Unless otherwise determined by our board of directors, common stock will be purchased for the accounts of employees participating in the 2021 ESPP at a price per share that is at least the lesser of (i) 85% of the fair market value of a share of our common stock on the first date of an offering; or (ii) 85% of the fair market value of a share of our common stock on the date of purchase.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2021 ESPP, 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our board of directors, including (i) being customarily employed for more than 20 hours per week; (ii) being customarily employed for more than five months per calendar year; or (iii) continuous employment with us or one of our affiliates for a period of time (not to exceed two years). No employee may purchase shares under the 2021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2021 ESPP if immediately after such rights are granted, such employee has voting power over 5% or more of our outstanding capital stock measured by vote or value under Section 424(d) of the Code.</w:t>
      </w:r>
    </w:p>
    <w:p>
      <w:pPr>
        <w:spacing w:after="0" w:line="17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change in our capital structure through such actions as a stock split, merger,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2021 ESPP; (ii) the maximum number of shares by which the share reserve may increase automatically each year; (iii) the number of shares and purchase price of all outstanding purchase rights; and (iv) the number of shares that are subject to purchase limits under ongoing offerings.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In the event of certain significant corporate transactions, including (i) a sale of all or substantially all of our assets;</w:t>
      </w:r>
    </w:p>
    <w:p>
      <w:pPr>
        <w:spacing w:after="0" w:line="35" w:lineRule="exact"/>
        <w:rPr>
          <w:sz w:val="20"/>
          <w:szCs w:val="20"/>
          <w:color w:val="auto"/>
        </w:rPr>
      </w:pPr>
    </w:p>
    <w:p>
      <w:pPr>
        <w:jc w:val="both"/>
        <w:ind w:left="120" w:hanging="4"/>
        <w:spacing w:after="0" w:line="252" w:lineRule="auto"/>
        <w:tabs>
          <w:tab w:leader="none" w:pos="38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2021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or terminate our 2021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2021 ESPP, as required by applicable law or listing requirements.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1"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17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We have entered into indemnification agreements with each of our directors and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executive officers. We also maintain customary directors’ and officers’ liability insurance.</w:t>
      </w:r>
    </w:p>
    <w:p>
      <w:pPr>
        <w:spacing w:after="0" w:line="176"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6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Sales Plans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following is a description of transactions since our inception in June 2020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that are described under “Management—Non-Employee Director Compensation” and “Executive Compensation.”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 of Our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July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6,237,500 shares of our Series A preferred stock at a purchase price of $8.00 per share for aggregate gross proceeds of $49.9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A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A</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440" w:type="dxa"/>
            <w:vAlign w:val="bottom"/>
            <w:vMerge w:val="restart"/>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Mithril II LP</w:t>
            </w:r>
            <w:r>
              <w:rPr>
                <w:rFonts w:ascii="Arial" w:cs="Arial" w:eastAsia="Arial" w:hAnsi="Arial"/>
                <w:sz w:val="15"/>
                <w:szCs w:val="15"/>
                <w:color w:val="auto"/>
              </w:rPr>
              <w:t>(1)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1,250,000</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OrbiMed Private Investments VII, LP</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812,500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Polaris Partners</w:t>
            </w:r>
            <w:r>
              <w:rPr>
                <w:rFonts w:ascii="Arial" w:cs="Arial" w:eastAsia="Arial" w:hAnsi="Arial"/>
                <w:sz w:val="15"/>
                <w:szCs w:val="15"/>
                <w:color w:val="auto"/>
              </w:rPr>
              <w:t>(2)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687,500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5"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2"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29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In July 2020, we issued 5,000,000 shares of our Series A preferred stock in connection with entering into an assignment and license agreement, or the Adimab Assignment Agreement, with Adimab, LLC, or Adimab. At the time of issuance, the 5,000,000 shares of our Series A convertible preferred had a fair value of $40.0 million. Tillman U. Gerngross, Ph.D., a member of our board of directors and our Chief Executive Officer, is an officer and member of the board of directors of Adimab, Philip Chase, a member of our board of directors, is an officer and member of the board of directors of Adimab, Laura Walker, Ph.D., our Chief Scientific Officer, is an employee of Adimab, and Terrance McGuire and Ajay Royan, members of our board of directors, are members of the board of directors of Adimab. For more information regarding the Adimab Assignment Agreement, see the section titled “Business—Licensing, Collaborations and Partnerships—Assignment and License Agreement with Adimab.”</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October and November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1,410,434 shares of our Series B preferred stock at a purchase price of $56.72 per share for aggregate gross proceeds of $80.0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B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B</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Adimab, LLC</w:t>
            </w:r>
            <w:r>
              <w:rPr>
                <w:rFonts w:ascii="Arial" w:cs="Arial" w:eastAsia="Arial" w:hAnsi="Arial"/>
                <w:sz w:val="15"/>
                <w:szCs w:val="15"/>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44,076</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2,499,991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 xml:space="preserve">Mithril II LP </w:t>
            </w:r>
            <w:r>
              <w:rPr>
                <w:rFonts w:ascii="Arial" w:cs="Arial" w:eastAsia="Arial" w:hAnsi="Arial"/>
                <w:sz w:val="15"/>
                <w:szCs w:val="15"/>
                <w:color w:val="auto"/>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176,304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9,999,963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88,152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4,999,981</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Polaris Partners</w:t>
            </w:r>
            <w:r>
              <w:rPr>
                <w:rFonts w:ascii="Arial" w:cs="Arial" w:eastAsia="Arial" w:hAnsi="Arial"/>
                <w:sz w:val="15"/>
                <w:szCs w:val="15"/>
                <w:color w:val="auto"/>
              </w:rPr>
              <w:t>(3)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132,228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7,499,972</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GV</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352,609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FMR, LLC</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352,609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both"/>
        <w:ind w:left="540" w:right="20" w:hanging="424"/>
        <w:spacing w:after="0" w:line="253"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Tillman U. Gerngross, Ph.D., a member of our board of directors and our Chief Executive Officer, is an officer and member of the board of directors of Adimab, LLC, (b) Philip Chase, a member of our board of directors, is an officer and member of the board of directors of Adimab, LLC, (c) Laura Walker, Ph.D., our Chief Scientific Officer, is an employee of Adimab, LLC, and (d) Terrance McGuire and Ajay Royan, members of our board of directors, are members of the board of directors of Adimab, LLC. Adimab, LLC holds more than 5% of our capital stock prior to this offering.</w:t>
      </w:r>
    </w:p>
    <w:p>
      <w:pPr>
        <w:spacing w:after="0" w:line="3"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29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C Preferred Stock Financing</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April 2021,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4,296,550 shares of our Series C preferred stock at a purchase price of $78.08578 per share for aggregate gross proceeds of $335.5 million.</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C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C</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Adimab, LLC </w:t>
            </w:r>
            <w:r>
              <w:rPr>
                <w:rFonts w:ascii="Arial" w:cs="Arial" w:eastAsia="Arial" w:hAnsi="Arial"/>
                <w:sz w:val="15"/>
                <w:szCs w:val="15"/>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128,064</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9,999,977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 xml:space="preserve">Mithril II LP </w:t>
            </w:r>
            <w:r>
              <w:rPr>
                <w:rFonts w:ascii="Arial" w:cs="Arial" w:eastAsia="Arial" w:hAnsi="Arial"/>
                <w:sz w:val="15"/>
                <w:szCs w:val="15"/>
                <w:color w:val="auto"/>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422,612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32,999,988</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96,048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RA Capital Management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960,482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74,999,986</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Polaris Partners </w:t>
            </w:r>
            <w:r>
              <w:rPr>
                <w:rFonts w:ascii="Arial" w:cs="Arial" w:eastAsia="Arial" w:hAnsi="Arial"/>
                <w:sz w:val="15"/>
                <w:szCs w:val="15"/>
                <w:color w:val="auto"/>
              </w:rPr>
              <w:t>(3)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224,112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17,499,960</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96,048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640,321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right="20" w:hanging="424"/>
        <w:spacing w:after="0" w:line="253"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Tillman U. Gerngross, Ph.D., a member of our board of directors and our Chief Executive Officer, is an officer and member of the board of directors of Adimab, LLC, (b) Philip Chase, a member of our board of directors, is an officer and member of the board of directors of Adimab, LLC, (c) Laura Walker, Ph.D., our Chief Scientific Officer, is an employee of Adimab, LLC, and (d) Terrance McGuire and Ajay Royan, members of our board of directors, are members of the board of directors of Adimab, LLC. Adimab, LLC holds more than 5% of our capital stock prior to this offering.</w:t>
      </w:r>
    </w:p>
    <w:p>
      <w:pPr>
        <w:spacing w:after="0" w:line="3"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Adimab</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Assignment and License Agreement</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We have entered into the Adimab Assignment Agreement pursuant to which Adimab assigned to us all coronavirus antibodies controlled by it, patents claiming such antibodies, know-how related to such antibodies, and biological and chemical materials specifically related to such antibodies, and also granted us a non-exclusive, sublicensable, worldwide, royalty-bearing license to certain of its platform technology to research, develop, make, use and sell coronavirus antibodies and products containing or comprising coronavirus antibodies. In connection with the transfer of the rights acquired and license received, we issued to Adimab 5,000,000 shares of our Series A preferred stock, then having a fair value of $40.0 million. Concurrently, Adimab relinquished to us 4,250,000 shares of our common stock, then having a fair value of $85,000. As of June 28, 2021, Adimab held approximately 30.8% of our outstanding capital stock on an as-converted basis.</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We are also obligated to pay Adimab royalties of a mid single-digit percentage based on annual aggregate worldwide net sales of any Products, subject to reductions for third-party licenses, biosimilar competition and compulsory licensing.</w:t>
      </w:r>
    </w:p>
    <w:p>
      <w:pPr>
        <w:spacing w:after="0" w:line="1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February 2021, we achieved the first specified milestone under the agreement upon dosing of the first patient in a Phase 1 clinical trial evaluating ADG20, which obligated us to make a $1.0 million payment to Adimab. We made the payment in March 2021. In April 2021, we achieved the second specified milestone under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agreement upon dosing of the first patient in a Phase 2 clinical trial evaluating ADG20 for the prevention of COVID-19, which obligated us to make a $2.5 million payment to Adimab. We made the payment in June 2021. In addition, for the period from June 3, 2020 (inception) to December 31, 2020 and for the three months ended March 31, 2021, we paid Adimab $0.6 million and $0.2 million, respectively, in connection with services provided under the Adimab Assignment Agreement. As of December 31, 2020 and March 31, 2021, $0.6 million and $0.2 million, respectively, was due to Adimab by us.</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For more information on the Adimab Assignment Agreement, see the section titled “Business—Licensing, Collaborations and Partnerships— Assignment and License Agreement with Adimab.”</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Collaboration Agreement</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have also entered into the Adimab Collaboration Agreement, pursuant to which we and Adimab will collaborate on the discovery and optimization of proprietary antibodies as potential therapeutic product candidates. In the event that Adimab discovers an antibody that is expected to meet certain product profiles developed by us, we will have the exclusive option to require Adimab to assign to us its rights in any such antibody and to grant us certain licenses. We entered into the collaboration agreement in May 2021 and are obligated to pay Adimab a quarterly fee of $1.3 million, which obligation may be cancelled at our option at any time.</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For more information on the Adimab Collaboration Agreement, see the section titled “Business—Licensing, Collaborations and Partnerships— Collaboration Agreement with Adimab.”</w:t>
      </w:r>
    </w:p>
    <w:p>
      <w:pPr>
        <w:spacing w:after="0" w:line="170"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Certain of our directors and officers are affiliated with Adimab. Tillman U. Gerngross, Ph.D., a member of our board of directors, our co-founder and Chief Executive Officer and the beneficial owner of 30.8% of our capital stock as of June 28, 2021, is a co-founder and the currently serving Chief Executive Officer of Adimab. Laura Walker, Ph.D., our co-founder and Chief Scientific Officer and a beneficial owner of approximately 1% of our capital stock as of June 28, 2021, is the Senior Director of Antibody Sciences at Adimab. Terrance McGuire, a beneficial owner of 8.9% of our capital stock as of June 28, 2021, Ajay Royan, a beneficial owner of 10.2% of our capital stock as of June 28, 2021, and Philip Chase, a beneficial owner of 30.8% of our capital stock as of June 28, 2021, are each a member of our board of directors and the board of directors of Adimab.</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connection with the sales of preferred stock described above, we entered into an amended and restated investors’ rights agreement, an amended and restated voting agreement and an amended and restated right of first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refusal and co-sale agreement containing registration rights, information rights, voting rights and rights of first refusal, among other things, with the holders of our preferred stock. These agreements will terminate upon the closing of this offering, except for the registration rights granted under our amended and restated investors’ rights agreement, as more fully described in the section of this prospectus titled “Description of Capital Stock— Registration Rights.”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Agreements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entered into consulting agreements with certain of our non-employee directors. For more information regarding our consulting agreements with our non-executive directors, see “Management—Non-Employee Director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For more information regarding our employment agreements with our named executive officers, see “Executive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that will be in effect upon the closing of this offering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 —Limitations on Liability and Indemnification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In connection with this offering, we have adopted a related person transaction policy that sets forth our procedures for the identification, review, consideration and approval or ratification of related person transactions, which policy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17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reasonably necessary from each director, executive officer and, to the extent feasible, significant stockholder to 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82"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as of May 21, 2021 by:</w:t>
      </w:r>
    </w:p>
    <w:p>
      <w:pPr>
        <w:spacing w:after="0" w:line="131"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have determined beneficial ownership in accordance with the rules of the SEC. Under these rules, beneficial ownership includes any shares of common stock as to which the individual or entity has sole or shared voting power or investment power. Applicable percentage ownership is based on 18,063,332 shares of common stock outstanding as of May 21, 2021, after giving effect to the conversion of all outstanding shares of our preferred stock. In computing the number of shares beneficially owned by an individual or entity and the percentage ownership of that person, shares of common stock subject to options held by such person that are currently exercisable or will become exercisable within 60 days of May 21, 2021 are considered outstanding, although these shares are not considered outstanding for purposes of computing the percentage ownership of any other person.</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Unless noted otherwise, the address of all listed stockholders is c/o Adagio Therapeutics, Inc., 303 Wyman Street, Suite 300, Waltham, MA 02451.</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1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Percentage of Shares</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Shares</w:t>
            </w:r>
          </w:p>
        </w:tc>
        <w:tc>
          <w:tcPr>
            <w:tcW w:w="18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460" w:type="dxa"/>
            <w:vAlign w:val="bottom"/>
            <w:vMerge w:val="restart"/>
          </w:tcPr>
          <w:p>
            <w:pPr>
              <w:spacing w:after="0"/>
              <w:rPr>
                <w:sz w:val="10"/>
                <w:szCs w:val="10"/>
                <w:color w:val="auto"/>
              </w:rPr>
            </w:pPr>
          </w:p>
        </w:tc>
        <w:tc>
          <w:tcPr>
            <w:tcW w:w="298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104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Before</w:t>
            </w:r>
          </w:p>
        </w:tc>
        <w:tc>
          <w:tcPr>
            <w:tcW w:w="540" w:type="dxa"/>
            <w:vAlign w:val="bottom"/>
            <w:tcBorders>
              <w:top w:val="single" w:sz="8" w:color="auto"/>
            </w:tcBorders>
          </w:tcPr>
          <w:p>
            <w:pPr>
              <w:jc w:val="right"/>
              <w:ind w:right="12"/>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gridSpan w:val="3"/>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Owned</w:t>
            </w:r>
          </w:p>
        </w:tc>
        <w:tc>
          <w:tcPr>
            <w:tcW w:w="10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0"/>
        </w:trPr>
        <w:tc>
          <w:tcPr>
            <w:tcW w:w="508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Greater than 5% stockholders</w:t>
            </w:r>
          </w:p>
        </w:tc>
        <w:tc>
          <w:tcPr>
            <w:tcW w:w="29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Adimab, LLC (1)</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5,569,199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Entities affiliated with FMR, LLC (2).</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1,992,930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Mithril II LP (3)</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1,848,916</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Entities affiliated with Polaris Partners (4)</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1,606,340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Entities affiliated with GV (5)</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1,136,157</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OrbiMed Private Investments VII, LP (6)</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996,700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Entities affiliated with RA Capital Management (7)</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960,482</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Tillman U. Gerngross, Ph.D. (8)</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5,569,199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Lynn Connolly, M.D., Ph.D. (9)</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43,014</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Rebecca Dabora, Ph.D.</w:t>
            </w:r>
          </w:p>
        </w:tc>
        <w:tc>
          <w:tcPr>
            <w:tcW w:w="29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Jane Pritchett Henderson</w:t>
            </w:r>
          </w:p>
        </w:tc>
        <w:tc>
          <w:tcPr>
            <w:tcW w:w="29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Elham (Ellie) Hershberger, Pharm.D (10)</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25,412</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Halley Gilbert (11)</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132,353</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René Russo, Pharm.D. (12)</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397,059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Terrance McGuire (13)</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1,606,340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Ajay Royan (14)</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1,848,916</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Philip Chase (15)</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5,569,199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Howard Mayer, M.D.</w:t>
            </w:r>
          </w:p>
        </w:tc>
        <w:tc>
          <w:tcPr>
            <w:tcW w:w="29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All current executive officers and directors as a group (11 persons)</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9,622,293</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860" w:type="dxa"/>
            <w:vAlign w:val="bottom"/>
            <w:gridSpan w:val="2"/>
          </w:tcPr>
          <w:p>
            <w:pPr>
              <w:spacing w:after="0"/>
              <w:rPr>
                <w:sz w:val="11"/>
                <w:szCs w:val="11"/>
                <w:color w:val="auto"/>
              </w:rPr>
            </w:pPr>
          </w:p>
        </w:tc>
        <w:tc>
          <w:tcPr>
            <w:tcW w:w="2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gridSpan w:val="3"/>
          </w:tcPr>
          <w:p>
            <w:pPr>
              <w:ind w:left="200"/>
              <w:spacing w:after="0"/>
              <w:rPr>
                <w:sz w:val="20"/>
                <w:szCs w:val="20"/>
                <w:color w:val="auto"/>
              </w:rPr>
            </w:pPr>
            <w:r>
              <w:rPr>
                <w:rFonts w:ascii="Arial" w:cs="Arial" w:eastAsia="Arial" w:hAnsi="Arial"/>
                <w:sz w:val="18"/>
                <w:szCs w:val="18"/>
                <w:color w:val="auto"/>
              </w:rPr>
              <w:t>Represents beneficial ownership of less than one percent.</w:t>
            </w:r>
          </w:p>
        </w:tc>
        <w:tc>
          <w:tcPr>
            <w:tcW w:w="2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980" w:type="dxa"/>
            <w:vAlign w:val="bottom"/>
          </w:tcPr>
          <w:p>
            <w:pPr>
              <w:jc w:val="right"/>
              <w:ind w:right="2330"/>
              <w:spacing w:after="0"/>
              <w:rPr>
                <w:sz w:val="20"/>
                <w:szCs w:val="20"/>
                <w:color w:val="auto"/>
              </w:rPr>
            </w:pPr>
            <w:r>
              <w:rPr>
                <w:rFonts w:ascii="Arial" w:cs="Arial" w:eastAsia="Arial" w:hAnsi="Arial"/>
                <w:sz w:val="18"/>
                <w:szCs w:val="18"/>
                <w:color w:val="auto"/>
              </w:rPr>
              <w:t>184</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68" w:lineRule="auto"/>
        <w:tabs>
          <w:tab w:leader="none" w:pos="5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Consists of (a) 397,059 shares of common stock, (b) 5,000,000 shares of common stock issuable upon conversion of Series A preferred stock, (c) 44,076 shares of common stock issuable upon conversion of Series B preferred stock and (d) 128,064 shares of common stock issuable upon conversion of Series C preferred stock. Tillman U. Gerngross, a member of our board of directors and our Chief Executive Officer, Philip Chase, a member of our board of directors, are each an officer and a member of the board of directors of Adimab, LLC and may be deemed to have shared voting and investment power with respect to the shares held by Adimab, LLC.</w:t>
      </w:r>
    </w:p>
    <w:p>
      <w:pPr>
        <w:spacing w:after="0" w:line="2" w:lineRule="exact"/>
        <w:rPr>
          <w:rFonts w:ascii="Arial" w:cs="Arial" w:eastAsia="Arial" w:hAnsi="Arial"/>
          <w:sz w:val="17"/>
          <w:szCs w:val="17"/>
          <w:color w:val="auto"/>
        </w:rPr>
      </w:pPr>
    </w:p>
    <w:p>
      <w:pPr>
        <w:jc w:val="both"/>
        <w:ind w:left="540" w:hanging="424"/>
        <w:spacing w:after="0" w:line="267" w:lineRule="auto"/>
        <w:tabs>
          <w:tab w:leader="none" w:pos="5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Consists of (a) (i) 439,872 shares of common stock issuable upon conversion of Series A preferred stock, (ii) 137,700 shares of common stock issuable upon conversion of Series B preferred stock and (iii) 252,152 shares of common stock issuable upon conversion of Series C preferred stock held by Mag &amp; Co fbo Fidelity Growth Company Commingled Pool (FGCCP), (b) (i) 413,930 shares of common stock issuable upon conversion of Series A preferred stock, (ii) 149,500 shares of common stock issuable upon conversion of Series B preferred stock and (iii) 237,437 shares of common stock issuable upon conversion of Series C preferred stock held by Powhatan &amp; Co., LLC fbo Fidelity Mt. Vernon Street Trust: Fidelity Growth Company Fund (FGCF), (c) (i) 90,362 shares of common stock issuable upon conversion of Series A preferred stock, (ii) 28,136 shares of common stock issuable upon conversion of Series B preferred stock and (iii) 53,288 shares of common stock issuable upon conversion of Series C preferred stock held by Mag &amp; Co fbo Fidelity Mt. Vernon Street Trust: Fidelity Series Growth Company Fund (FSGCF), (d) (i) 55,836 shares of common stock issuable upon conversion of Series A preferred stock, (ii) 18,173 shares of common stock issuable upon conversion of Series B preferred stock and (iii) 97,444 shares of common stock issuable upon conversion of Series C preferred stock held by Powhatan &amp; Co., LLC fbo Fidelity Mt. Vernon Street Trust: Fidelity Growth Company K6 Fund (FGCKF), and (e) 19,100 shares of common stock issuable upon conversion of Series B preferred stock held by Mag &amp; Co fbo Fidelity Select Portfolios: Biotechnology Portfolio (FSPBP, together with FGCCP, FGCF, FSGCF and FGCKF, the Fidelity Funds).</w:t>
      </w:r>
    </w:p>
    <w:p>
      <w:pPr>
        <w:spacing w:after="0" w:line="74" w:lineRule="exact"/>
        <w:rPr>
          <w:rFonts w:ascii="Arial" w:cs="Arial" w:eastAsia="Arial" w:hAnsi="Arial"/>
          <w:sz w:val="17"/>
          <w:szCs w:val="17"/>
          <w:color w:val="auto"/>
        </w:rPr>
      </w:pPr>
    </w:p>
    <w:p>
      <w:pPr>
        <w:ind w:left="560" w:right="20"/>
        <w:spacing w:after="0" w:line="277" w:lineRule="auto"/>
        <w:rPr>
          <w:rFonts w:ascii="Arial" w:cs="Arial" w:eastAsia="Arial" w:hAnsi="Arial"/>
          <w:sz w:val="17"/>
          <w:szCs w:val="17"/>
          <w:color w:val="auto"/>
        </w:rPr>
      </w:pPr>
      <w:r>
        <w:rPr>
          <w:rFonts w:ascii="Arial" w:cs="Arial" w:eastAsia="Arial" w:hAnsi="Arial"/>
          <w:sz w:val="18"/>
          <w:szCs w:val="18"/>
          <w:color w:val="auto"/>
        </w:rPr>
        <w:t>The Fidelity Funds are managed by direct or indirect subsidiaries of FMR LLC. Abigail P. Johnson is a Director, the Chairman, the Chief Executive Officer and the President of FMR LLC.</w:t>
      </w:r>
    </w:p>
    <w:p>
      <w:pPr>
        <w:spacing w:after="0" w:line="62" w:lineRule="exact"/>
        <w:rPr>
          <w:rFonts w:ascii="Arial" w:cs="Arial" w:eastAsia="Arial" w:hAnsi="Arial"/>
          <w:sz w:val="17"/>
          <w:szCs w:val="17"/>
          <w:color w:val="auto"/>
        </w:rPr>
      </w:pPr>
    </w:p>
    <w:p>
      <w:pPr>
        <w:jc w:val="both"/>
        <w:ind w:left="560"/>
        <w:spacing w:after="0" w:line="255" w:lineRule="auto"/>
        <w:rPr>
          <w:rFonts w:ascii="Arial" w:cs="Arial" w:eastAsia="Arial" w:hAnsi="Arial"/>
          <w:sz w:val="17"/>
          <w:szCs w:val="17"/>
          <w:color w:val="auto"/>
        </w:rPr>
      </w:pPr>
      <w:r>
        <w:rPr>
          <w:rFonts w:ascii="Arial" w:cs="Arial" w:eastAsia="Arial" w:hAnsi="Arial"/>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84" w:lineRule="exact"/>
        <w:rPr>
          <w:rFonts w:ascii="Arial" w:cs="Arial" w:eastAsia="Arial" w:hAnsi="Arial"/>
          <w:sz w:val="17"/>
          <w:szCs w:val="17"/>
          <w:color w:val="auto"/>
        </w:rPr>
      </w:pPr>
    </w:p>
    <w:p>
      <w:pPr>
        <w:jc w:val="both"/>
        <w:ind w:left="560" w:right="20"/>
        <w:spacing w:after="0" w:line="279" w:lineRule="auto"/>
        <w:rPr>
          <w:rFonts w:ascii="Arial" w:cs="Arial" w:eastAsia="Arial" w:hAnsi="Arial"/>
          <w:sz w:val="17"/>
          <w:szCs w:val="17"/>
          <w:color w:val="auto"/>
        </w:rPr>
      </w:pPr>
      <w:r>
        <w:rPr>
          <w:rFonts w:ascii="Arial" w:cs="Arial" w:eastAsia="Arial" w:hAnsi="Arial"/>
          <w:sz w:val="17"/>
          <w:szCs w:val="17"/>
          <w:color w:val="auto"/>
        </w:rPr>
        <w:t>Neither FMR LLC nor Abigail P. Johnson has the sole power to vote or direct the voting of the shares owned directly by the various investment companies registered under the Investment Company Act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63" w:lineRule="exact"/>
        <w:rPr>
          <w:rFonts w:ascii="Arial" w:cs="Arial" w:eastAsia="Arial" w:hAnsi="Arial"/>
          <w:sz w:val="17"/>
          <w:szCs w:val="17"/>
          <w:color w:val="auto"/>
        </w:rPr>
      </w:pPr>
    </w:p>
    <w:p>
      <w:pPr>
        <w:ind w:left="560" w:right="20"/>
        <w:spacing w:after="0" w:line="277" w:lineRule="auto"/>
        <w:rPr>
          <w:rFonts w:ascii="Arial" w:cs="Arial" w:eastAsia="Arial" w:hAnsi="Arial"/>
          <w:sz w:val="17"/>
          <w:szCs w:val="17"/>
          <w:color w:val="auto"/>
        </w:rPr>
      </w:pPr>
      <w:r>
        <w:rPr>
          <w:rFonts w:ascii="Arial" w:cs="Arial" w:eastAsia="Arial" w:hAnsi="Arial"/>
          <w:sz w:val="18"/>
          <w:szCs w:val="18"/>
          <w:color w:val="auto"/>
        </w:rPr>
        <w:t>The principal business address for FSGCF, FGCCP and FSPBP referenced in this footnote is c/o Brown Brothers Harriman &amp; Co. Attn: Corporate Actions /Vault 140 Broadway New York, NY 10005.</w:t>
      </w:r>
    </w:p>
    <w:p>
      <w:pPr>
        <w:spacing w:after="0" w:line="62"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7"/>
          <w:szCs w:val="17"/>
          <w:color w:val="auto"/>
        </w:rPr>
        <w:t>The principal business address for FGCF and FGCKF referenced in this footnote is c/o BNY Mellon PO Box 392002, Pittsburgh PA 15230.</w:t>
      </w:r>
    </w:p>
    <w:p>
      <w:pPr>
        <w:spacing w:after="0" w:line="34" w:lineRule="exact"/>
        <w:rPr>
          <w:rFonts w:ascii="Arial" w:cs="Arial" w:eastAsia="Arial" w:hAnsi="Arial"/>
          <w:sz w:val="17"/>
          <w:szCs w:val="17"/>
          <w:color w:val="auto"/>
        </w:rPr>
      </w:pPr>
    </w:p>
    <w:p>
      <w:pPr>
        <w:jc w:val="both"/>
        <w:ind w:left="540" w:right="20" w:hanging="424"/>
        <w:spacing w:after="0" w:line="253"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(a) 1,250,000 shares of common stock issuable upon conversion of Series A preferred stock, (b) 176,304 shares of common stock issuable upon conversion of Series B preferred stock and (c) 422,612 shares of common stock issuable upon conversion of Series C preferred stock. Ajay Royan, a member of our board of directors, is the Managing General Partner and Founder of Mithril Capital Management LLC, (“MCM”). MCM is a management company that manages Mithril II LP and is appointed by Mithril II GP LP (“GP II”), the general partner of Mithril II LP. Peter Thiel and Ajay Royan are the members of the investment</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8" w:lineRule="auto"/>
        <w:rPr>
          <w:sz w:val="20"/>
          <w:szCs w:val="20"/>
          <w:color w:val="auto"/>
        </w:rPr>
      </w:pPr>
      <w:r>
        <w:rPr>
          <w:rFonts w:ascii="Arial" w:cs="Arial" w:eastAsia="Arial" w:hAnsi="Arial"/>
          <w:sz w:val="18"/>
          <w:szCs w:val="18"/>
          <w:color w:val="auto"/>
        </w:rPr>
        <w:t>committee GP II. The investment committee makes all investment decisions with respect to these entities and may be deemed to share voting and investment power over the securities held by Mithril II LP.</w:t>
      </w:r>
    </w:p>
    <w:p>
      <w:pPr>
        <w:spacing w:after="0" w:line="1" w:lineRule="exact"/>
        <w:rPr>
          <w:sz w:val="20"/>
          <w:szCs w:val="20"/>
          <w:color w:val="auto"/>
        </w:rPr>
      </w:pPr>
    </w:p>
    <w:p>
      <w:pPr>
        <w:jc w:val="both"/>
        <w:ind w:left="540" w:right="20" w:hanging="424"/>
        <w:spacing w:after="0" w:line="281" w:lineRule="auto"/>
        <w:tabs>
          <w:tab w:leader="none" w:pos="5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Consists of (a) (i) 361,850 shares of common stock issuable upon conversion of Series A preferred stock, (ii) 85,061 shares of common stock issuable upon conversion of Series B preferred stock and (iii) 123,574 shares of common stock issuable upon conversion of Series C preferred stock held by Polaris Venture Partners V, L.P. (PVP V), (b) (i) 7,052 shares of common stock issuable upon conversion of Series A preferred stock,</w:t>
      </w:r>
    </w:p>
    <w:p>
      <w:pPr>
        <w:spacing w:after="0" w:line="1" w:lineRule="exact"/>
        <w:rPr>
          <w:rFonts w:ascii="Arial" w:cs="Arial" w:eastAsia="Arial" w:hAnsi="Arial"/>
          <w:sz w:val="16"/>
          <w:szCs w:val="16"/>
          <w:color w:val="auto"/>
        </w:rPr>
      </w:pPr>
    </w:p>
    <w:p>
      <w:pPr>
        <w:jc w:val="both"/>
        <w:ind w:left="540" w:firstLine="8"/>
        <w:spacing w:after="0" w:line="267" w:lineRule="auto"/>
        <w:tabs>
          <w:tab w:leader="none" w:pos="823" w:val="left"/>
        </w:tabs>
        <w:numPr>
          <w:ilvl w:val="1"/>
          <w:numId w:val="120"/>
        </w:numPr>
        <w:rPr>
          <w:rFonts w:ascii="Arial" w:cs="Arial" w:eastAsia="Arial" w:hAnsi="Arial"/>
          <w:sz w:val="17"/>
          <w:szCs w:val="17"/>
          <w:color w:val="auto"/>
        </w:rPr>
      </w:pPr>
      <w:r>
        <w:rPr>
          <w:rFonts w:ascii="Arial" w:cs="Arial" w:eastAsia="Arial" w:hAnsi="Arial"/>
          <w:sz w:val="17"/>
          <w:szCs w:val="17"/>
          <w:color w:val="auto"/>
        </w:rPr>
        <w:t>1,658 shares of common stock issuable upon conversion of Series B preferred stock and (iii) 2,409 shares of common stock issuable upon conversion of Series C preferred stock held by Polaris Venture Partners Entrepreneurs’ Fund V, L.P. (PVPEF V), (c) (i) 2,479 shares of common stock issuable upon conversion of Series A preferred stock, (ii) 583 shares of common stock issuable upon conversion of Series B preferred stock and (iii) 846 shares of common stock issuable upon conversion of Series C preferred stock held by Polaris Venture Partners Founders’ Fund V, L.P. (PVPFF V), (d) (i) 3,619 shares of common stock issuable upon conversion of Series A preferred stock, (ii) 850 shares of common stock issuable upon conversion of Series B convertible preferred stock and (iii) 1,235 shares of common stock issuable upon conversion of Series C preferred stock held by Polaris Venture Partners Special Founders’ Fund V, L.P. (PVPSFF V, together with PVP V, PVPEF V, and PVPFF V, the Polaris V Funds), (e) (i) 875,000 shares of common stock issuable upon conversion of Series A preferred stock, (ii) 44,076 shares of common stock issuable upon conversion of Series B preferred stock and (iii) 32,016 shares of common stock issuable upon conversion of Series C preferred stock held by Polaris Partners IX, L.P. (PP IX), and (f) 64,032 shares of common stock issuable upon conversion of Series C preferred stock held by Polaris Healthcare Technology Opportunities Fund, L.P. (PHCT).</w:t>
      </w:r>
    </w:p>
    <w:p>
      <w:pPr>
        <w:spacing w:after="0" w:line="78"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Polaris Venture Management Co. V, L.L.C. (PVM V) is the general partner of each of the Polaris V Funds and may be deemed to have shared voting and investment power with respect to the shares held by each of the Polaris V Funds. Jonathan A. Flint and Mr. McGuire (collectively, the PVM V Managing Members) are the managing members of PVM V and may be deemed to have shared voting and investment power with respect to the shares held by each of the Polaris V Funds.</w:t>
      </w:r>
    </w:p>
    <w:p>
      <w:pPr>
        <w:spacing w:after="0" w:line="79"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8"/>
          <w:szCs w:val="18"/>
          <w:color w:val="auto"/>
        </w:rPr>
        <w:t>Polaris Partners GP IX, L.L.C. (PP GP IX) is the general partner of PP IX and may be deemed to have shared voting and investment power with respect to the shares held by PP IX. David Barrett, Brian Chee, Amir Nashat and Amy Schulman (collectively, the PP GP IX Managing Members) are the managing members of PP GP IX and Mr. McGuire holds an interest in PP GP IX. Each of the PP GP IX Managing Members and Mr. McGuire, in their respective capacities with respect to PP GP IX, may be deemed to have shared voting and investment power with respect to the shares held by PP IX.</w:t>
      </w:r>
    </w:p>
    <w:p>
      <w:pPr>
        <w:spacing w:after="0" w:line="80"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8"/>
          <w:szCs w:val="18"/>
          <w:color w:val="auto"/>
        </w:rPr>
        <w:t>Polaris Healthcare Technology Opportunities Fund GP, L.L.C. (PHCT GP) is the general partner of PHCT and may be deemed to have shared voting and investment power with respect to the shares held by PHCT. David Barrett, Brian Chee, Amir Nashat and Amy Schulman (collectively, the PHCT GP Managing Members) are the managing members of PHCT GP and Mr. McGuire holds an interest in PHCT GP. Each of the PHCT GP Managing Members and Mr. McGuire, in their respective capacities with respect to PHCT GP, may be deemed to have shared voting and investment power with respect to the shares held by PHCT.</w:t>
      </w:r>
    </w:p>
    <w:p>
      <w:pPr>
        <w:spacing w:after="0" w:line="80" w:lineRule="exact"/>
        <w:rPr>
          <w:sz w:val="20"/>
          <w:szCs w:val="20"/>
          <w:color w:val="auto"/>
        </w:rPr>
      </w:pPr>
    </w:p>
    <w:p>
      <w:pPr>
        <w:jc w:val="both"/>
        <w:ind w:left="560" w:right="20"/>
        <w:spacing w:after="0" w:line="258" w:lineRule="auto"/>
        <w:rPr>
          <w:sz w:val="20"/>
          <w:szCs w:val="20"/>
          <w:color w:val="auto"/>
        </w:rPr>
      </w:pPr>
      <w:r>
        <w:rPr>
          <w:rFonts w:ascii="Arial" w:cs="Arial" w:eastAsia="Arial" w:hAnsi="Arial"/>
          <w:sz w:val="18"/>
          <w:szCs w:val="18"/>
          <w:color w:val="auto"/>
        </w:rPr>
        <w:t>The principal business address for all entities and individuals referenced in this footnote is c/o Polaris Partners, One Marina Park Drive, 10th Floor, Boston, Massachusetts 02210.</w:t>
      </w:r>
    </w:p>
    <w:p>
      <w:pPr>
        <w:spacing w:after="0" w:line="1" w:lineRule="exact"/>
        <w:rPr>
          <w:sz w:val="20"/>
          <w:szCs w:val="20"/>
          <w:color w:val="auto"/>
        </w:rPr>
      </w:pPr>
    </w:p>
    <w:p>
      <w:pPr>
        <w:jc w:val="both"/>
        <w:ind w:left="540" w:right="20" w:hanging="424"/>
        <w:spacing w:after="0" w:line="255"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(a) 687,500 shares of common stock issuable upon conversion of Series A preferred stock held by GV 2019, L.P. (GV 2019), (b) 352,609 shares of common stock issuable upon conversion of Series B preferred stock held by GV 2019, and (c) 96,048 shares of common stock issuable upon conversion of Series C preferred stock held by GV 2021, L.P. (GV 2021).</w:t>
      </w:r>
    </w:p>
    <w:p>
      <w:pPr>
        <w:spacing w:after="0" w:line="81" w:lineRule="exact"/>
        <w:rPr>
          <w:rFonts w:ascii="Arial" w:cs="Arial" w:eastAsia="Arial" w:hAnsi="Arial"/>
          <w:sz w:val="18"/>
          <w:szCs w:val="18"/>
          <w:color w:val="auto"/>
        </w:rPr>
      </w:pPr>
    </w:p>
    <w:p>
      <w:pPr>
        <w:jc w:val="both"/>
        <w:ind w:left="560" w:right="20"/>
        <w:spacing w:after="0" w:line="259" w:lineRule="auto"/>
        <w:rPr>
          <w:rFonts w:ascii="Arial" w:cs="Arial" w:eastAsia="Arial" w:hAnsi="Arial"/>
          <w:sz w:val="18"/>
          <w:szCs w:val="18"/>
          <w:color w:val="auto"/>
        </w:rPr>
      </w:pPr>
      <w:r>
        <w:rPr>
          <w:rFonts w:ascii="Arial" w:cs="Arial" w:eastAsia="Arial" w:hAnsi="Arial"/>
          <w:sz w:val="18"/>
          <w:szCs w:val="18"/>
          <w:color w:val="auto"/>
        </w:rPr>
        <w:t>GV 2019 GP, L.P., the general partner of GV 2019, GV 2019 GP, L.L.C., the general partner of GV 2019 GP, L.P., Alphabet Holdings LLC, the managing member of GV 2019 GP, L.L.C., XXVI Holdings Inc., the managing member of Alphabet Holdings LLC, and Alphabet Inc., the controlling stockholder of XXVI Holdings Inc., may each be deemed to have shared voting and investment power with respect to the shares held GV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GV 2021 GP, L.P., the general partner of GV 2021, GV 2021 GP, L.L.C., the general partner of GV 2021 GP, L.P., Alphabet Holdings LLC, the managing member of GV 2021 GP, L.L.C., XXVI Holdings Inc., the managing member of Alphabet Holdings LLC, and Alphabet Inc., the controlling stockholder of XXVI Holdings Inc., may each be deemed to have shared voting and investment power with respect to the shares held GV 2021.</w:t>
      </w:r>
    </w:p>
    <w:p>
      <w:pPr>
        <w:spacing w:after="0" w:line="79"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Each of the entities described above as being affiliated with GV 2019, L.P. and/or GV 2021, L.P. is subject to the ultimate control of Alphabet Inc., a publicly traded company.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business address for all entities referenced in this footnote is 1600 Amphitheatre Parkway, Mountain View, CA 94043.</w:t>
      </w:r>
    </w:p>
    <w:p>
      <w:pPr>
        <w:spacing w:after="0" w:line="23" w:lineRule="exact"/>
        <w:rPr>
          <w:sz w:val="20"/>
          <w:szCs w:val="20"/>
          <w:color w:val="auto"/>
        </w:rPr>
      </w:pPr>
    </w:p>
    <w:p>
      <w:pPr>
        <w:jc w:val="both"/>
        <w:ind w:left="540" w:hanging="424"/>
        <w:spacing w:after="0" w:line="250"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Consists of (a) 812,500 shares of common stock issuable upon conversion of Series A preferred stock, (b) 88,152 shares of common stock issuable upon conversion of Series B preferred stock and (c) 96,048 shares of common stock issuable upon conversion of Series C preferred stock. OrbiMed Capital GP VII LLC (OrbiMed GP VII) is the general partner of OrbiMed Private Investments VII, LP (OPI VII). OrbiMed Advisors LLC (OrbiMed Advisors) is the managing member of OrbiMed GP VII. OrbiMed GP VII and OrbiMed Advisors may be deemed to have shared voting and investment power with respect to the shares held by OPI VII. OrbiMed Advisors exercises investment and voting power through a management committee comprised of Carl L. Gordon, Sven H. Borho and Jonathan T. Silverstein, each of whom disclaims beneficial ownership of the shares held by OPI VII.</w:t>
      </w:r>
    </w:p>
    <w:p>
      <w:pPr>
        <w:spacing w:after="0" w:line="2"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Consists of (a) 816,410 shares of common stock issuable upon conversion of Series C preferred stock held by RA Capital Healthcare Fund, L.P. (RA Healthcare), and (b) 144,072 shares of common stock issuable upon conversion of Series C preferred stock held by RA Capital Nexus Fund II, L.P. (Nexus II). RA Capital Management, L.P., is the investment manager for RA Healthcare and Nexus II. The general partner of RA Capital Management, L.P., is RA Capital Management GP, LLC, of which Peter Kolchinsky and Rajeev Shah are the managing members. RA Capital Management, L.P., RA Capital Management GP, LLC, Peter Kolchinsky and Rajeev Shah may be deemed to have shared voting and investment power with respect to the shares held RA Healthcare and Nexus II. The address of all entities and individuals referenced in this footnote is 200 Berkeley Street, 18th Floor, Boston, Massachusetts 02116.</w:t>
      </w:r>
    </w:p>
    <w:p>
      <w:pPr>
        <w:spacing w:after="0" w:line="2" w:lineRule="exact"/>
        <w:rPr>
          <w:rFonts w:ascii="Arial" w:cs="Arial" w:eastAsia="Arial" w:hAnsi="Arial"/>
          <w:sz w:val="18"/>
          <w:szCs w:val="18"/>
          <w:color w:val="auto"/>
        </w:rPr>
      </w:pPr>
    </w:p>
    <w:p>
      <w:pPr>
        <w:jc w:val="both"/>
        <w:ind w:left="540" w:right="20" w:hanging="424"/>
        <w:spacing w:after="0" w:line="265" w:lineRule="auto"/>
        <w:tabs>
          <w:tab w:leader="none" w:pos="5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Consists of (a) 397,059 shares of common stock, (b) 5,000,000 shares of common stock issuable upon conversion of Series A preferred stock, (c) 44,076 shares of common stock issuable upon conversion of Series B preferred stock and (d) 128,064 shares of common stock issuable upon conversion of Series C preferred stock held by Adimab, LLC. Dr. Gerngross is an officer and member of the board of directors of Adimab, LLC and may be deemed to have shared voting and investment power with respect to the shares held by Adimab, LLC.</w:t>
      </w: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Consists of 43,014 shares of common stock issuable upon the exercise of options within 60 days of May 21, 2021.</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Consists of 25,412 shares of common stock. Shares are subject to a right of repurchase in favor of us at the original option exercise price that lapses in accordance with such vesting schedule.</w:t>
      </w:r>
    </w:p>
    <w:p>
      <w:pPr>
        <w:ind w:left="540" w:right="20" w:hanging="424"/>
        <w:spacing w:after="0" w:line="250"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Consists of 132,353 shares of common stock. Shares are subject to a right of repurchase in favor of us at the original option exercise price that lapses in accordance with such vesting schedule.</w:t>
      </w:r>
    </w:p>
    <w:p>
      <w:pPr>
        <w:ind w:left="540" w:right="20" w:hanging="424"/>
        <w:spacing w:after="0" w:line="250"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Consists of 397,059 shares of common stock. Shares are subject to a right of repurchase in favor of us at the original option exercise price that lapses in accordance with such vesting schedule.</w:t>
      </w:r>
    </w:p>
    <w:p>
      <w:pPr>
        <w:jc w:val="both"/>
        <w:ind w:left="540" w:hanging="424"/>
        <w:spacing w:after="0" w:line="268" w:lineRule="auto"/>
        <w:tabs>
          <w:tab w:leader="none" w:pos="5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Consists of (a) (i) 361,850 shares of common stock issuable upon conversion of Series A preferred stock, (ii) 85,061 shares of common stock issuable upon conversion of Series B preferred stock and (iii) 123,574 shares of common stock issuable upon conversion of Series C preferred stock held by PVP V, (b) (i) 7,052 shares of common stock issuable upon conversion of Series A preferred stock, (ii) 1,658 shares of common stock issuable upon conversion of Series B preferred stock and (iii) 2,409 shares of common stock issuable upon conversion of Series C preferred stock held by PVPEF V, (c) (i) 2,479 shares of common stock issuable upon conversion of Series A preferred stock, (ii) 583 shares of common stock issuable upon conversion of Series B preferred stock and (iii) 846 shares of common stock issuable upon conversion of Series C preferred stock held by PVPFF V, (d) (i) 3,619 shares of common stock issuable upon conversion of Series A preferred stock, (ii) 850 shares of common stock issuable upon conversion of Series B preferred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spacing w:after="0" w:line="285" w:lineRule="auto"/>
        <w:rPr>
          <w:sz w:val="20"/>
          <w:szCs w:val="20"/>
          <w:color w:val="auto"/>
        </w:rPr>
      </w:pPr>
      <w:r>
        <w:rPr>
          <w:rFonts w:ascii="Arial" w:cs="Arial" w:eastAsia="Arial" w:hAnsi="Arial"/>
          <w:sz w:val="16"/>
          <w:szCs w:val="16"/>
          <w:color w:val="auto"/>
        </w:rPr>
        <w:t>stock and (iii) 1,235 shares of common stock issuable upon conversion of Series C preferred stock held by PVPSFF V, (e) (i) 875,000 shares of common stock issuable upon conversion of Series A preferred stock, (ii) 44,076 shares of common stock issuable upon conversion of Series B preferred stock and (iii) 32,016 shares of common stock issuable upon conversion of Series C preferred stock held by PP IX, and (f) 64,032 shares of common stock issuable upon conversion of Series C preferred stock held by PHCT. Mr. McGuire is a Founding Partner of Polaris Partners and may be deemed to have shared voting and investment power with respect to the shares held by all entities affiliated with Polaris Partners.</w:t>
      </w:r>
    </w:p>
    <w:p>
      <w:pPr>
        <w:spacing w:after="0" w:line="2" w:lineRule="exact"/>
        <w:rPr>
          <w:sz w:val="20"/>
          <w:szCs w:val="20"/>
          <w:color w:val="auto"/>
        </w:rPr>
      </w:pPr>
    </w:p>
    <w:p>
      <w:pPr>
        <w:jc w:val="both"/>
        <w:ind w:left="540" w:hanging="424"/>
        <w:spacing w:after="0" w:line="265" w:lineRule="auto"/>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Consists of (a) 1,250,000 shares of common stock issuable upon conversion of Series A preferred stock, (b) 176,304 shares of common stock issuable upon conversion of Series B preferred stock and (c) 422,612 shares of common stock issuable upon conversion of Series C preferred stock held by Mithril II LP. Mr. Royan is the Managing General Partner and Founder of Mithril Capital Management LLC (“MCM”). MCM is a management company that manages Mithril II LP and is appointed by Mithril II GP LP (“GP II”), the general partner of Mithril II LP. Peter Thiel and Ajay Royan are the members of the investment committee GP II. The investment committee makes all investment decisions with respect to these entities and may be deemed to share voting and investment power over the securities held by Mithril II LP.</w:t>
      </w:r>
    </w:p>
    <w:p>
      <w:pPr>
        <w:jc w:val="both"/>
        <w:ind w:left="540" w:hanging="424"/>
        <w:spacing w:after="0" w:line="273" w:lineRule="auto"/>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Consists of (a) 397,059 shares of common stock, (b) 5,000,000 shares of common stock issuable upon conversion of Series A preferred stock, (c) 44,076 shares of common stock issuable upon conversion of Series B preferred stock and (d) 128,064 shares of common stock issuable upon conversion of Series C preferred stock held by Adimab, LLC. Mr. Chase is an officer and member of the board of directors of Adimab, LLC and may be deemed to have shared voting and investment power with respect to the shares held by Adimab, LLC.</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auto"/>
        </w:rPr>
        <w:t>The following description of our capital stock, certain provisions of our amended and restated certificate of incorporation and amended and restated bylaws, as each will be in effect following the completion of this offering, and certain provisions of Delaware law are summaries. You should also refer to the amended and restated certificate of incorporation and the amended and restated bylaws, which are filed as exhibits to the registration statement of which this prospectus is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20" w:firstLine="440"/>
        <w:spacing w:after="0" w:line="274" w:lineRule="auto"/>
        <w:rPr>
          <w:sz w:val="20"/>
          <w:szCs w:val="20"/>
          <w:color w:val="auto"/>
        </w:rPr>
      </w:pPr>
      <w:r>
        <w:rPr>
          <w:rFonts w:ascii="Arial" w:cs="Arial" w:eastAsia="Arial" w:hAnsi="Arial"/>
          <w:sz w:val="17"/>
          <w:szCs w:val="17"/>
          <w:color w:val="auto"/>
        </w:rPr>
        <w:t>Upon the completion of this offering, our amended and restated certificate of incorporation will authorize us to issue up to shares of common stock, $0.0001 par value per share, and shares of preferred stock, $0.0001 par value per share, all of which shares of preferred stock will</w:t>
      </w:r>
    </w:p>
    <w:p>
      <w:pPr>
        <w:ind w:left="120"/>
        <w:spacing w:after="0"/>
        <w:rPr>
          <w:sz w:val="20"/>
          <w:szCs w:val="20"/>
          <w:color w:val="auto"/>
        </w:rPr>
      </w:pPr>
      <w:r>
        <w:rPr>
          <w:rFonts w:ascii="Arial" w:cs="Arial" w:eastAsia="Arial" w:hAnsi="Arial"/>
          <w:sz w:val="18"/>
          <w:szCs w:val="18"/>
          <w:color w:val="auto"/>
        </w:rPr>
        <w:t>be undesignated. Our board of directors may establish the rights and preferences of the preferred stock from time to time.</w:t>
      </w:r>
    </w:p>
    <w:p>
      <w:pPr>
        <w:spacing w:after="0" w:line="21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March 31, 2021, we had outstanding 1,118,648 shares of common stock, held by six stockholders of record. As of March 31, 2021, after giving effect to the conversion of all outstanding shares of our preferred stock, there would have been 13,766,582 shares of common stock outstanding, held by 32 stockholders of record.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The affirmative vote of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forum.</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As of March 31, 2021, there were 12,647,934 shares of our preferred stock outstanding, consisting of 11,237,500 shares of our Series A preferred stock, 1,410,434 shares of our Series B preferred stock and no shares of our Series C preferred stock. We issued 4,296,550 shares of our Series C preferred stock in April 2021. All currently outstanding shares of preferred stock will be converted into an aggregate of 16,944,484 shares of common stock upon the closing of this offering.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Following the closing of this offering, our board of directors will have the authority under our amended and restated certificate of incorporation,</w:t>
      </w:r>
    </w:p>
    <w:p>
      <w:pPr>
        <w:spacing w:after="0" w:line="4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without further action by our stockholders, 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93"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 Following the completion of this offering, there will be no shares of preferred stock outstanding, and we have no present plans to issue any shares of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March 31, 2021, there were options to purchase 1,073,214 shares of common stock outstanding. For additional information regarding the terms of our 2020 Equity Incentive Plan, see “Executive Compensation—Equity Incentive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the holders of our existing preferred stock and certain holders of our existing common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preferred stock in connection with our initial public offering. These shares are collectively referred to herein as registrable securities.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At any time beginning 180 days following the effective date of the registration statement of which this prospectus is a part, the holders of a majority of registrable securities then outstanding have the right to demand that we file a registration statement covering at least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w:t>
      </w:r>
    </w:p>
    <w:p>
      <w:pPr>
        <w:spacing w:after="0" w:line="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registration as soon as practicable, but in any event no later than 60 days after the receipt of such request. An aggregate of shares of common stock will be entitled to these demand registration rights.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w:t>
      </w:r>
    </w:p>
    <w:p>
      <w:pPr>
        <w:spacing w:after="0" w:line="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limit the number of shares included in any such registration under specified circumstances. An aggregate of shares of common stock will be entitled to these piggyback registration rights.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At any time after we become eligible to file a registration statement on Form S-3, the holders of at least 30% of the registrable securities then outstanding will be entitled to request to have such shares registered by us on a Form S-3 registration statement. These Form S-3 registration rights are subject to other specified conditions and limitations, including the condition that the anticipated aggregate offering price is at least $1.0 million. Upon</w:t>
      </w:r>
    </w:p>
    <w:p>
      <w:pPr>
        <w:spacing w:after="0" w:line="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receipt of this request, the holders of registrable securities will each be entitled to participate in this registration. An aggregate of shares of common stock will be entitled to these Form S-3 registration rights.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second amended and restated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registration rights granted under the investors’ rights agreement will terminate with respect to any particular stockholder upon the earlier of</w:t>
      </w:r>
    </w:p>
    <w:p>
      <w:pPr>
        <w:spacing w:after="0" w:line="46" w:lineRule="exact"/>
        <w:rPr>
          <w:sz w:val="20"/>
          <w:szCs w:val="20"/>
          <w:color w:val="auto"/>
        </w:rPr>
      </w:pPr>
    </w:p>
    <w:p>
      <w:pPr>
        <w:jc w:val="both"/>
        <w:ind w:left="120" w:right="20" w:hanging="4"/>
        <w:spacing w:after="0" w:line="255" w:lineRule="auto"/>
        <w:tabs>
          <w:tab w:leader="none" w:pos="38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closing of a deemed liquidation event, as defined in our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this offering.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080" w:hanging="532"/>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9" w:lineRule="auto"/>
        <w:rPr>
          <w:sz w:val="20"/>
          <w:szCs w:val="20"/>
          <w:color w:val="auto"/>
        </w:rPr>
      </w:pPr>
      <w:r>
        <w:rPr>
          <w:rFonts w:ascii="Arial" w:cs="Arial" w:eastAsia="Arial" w:hAnsi="Arial"/>
          <w:sz w:val="18"/>
          <w:szCs w:val="18"/>
          <w:color w:val="auto"/>
        </w:rPr>
        <w:t>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2" w:lineRule="exact"/>
        <w:rPr>
          <w:sz w:val="20"/>
          <w:szCs w:val="20"/>
          <w:color w:val="auto"/>
        </w:rPr>
      </w:pPr>
    </w:p>
    <w:p>
      <w:pPr>
        <w:jc w:val="both"/>
        <w:ind w:left="1080" w:hanging="532"/>
        <w:spacing w:after="0" w:line="263"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80" w:right="20" w:hanging="532"/>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(in one transaction or a series of transactions);</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51" w:lineRule="exact"/>
        <w:rPr>
          <w:rFonts w:ascii="Arial" w:cs="Arial" w:eastAsia="Arial" w:hAnsi="Arial"/>
          <w:sz w:val="17"/>
          <w:szCs w:val="17"/>
          <w:color w:val="auto"/>
        </w:rPr>
      </w:pPr>
    </w:p>
    <w:p>
      <w:pPr>
        <w:jc w:val="both"/>
        <w:ind w:left="1080" w:right="20" w:hanging="532"/>
        <w:spacing w:after="0" w:line="342"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29"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completion of this offering, or our restated bylaws, will also provide that directors may be removed by the stockholders only for cause upon the vote of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8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Under our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restated bylaws will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84" w:lineRule="exact"/>
        <w:rPr>
          <w:sz w:val="20"/>
          <w:szCs w:val="20"/>
          <w:color w:val="auto"/>
        </w:rPr>
      </w:pPr>
    </w:p>
    <w:p>
      <w:pPr>
        <w:jc w:val="both"/>
        <w:ind w:left="120" w:right="20" w:firstLine="440"/>
        <w:spacing w:after="0" w:line="299" w:lineRule="auto"/>
        <w:rPr>
          <w:sz w:val="20"/>
          <w:szCs w:val="20"/>
          <w:color w:val="auto"/>
        </w:rPr>
      </w:pPr>
      <w:r>
        <w:rPr>
          <w:rFonts w:ascii="Arial" w:cs="Arial" w:eastAsia="Arial" w:hAnsi="Arial"/>
          <w:sz w:val="18"/>
          <w:szCs w:val="18"/>
          <w:color w:val="auto"/>
        </w:rPr>
        <w:t>Our restated certificate and restated bylaws will provide that the stockholders cannot amend many of the provisions described above except by a vote of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or more of our outstanding common stock.</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described in “—Preferred Stock” above, our restated certificate will give our board of directors the authority, without further action by our</w:t>
      </w:r>
    </w:p>
    <w:p>
      <w:pPr>
        <w:spacing w:after="0" w:line="3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stockholders, to issue up to shares of preferred stock in one or more series, with any rights, preferences and privileges as they may designate, including the right to approve an acquisition or other change in control.</w:t>
      </w:r>
    </w:p>
    <w:p>
      <w:pPr>
        <w:spacing w:after="0" w:line="18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w:t>
      </w:r>
    </w:p>
    <w:p>
      <w:pPr>
        <w:spacing w:after="0" w:line="76"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restated certificate, or our amended and restated bylaws;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also provide that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further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agent’s address is 6201 15th Avenue, Brooklyn, New York 11219.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list our common stock on the Nasdaq Global Market under the trading symbol “ADGI.”</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Prior to this offering, no public market existed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color w:val="auto"/>
        </w:rPr>
        <w:t>Upon the closing of this offering, we will have outstanding shares of our common stock, based on the shares of our common stock that were outstanding on March 31, 2021, after giving effect to the issuance of shares of our common stock in this offering, assuming no exercise</w:t>
      </w:r>
    </w:p>
    <w:p>
      <w:pPr>
        <w:jc w:val="both"/>
        <w:ind w:left="120" w:right="20"/>
        <w:spacing w:after="0" w:line="281" w:lineRule="auto"/>
        <w:rPr>
          <w:sz w:val="20"/>
          <w:szCs w:val="20"/>
          <w:color w:val="auto"/>
        </w:rPr>
      </w:pPr>
      <w:r>
        <w:rPr>
          <w:rFonts w:ascii="Arial" w:cs="Arial" w:eastAsia="Arial" w:hAnsi="Arial"/>
          <w:sz w:val="16"/>
          <w:szCs w:val="16"/>
          <w:color w:val="auto"/>
        </w:rPr>
        <w:t>by the underwriters of their option to purchase additional shares of our common stock and the automatic conversion of all outstanding shares of our preferred stock into an aggregate of 16,944,484 shares of common stock upon the closing of this offering. All of the shares of common stock sold in this offering will be freely tradable without restrictions or further registration under the Securities Act, except for any shares sold to our “affiliates,” as that</w:t>
      </w:r>
    </w:p>
    <w:p>
      <w:pPr>
        <w:spacing w:after="0" w:line="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term is defined under Rule 144 under the Securities Act. The remaining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 or another available exemption.</w:t>
      </w:r>
    </w:p>
    <w:p>
      <w:pPr>
        <w:spacing w:after="0" w:line="193"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shares of common stock that will be deemed restricted securities after this offering will be available for sale in the public market as follows:</w:t>
      </w:r>
    </w:p>
    <w:p>
      <w:pPr>
        <w:spacing w:after="0" w:line="76"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none of the existing restricted shares will be eligible for immediate sale upon the completion of this offering; and</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66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restricted shares will be eligible for sale in the public market upon expiration of lock-up agreements 180 days after the date of this prospectus, subject in certain circumstances to the volume, manner of sale and other limitations under Rule 144 and Rule 701 under the Securities Act, which are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general, non-affiliate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Non-Affiliates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76" w:lineRule="exact"/>
        <w:rPr>
          <w:sz w:val="20"/>
          <w:szCs w:val="20"/>
          <w:color w:val="auto"/>
        </w:rPr>
      </w:pPr>
    </w:p>
    <w:p>
      <w:pPr>
        <w:ind w:left="1080" w:right="20" w:hanging="532"/>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any prior owner other than one of our affiliates (subject to certain exceptions);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140"/>
          </w:cols>
          <w:pgMar w:left="320" w:top="459" w:right="439" w:bottom="1440" w:gutter="0" w:footer="0" w:header="0"/>
        </w:sectPr>
      </w:pPr>
    </w:p>
    <w:p>
      <w:pPr>
        <w:spacing w:after="0" w:line="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shares of our common stock then outstanding, which will equal approximately completion of this offering based on the number of shares outstanding as of March 31, 2021; 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w:t>
      </w:r>
    </w:p>
    <w:p>
      <w:pPr>
        <w:spacing w:after="0" w:line="369" w:lineRule="exact"/>
        <w:rPr>
          <w:sz w:val="20"/>
          <w:szCs w:val="20"/>
          <w:color w:val="auto"/>
        </w:rPr>
      </w:pPr>
    </w:p>
    <w:p>
      <w:pPr>
        <w:sectPr>
          <w:pgSz w:w="11900" w:h="16838" w:orient="portrait"/>
          <w:cols w:equalWidth="0" w:num="3">
            <w:col w:w="620" w:space="460"/>
            <w:col w:w="7280" w:space="720"/>
            <w:col w:w="2060"/>
          </w:cols>
          <w:pgMar w:left="320" w:top="459" w:right="439" w:bottom="1440" w:gutter="0" w:footer="0" w:header="0"/>
          <w:type w:val="continuous"/>
        </w:sectPr>
      </w:pPr>
    </w:p>
    <w:p>
      <w:pPr>
        <w:ind w:left="1080" w:right="20" w:hanging="532"/>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stock exchange on which our shares are listed during the four calendar weeks preceding the filing of a notice on Form 144 with respect to the sale.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“Underwriting” and will become eligible for sale upon the expiration of the restrictions set forth in those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Statements</w:t>
      </w:r>
    </w:p>
    <w:p>
      <w:pPr>
        <w:spacing w:after="0" w:line="121"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our equity plans. We expect to file the registration statement covering shares offered pursuant to our stock plans as soon as practicable after the closing of this offering, permitting the resale of such shares by non-affiliates in the public market without restriction under the Securities Act and the sale by affiliates in the public market, subject to compliance with the resale provisions of Rule 144 and expiration or release from the terms of the lock-up agreements described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our executive officers and directors and substantially all of the holders of our common stock outstanding on the date of this prospectus have entered into lock-up agreements with the underwriters or otherwise agreed, subject to certain exceptions, that we and they will not, directly or indirectly, offer, sell, contract to sell, pledge, grant any option to purchase, make any short sale, or otherwise dispose of or hedge any of our shares of common stock, any options or warrants to purchase shares of our common stock, or any securities convertible into, or exchangeable for or that represent the right to receive shares of our common stock, without the prior written consent of Morgan Stanley &amp; Co. LLC and Jefferies LLC for a period of 180 days from the date of this prospectus.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an agreement with the holders of our preferred stock that contains market stand-off provisions imposing restrictions on the ability of such security holders to sell or otherwise transfer or dispose of any registrable securities for a period of 180 days following the date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Upon the closing of this offering, the holders of 16,944,484 shares of our common stock, including common stock issuable upon the conversion of our preferred stock, or their transferees, will be entitled to specified rights with respect to the registration of their registrable shares under the Securities Act, subject to certain limitations and the expiration, waiver or termination of the lock-up agreements. Registration of these shares under the Securities Act would result in the shares becoming freely tradable without restriction under the Securities Act immediately upon effectiveness of the registration. See “Description of Capital Stock—Registration Rights” for additional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following is a summary of certain material U.S. federal income tax consequences to non-U.S. holders (as defined below) of the ownership and disposition of our common stock offered pursuant to this prospectus.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does not address any U.S. federal non-income tax consequences such as estate or gift tax consequences or any tax consequences arising under any state, local, or non-U.S.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This discussion is limited to non-U.S. holders who purchase our common stock offered by this prospectus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pass-throughs, or disregarded entities for U.S. federal income tax purposes (and investors therein), S corporations or other pass-through entities (including hybrid entities);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or dealers in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that acquired our common stock through the exercise of employee stock options or otherwise as compensation or through a tax-qualified retirement plan;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persons that acquired our common stock pursuant to the exercise of warrants or conversion rights under convertible instruments;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 hold common stock that constitutes “qualified small business stock” under Section 1202 of the Code, or “Section 1244 stock” under Section 1244 of the Code;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 acquired our common stock in a transaction subject to the gain rollover provisions of the Code (including Section 1045 of the Code);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 OR UNDER ANY APPLICABLE INCOME TAX TREATY.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As described in the section titled “Dividend Policy,” we have not paid and do not anticipate paying dividends in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the section titled “—Gain on Disposition of Our Common Stock” below.</w:t>
      </w:r>
    </w:p>
    <w:p>
      <w:pPr>
        <w:spacing w:after="0" w:line="17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or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with a valid IRS Form W-8BEN or IRS Form W-8BEN-E (or applicable successor form) certifying such holder’s qualification for the reduced rate. This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certification must be provided to us or the applicable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applicable withholding agent, either directly or through other intermediaries.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generally be exempt from U.S. federal withholding tax. To claim the exemption, the non-U.S. holder must generally furnish a valid IRS Form W-8ECI (or applicable successor form) to the applicable withholding agent.</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76" w:lineRule="exact"/>
        <w:rPr>
          <w:sz w:val="20"/>
          <w:szCs w:val="20"/>
          <w:color w:val="auto"/>
        </w:rPr>
      </w:pPr>
    </w:p>
    <w:p>
      <w:pPr>
        <w:ind w:left="1080" w:hanging="532"/>
        <w:spacing w:after="0" w:line="308"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w:t>
      </w:r>
    </w:p>
    <w:p>
      <w:pPr>
        <w:spacing w:after="0" w:line="18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Determining whether we are a USRPHC depends on the fair market value of our U.S. real property interests relative to the fair market value of our other trade or business assets and our foreign real property interests. We do not believe that we are, or have been, and do not anticipate becoming, a USRPHC for U.S. federal income tax purposes, although there can be no assurance we will not in the future become a USRPHC. Even if we are or were to become a USRPHC, gain arising from the sale or other taxable disposition by a non-U.S. holder of our common stock may not be subject to U.S. federal income tax if our common stock is “regularly traded,” as defined by applicable Treasury Regulations, on an established securities market.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The U.S. Treasury Department released proposed Treasury Regulations which, if finalized in their present form, would eliminate the federal withholding tax of 30% applicable to the gross proceeds of a disposition of our common stock. In its preamble to such proposed Treasury Regulations, the U.S. Treasury Department stated that taxpayers may generally rely on the proposed Treasury Regulations until final regulations are issued.</w:t>
      </w:r>
    </w:p>
    <w:p>
      <w:pPr>
        <w:spacing w:after="0" w:line="16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Jefferies LLC, Stifel, Nicolaus &amp; Company, Incorporated and Guggenheim Securities, LLC are acting as representatives, have severally agreed to purchase, and we have agreed to sell to them, severally, the number of shares indicated below:</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9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260" w:type="dxa"/>
            <w:vAlign w:val="bottom"/>
          </w:tcPr>
          <w:p>
            <w:pPr>
              <w:jc w:val="center"/>
              <w:ind w:left="35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4260" w:type="dxa"/>
            <w:vAlign w:val="bottom"/>
          </w:tcPr>
          <w:p>
            <w:pPr>
              <w:jc w:val="center"/>
              <w:ind w:left="3528"/>
              <w:spacing w:after="0"/>
              <w:rPr>
                <w:sz w:val="20"/>
                <w:szCs w:val="20"/>
                <w:color w:val="auto"/>
              </w:rPr>
            </w:pPr>
            <w:r>
              <w:rPr>
                <w:rFonts w:ascii="Arial" w:cs="Arial" w:eastAsia="Arial" w:hAnsi="Arial"/>
                <w:sz w:val="14"/>
                <w:szCs w:val="14"/>
                <w:b w:val="1"/>
                <w:bCs w:val="1"/>
                <w:u w:val="single" w:color="auto"/>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-635</wp:posOffset>
            </wp:positionV>
            <wp:extent cx="524637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5715</wp:posOffset>
            </wp:positionV>
            <wp:extent cx="4286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-121920</wp:posOffset>
            </wp:positionV>
            <wp:extent cx="5246370" cy="163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46370" cy="163195"/>
                    </a:xfrm>
                    <a:prstGeom prst="rect">
                      <a:avLst/>
                    </a:prstGeom>
                    <a:noFill/>
                  </pic:spPr>
                </pic:pic>
              </a:graphicData>
            </a:graphic>
          </wp:anchor>
        </w:drawing>
      </w:r>
    </w:p>
    <w:p>
      <w:pPr>
        <w:spacing w:after="0" w:line="25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jc w:val="both"/>
        <w:ind w:left="120" w:right="20"/>
        <w:spacing w:after="0" w:line="32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3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No</w:t>
            </w:r>
          </w:p>
        </w:tc>
        <w:tc>
          <w:tcPr>
            <w:tcW w:w="5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3"/>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3540" w:type="dxa"/>
            <w:vAlign w:val="bottom"/>
          </w:tcPr>
          <w:p>
            <w:pPr>
              <w:jc w:val="right"/>
              <w:ind w:right="2570"/>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5" w:name="page206"/>
    <w:bookmarkEnd w:id="2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519"/>
        </w:trPr>
        <w:tc>
          <w:tcPr>
            <w:tcW w:w="1014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The estimated offering expenses payable by us, exclusive of the underwriting discounts and commissions, are approximately $</w:t>
            </w:r>
          </w:p>
        </w:tc>
        <w:tc>
          <w:tcPr>
            <w:tcW w:w="98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 We have</w:t>
            </w:r>
          </w:p>
        </w:tc>
      </w:tr>
      <w:tr>
        <w:trPr>
          <w:trHeight w:val="230"/>
        </w:trPr>
        <w:tc>
          <w:tcPr>
            <w:tcW w:w="10580" w:type="dxa"/>
            <w:vAlign w:val="bottom"/>
            <w:gridSpan w:val="3"/>
          </w:tcPr>
          <w:p>
            <w:pPr>
              <w:jc w:val="center"/>
              <w:spacing w:after="0"/>
              <w:rPr>
                <w:sz w:val="20"/>
                <w:szCs w:val="20"/>
                <w:color w:val="auto"/>
              </w:rPr>
            </w:pPr>
            <w:r>
              <w:rPr>
                <w:rFonts w:ascii="Arial" w:cs="Arial" w:eastAsia="Arial" w:hAnsi="Arial"/>
                <w:sz w:val="18"/>
                <w:szCs w:val="18"/>
                <w:color w:val="auto"/>
                <w:w w:val="91"/>
              </w:rPr>
              <w:t>agreed to reimburse the underwriters for expense relating to clearance of this offering with the Financial Industry Regulatory Authority up to $</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list our common stock on the Nasdaq Global Market under the trading symbol “ADGI.”</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and all directors and officers and the holders of all of our outstanding stock and stock options have agreed that, without the prior written consent of Morgan Stanley &amp; Co. LLC and Jefferies LLC, on behalf of the underwriters, we and they will not, and will not publicly disclose an intention to, during the period ending 180 days after the date of this prospectus (the “restricted period”):</w:t>
      </w:r>
    </w:p>
    <w:p>
      <w:pPr>
        <w:spacing w:after="0" w:line="89" w:lineRule="exact"/>
        <w:rPr>
          <w:sz w:val="20"/>
          <w:szCs w:val="20"/>
          <w:color w:val="auto"/>
        </w:rPr>
      </w:pPr>
    </w:p>
    <w:p>
      <w:pPr>
        <w:jc w:val="both"/>
        <w:ind w:left="1080" w:hanging="532"/>
        <w:spacing w:after="0" w:line="263"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Jefferies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jc w:val="both"/>
        <w:ind w:left="1080" w:right="20" w:hanging="532"/>
        <w:spacing w:after="0" w:line="259"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during the restricted period in connection with subsequent sales of common stock or other securities acquired in this offering or in such open market transactions;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transfers or distributions of shares of common stock or any security convertible into or exercisable or exchangeable for common stock</w:t>
      </w:r>
    </w:p>
    <w:p>
      <w:pPr>
        <w:spacing w:after="0" w:line="34" w:lineRule="exact"/>
        <w:rPr>
          <w:rFonts w:ascii="Arial" w:cs="Arial" w:eastAsia="Arial" w:hAnsi="Arial"/>
          <w:sz w:val="17"/>
          <w:szCs w:val="17"/>
          <w:color w:val="auto"/>
        </w:rPr>
      </w:pPr>
    </w:p>
    <w:p>
      <w:pPr>
        <w:jc w:val="both"/>
        <w:ind w:left="1080" w:right="20"/>
        <w:spacing w:after="0" w:line="269" w:lineRule="auto"/>
        <w:rPr>
          <w:rFonts w:ascii="Arial" w:cs="Arial" w:eastAsia="Arial" w:hAnsi="Arial"/>
          <w:sz w:val="17"/>
          <w:szCs w:val="17"/>
          <w:color w:val="auto"/>
        </w:rPr>
      </w:pPr>
      <w:r>
        <w:rPr>
          <w:rFonts w:ascii="Arial" w:cs="Arial" w:eastAsia="Arial" w:hAnsi="Arial"/>
          <w:sz w:val="17"/>
          <w:szCs w:val="17"/>
          <w:color w:val="auto"/>
        </w:rPr>
        <w:t>(i) as a bona fide gift or charitable contribution, (ii) by will or intestacy or to any immediate family member or to a trust for the direct or indirect benefit of such person and/or any immediate family member, (iii) to limited partners, members or stockholders, or holders of similar equity interests, of such person or (iv) to another corporation, partnership, limited liability company, trust or other business entity that is an affiliate (as defined in Rule 405 promulgated under the Securities Act) of such person, or to any investment fund or other entity controlled or managed by such person or affiliates of such person; provided that (A) each transferee or distributee shall sign and deliver a lock-up agreement and (B) no filing under Section 16(a) of the Exchange Act, reporting a reduction in beneficial ownership of shares of common stock, shall be required or shall be voluntarily made during the restricted period;</w:t>
      </w:r>
    </w:p>
    <w:p>
      <w:pPr>
        <w:spacing w:after="0" w:line="85"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a stockholder, officer or director of the company pursuant to Rule 10b5-1 under the Exchange Act for the transfer of shares of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320" w:top="446"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59" w:lineRule="auto"/>
        <w:rPr>
          <w:sz w:val="20"/>
          <w:szCs w:val="20"/>
          <w:color w:val="auto"/>
        </w:rPr>
      </w:pPr>
      <w:r>
        <w:rPr>
          <w:rFonts w:ascii="Arial" w:cs="Arial" w:eastAsia="Arial" w:hAnsi="Arial"/>
          <w:sz w:val="18"/>
          <w:szCs w:val="18"/>
          <w:color w:val="auto"/>
        </w:rPr>
        <w:t>provided that (i) such plan does not provide for the transfer of common stock during the restricted period and (ii) to the extent a public announcement or filing under the Exchange Act, if any, is required of or voluntarily made by or on behalf of such person or the company regarding the establishment of such plan, such announcement or filing shall include a statement to the effect that no transfer of common stock may be made under such plan during the restricted period;</w:t>
      </w:r>
    </w:p>
    <w:p>
      <w:pPr>
        <w:spacing w:after="0" w:line="92" w:lineRule="exact"/>
        <w:rPr>
          <w:sz w:val="20"/>
          <w:szCs w:val="20"/>
          <w:color w:val="auto"/>
        </w:rPr>
      </w:pPr>
    </w:p>
    <w:p>
      <w:pPr>
        <w:jc w:val="both"/>
        <w:ind w:left="1080" w:hanging="532"/>
        <w:spacing w:after="0" w:line="255"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transfers of common stock or any security convertible into or exercisable or exchangeable for common stock by operation of law pursuant to a qualified domestic order or other court order or in connection with a divorce settlement; provided that (i) no filing under Section 16(a) of the Exchange Act or any other public filing or disclosure shall be voluntarily made during the restricted period, and any required filing shall clearly indicate in the footnotes thereto that (A) the filing relates to the circumstances described herein and (B) no securities were sold by such person, and (ii) such person does not otherwise voluntarily effect any other public filing or report regarding such transfers during the restricted period;</w:t>
      </w:r>
    </w:p>
    <w:p>
      <w:pPr>
        <w:spacing w:after="0" w:line="97" w:lineRule="exact"/>
        <w:rPr>
          <w:rFonts w:ascii="Arial" w:cs="Arial" w:eastAsia="Arial" w:hAnsi="Arial"/>
          <w:sz w:val="18"/>
          <w:szCs w:val="18"/>
          <w:color w:val="auto"/>
        </w:rPr>
      </w:pPr>
    </w:p>
    <w:p>
      <w:pPr>
        <w:jc w:val="both"/>
        <w:ind w:left="1080" w:hanging="532"/>
        <w:spacing w:after="0" w:line="269" w:lineRule="auto"/>
        <w:tabs>
          <w:tab w:leader="none" w:pos="10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receipt by such person from the company of shares of common stock upon the transfer or disposition of shares of common stock or any securities convertible into common stock to the company upon a vesting or settlement event of the company’s securities or vesting of restricted stock unit awards or upon the exercise of options to purchase the company’s securities on a “cashless” or “net exercise” basis, in each case pursuant to any equity incentive plan of the company described in this prospectus and to the extent permitted by the instruments representing such restricted stock unit awards or options outstanding as of the date hereof (and solely to cover the exercise price or withholding tax obligations in connection with such transaction and any transfer to the company for the payment of the exercise price or taxes as a result of such transaction); provided that (i) the shares received upon exercise or settlement of the option are subject to the terms of the lock-up agreement, (ii) no public disclosure or filing under Section 16(a) of the Exchange Act shall be voluntarily made during the restricted period and (iii) to the extent a filing under Section 16(a) of the Exchange Act is required during the restricted period as a result of transfers described herein, it shall clearly indicate that (A) the filing relates to the circumstances described herein, including that the securities remain subject to the terms of a lock-up agreement and (B) no securities were sold by such person other than as contemplated hereby;</w:t>
      </w:r>
    </w:p>
    <w:p>
      <w:pPr>
        <w:spacing w:after="0" w:line="84" w:lineRule="exact"/>
        <w:rPr>
          <w:rFonts w:ascii="Arial" w:cs="Arial" w:eastAsia="Arial" w:hAnsi="Arial"/>
          <w:sz w:val="17"/>
          <w:szCs w:val="17"/>
          <w:color w:val="auto"/>
        </w:rPr>
      </w:pPr>
    </w:p>
    <w:p>
      <w:pPr>
        <w:jc w:val="both"/>
        <w:ind w:left="1080" w:hanging="532"/>
        <w:spacing w:after="0" w:line="259"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transfers to the company in connection with the repurchase of common stock in connection with the termination of such person’s employment with the company pursuant to contractual agreements with the company as in effect as of the date hereof and disclosed to Morgan Stanley &amp; Co. LLC and Jefferies LLC; provided that no public disclosure or filing under Section 16(a) of the Exchange Act shall be required or shall be voluntarily made during the restricted period;</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of the company described in this prospectus into shares of common stock of the company; provided that such shares of common stock remain subject to the terms of the lock-up agreement; or</w:t>
      </w:r>
    </w:p>
    <w:p>
      <w:pPr>
        <w:spacing w:after="0" w:line="75"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transfers pursuant to a bona fide third-party tender offer for all outstanding common stock or securities convertible into or exchangeable for common stock of the company, merger, consolidation or other similar transaction approved by the company’s board of directors and made to all holders of the company’s securities involving a change of control of the company (including, without limitation, the entering into any lock-up, voting or similar agreement pursuant to which such person may agree to transfer, sell, tender or otherwise dispose of common stock or other such securities in connection with such transaction, or vote any common stock or other such securities in favor of any such transaction); provided that in the event that such tender offer, merger, consolidation or other such transaction is not completed, such securities held by such person shall remain subject to the provisions of the lock-up agreement.</w:t>
      </w:r>
    </w:p>
    <w:p>
      <w:pPr>
        <w:spacing w:after="0" w:line="16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Morgan Stanley &amp; Co. LLC and Jefferies LLC, in their joint discretion, may release the common stock and other securities subject to the lock-up agreements described above in whole or in part at any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80" w:hanging="408"/>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80" w:hanging="408"/>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3" w:lineRule="exact"/>
        <w:rPr>
          <w:sz w:val="20"/>
          <w:szCs w:val="20"/>
          <w:color w:val="auto"/>
        </w:rPr>
      </w:pPr>
    </w:p>
    <w:p>
      <w:pPr>
        <w:ind w:left="1080" w:hanging="408"/>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30"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408"/>
        <w:spacing w:after="0"/>
        <w:tabs>
          <w:tab w:leader="none" w:pos="10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Financial Services and Markets Act 2000, as amended, or the FSMA,</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jc w:val="both"/>
        <w:ind w:left="1080" w:right="20" w:hanging="408"/>
        <w:spacing w:after="0" w:line="259"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2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Qualified Institutional Investors (“QII”)</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Non-QII Investors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Shares of our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common stock which are or are intended to be disposed of only to persons outside Hong Kong or only to “professional investors” in Hong Kong as defined in the Securities and Futures Ordinance and any rules made thereunder.</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9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Where shares of our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common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jc w:val="both"/>
        <w:ind w:left="120" w:right="20" w:hanging="4"/>
        <w:spacing w:after="0" w:line="255" w:lineRule="auto"/>
        <w:tabs>
          <w:tab w:leader="none" w:pos="3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0"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Where shares of our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i w:val="1"/>
          <w:iCs w:val="1"/>
          <w:color w:val="auto"/>
        </w:rPr>
        <w:t>Solely for purposes of the notification requirements under Section 309B(1)(c) of the Securities and Futures Act, Chapter 289 of Singapore, the shares of our common stock are “prescribed capital markets products” (as defined in the Securities and Futures (Capital Markets Products) Regulations 2018) and Excluded Investment Products (as defined in MAS Notice SFA 04-N12: Notice on the Sale of Investment Products and MAS Notice FAA-N16:</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on Recommendations on Investment Products).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73"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This document is not intended to constitute an offer or solicitation to purchase or invest in the securities. The securities may not be publicly offered, directly or indirectly, in Switzerland within the meaning of the Swiss Financial Services Act (“FinSA”) and no application has or will be made to admit the securities to trading on any trading venue (exchange or multilateral trading facility) in Switzerland. Neither this document nor any other offering or marketing material relating to the securities constitutes a prospectus pursuant to the FinSA, and neither this document nor any other offering or marketing material relating to the securities may be publicly distributed or otherwise made publicly available in Switzerland.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New York, New York. Certain legal matters will be passed upon for the underwriters by Davis Polk &amp; Wardwell LLP, New York, New York. As of the date of this prospectus, GC&amp;H Investments, L.P. and GC&amp;H Investments A1, L.P., entities consisting of current and former partners and associates of Cooley LLP, collectively beneficially hold an aggregate of 12,806 shares of our common stock on an as-converted basis.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financial statements as of December 31, 2020 and for the period from June 3, 2020 (inception) to December 31, 2020 included in this prospectus have been so included in reliance on the report (which contains an explanatory paragraph relating to the Company’s ability to continue as a going concern as described in Note 1 to the consolidated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Upon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also maintain a website at adagiotx.com,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in this prospectus solely as an inactive textual reference.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4"/>
            <w:vMerge w:val="restart"/>
          </w:tcPr>
          <w:p>
            <w:pPr>
              <w:spacing w:after="0"/>
              <w:rPr>
                <w:rFonts w:ascii="Arial" w:cs="Arial" w:eastAsia="Arial" w:hAnsi="Arial"/>
                <w:sz w:val="18"/>
                <w:szCs w:val="18"/>
                <w:color w:val="0000EE"/>
                <w:w w:val="91"/>
              </w:rPr>
            </w:pPr>
            <w:hyperlink w:anchor="page216">
              <w:r>
                <w:rPr>
                  <w:rFonts w:ascii="Arial" w:cs="Arial" w:eastAsia="Arial" w:hAnsi="Arial"/>
                  <w:sz w:val="18"/>
                  <w:szCs w:val="18"/>
                  <w:color w:val="0000EE"/>
                  <w:w w:val="91"/>
                </w:rPr>
                <w:t>Report of Independent Registered Public Accounting Firm</w:t>
              </w:r>
            </w:hyperlink>
          </w:p>
        </w:tc>
        <w:tc>
          <w:tcPr>
            <w:tcW w:w="6420" w:type="dxa"/>
            <w:vAlign w:val="bottom"/>
            <w:gridSpan w:val="3"/>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4220" w:type="dxa"/>
            <w:vAlign w:val="bottom"/>
            <w:tcBorders>
              <w:bottom w:val="single" w:sz="8" w:color="0000EE"/>
            </w:tcBorders>
            <w:gridSpan w:val="4"/>
            <w:vMerge w:val="continue"/>
          </w:tcPr>
          <w:p>
            <w:pPr>
              <w:spacing w:after="0"/>
              <w:rPr>
                <w:sz w:val="13"/>
                <w:szCs w:val="13"/>
                <w:color w:val="auto"/>
              </w:rPr>
            </w:pPr>
          </w:p>
        </w:tc>
        <w:tc>
          <w:tcPr>
            <w:tcW w:w="6420" w:type="dxa"/>
            <w:vAlign w:val="bottom"/>
            <w:gridSpan w:val="3"/>
            <w:vMerge w:val="continue"/>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40" w:type="dxa"/>
            <w:vAlign w:val="bottom"/>
            <w:gridSpan w:val="7"/>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Consolidated Balance Sheets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Consolidated Statements of Operations and Comprehensive Loss</w:t>
              </w:r>
            </w:hyperlink>
          </w:p>
        </w:tc>
        <w:tc>
          <w:tcPr>
            <w:tcW w:w="596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19">
              <w:r>
                <w:rPr>
                  <w:rFonts w:ascii="Arial" w:cs="Arial" w:eastAsia="Arial" w:hAnsi="Arial"/>
                  <w:sz w:val="18"/>
                  <w:szCs w:val="18"/>
                  <w:color w:val="0000EE"/>
                  <w:w w:val="90"/>
                </w:rPr>
                <w:t>Consolidated Statements of Convertible Preferred Stock and Stockholders’ Deficit</w:t>
              </w:r>
            </w:hyperlink>
          </w:p>
        </w:tc>
        <w:tc>
          <w:tcPr>
            <w:tcW w:w="472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Consolidated Statements of Cash Flows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Notes to Consolidated Financial Statements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6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Adagio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audited the accompanying consolidated balance sheet of Adagio Therapeutics, Inc. and its subsidiary (the “Company”) as of December 31, 2020, and the related consolidated statements of operations and comprehensive loss, of convertible preferred stock and stockholders’ deficit and of cash flows for the period from June 3, 2020 (inception) to December 31, 2020, including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period from June 3, 2020 (inception) to December 31, 2020 in conformity with accounting principles generally accepted in the United States of America.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recurring losses from operations since inception, expects to continue to generate operating losses for the foreseeable future and will require additional capital to finance its future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21,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6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114,988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91,247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3,627</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94,874</w:t>
            </w:r>
          </w:p>
        </w:tc>
      </w:tr>
      <w:tr>
        <w:trPr>
          <w:trHeight w:val="223"/>
        </w:trPr>
        <w:tc>
          <w:tcPr>
            <w:tcW w:w="88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117,382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94,874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11,317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17,360</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28,677</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Early-exercise liability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28,688</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A convertible preferred stock, $0.0001 par value; 11,237,500 shares authorized, issued and outstanding as of</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December 31, 2020 and March 31, 2021 (unaudited); liquidation preference of $89,900 as of December 31, 2020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March 31, 2021 (unaudited)</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89,706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89,706</w:t>
            </w: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w w:val="95"/>
              </w:rPr>
              <w:t>Series B convertible preferred stock, $0.0001 par value; 1,410,434 shares authorized, issued and outstanding as of</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w w:val="95"/>
              </w:rPr>
              <w:t>December 31, 2020 and March 31, 2021 (unaudited); liquidation preference of $80,000 as of December 31, 2020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and March 31, 2021 (unaudited)</w:t>
            </w: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79,842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79,842</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w w:val="99"/>
              </w:rPr>
              <w:t>Common stock, $0.0001 par value; 19,000,000 shares authorized, 5,638,648 shares issued and 1,118,648</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shares outstanding as of December 31, 2020 and March 31, 2021 (unaudited)</w:t>
            </w: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4,520,000 shares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742</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(104,019)</w:t>
            </w: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(65,249)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(103,362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117,382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94,874</w:t>
            </w:r>
          </w:p>
        </w:tc>
      </w:tr>
      <w:tr>
        <w:trPr>
          <w:trHeight w:val="20"/>
        </w:trPr>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center"/>
              <w:ind w:right="41"/>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480" w:type="dxa"/>
            <w:vAlign w:val="bottom"/>
            <w:gridSpan w:val="2"/>
          </w:tcPr>
          <w:p>
            <w:pPr>
              <w:ind w:left="13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21,992</w:t>
            </w:r>
          </w:p>
        </w:tc>
        <w:tc>
          <w:tcPr>
            <w:tcW w:w="42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40,125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(90.51)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721,698</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8"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Includes related-party amounts of $595 for the period from June 3, 2020 (inception) to December 31, 2020 and $188 for the three months ended March 31, 2021 (see Note 6).</w:t>
      </w:r>
    </w:p>
    <w:p>
      <w:pPr>
        <w:spacing w:after="0" w:line="1"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Includes related-party amounts of $39,915 for the period from June 3, 2020 (inception) to December 31, 2020 and $1,000 for the three months ended March 31, 2021 (see Note 6).</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1560" w:type="dxa"/>
            <w:vAlign w:val="bottom"/>
          </w:tcPr>
          <w:p>
            <w:pPr>
              <w:spacing w:after="0"/>
              <w:rPr>
                <w:sz w:val="2"/>
                <w:szCs w:val="2"/>
                <w:color w:val="auto"/>
              </w:rPr>
            </w:pPr>
          </w:p>
        </w:tc>
        <w:tc>
          <w:tcPr>
            <w:tcW w:w="170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Series A Convertible</w:t>
            </w:r>
          </w:p>
        </w:tc>
        <w:tc>
          <w:tcPr>
            <w:tcW w:w="170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9"/>
              </w:rPr>
              <w:t>Series B Convertible</w:t>
            </w:r>
          </w:p>
        </w:tc>
        <w:tc>
          <w:tcPr>
            <w:tcW w:w="20" w:type="dxa"/>
            <w:vAlign w:val="bottom"/>
          </w:tcPr>
          <w:p>
            <w:pPr>
              <w:spacing w:after="0"/>
              <w:rPr>
                <w:sz w:val="2"/>
                <w:szCs w:val="2"/>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
                <w:szCs w:val="2"/>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1560" w:type="dxa"/>
            <w:vAlign w:val="bottom"/>
          </w:tcPr>
          <w:p>
            <w:pPr>
              <w:spacing w:after="0"/>
              <w:rPr>
                <w:sz w:val="11"/>
                <w:szCs w:val="11"/>
                <w:color w:val="auto"/>
              </w:rPr>
            </w:pPr>
          </w:p>
        </w:tc>
        <w:tc>
          <w:tcPr>
            <w:tcW w:w="1700" w:type="dxa"/>
            <w:vAlign w:val="bottom"/>
            <w:gridSpan w:val="5"/>
            <w:vMerge w:val="continue"/>
          </w:tcPr>
          <w:p>
            <w:pPr>
              <w:spacing w:after="0"/>
              <w:rPr>
                <w:sz w:val="11"/>
                <w:szCs w:val="11"/>
                <w:color w:val="auto"/>
              </w:rPr>
            </w:pPr>
          </w:p>
        </w:tc>
        <w:tc>
          <w:tcPr>
            <w:tcW w:w="170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Preferred Stock</w:t>
            </w:r>
          </w:p>
        </w:tc>
        <w:tc>
          <w:tcPr>
            <w:tcW w:w="1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8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5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2"/>
              </w:rPr>
              <w:t>Balances at June 3,</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80" w:type="dxa"/>
            <w:vAlign w:val="bottom"/>
            <w:tcBorders>
              <w:top w:val="single" w:sz="8" w:color="auto"/>
              <w:lef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2020 (Inception)</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w w:val="92"/>
              </w:rPr>
              <w:t>Issuance of common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w w:val="97"/>
              </w:rPr>
              <w:t>stock at inception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4,250,000</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Series A</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preferred stock in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for</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assigned rights,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and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(4,250,000)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4,250,000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w w:val="93"/>
              </w:rPr>
              <w:t>Issuance of Series A</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net of issuance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rPr>
              <w:t>costs of $194</w:t>
            </w:r>
          </w:p>
        </w:tc>
        <w:tc>
          <w:tcPr>
            <w:tcW w:w="860" w:type="dxa"/>
            <w:vAlign w:val="bottom"/>
          </w:tcPr>
          <w:p>
            <w:pPr>
              <w:jc w:val="right"/>
              <w:spacing w:after="0"/>
              <w:rPr>
                <w:sz w:val="20"/>
                <w:szCs w:val="20"/>
                <w:color w:val="auto"/>
              </w:rPr>
            </w:pPr>
            <w:r>
              <w:rPr>
                <w:rFonts w:ascii="Arial" w:cs="Arial" w:eastAsia="Arial" w:hAnsi="Arial"/>
                <w:sz w:val="18"/>
                <w:szCs w:val="18"/>
                <w:color w:val="auto"/>
              </w:rPr>
              <w:t>6,237,500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49,706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Series B</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issuance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of $158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1,410,434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79,842</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restricted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upon early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exercise of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1,388,648</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rPr>
              <w:t>expense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06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0" w:type="dxa"/>
            <w:vAlign w:val="bottom"/>
          </w:tcPr>
          <w:p>
            <w:pPr>
              <w:spacing w:after="0"/>
              <w:rPr>
                <w:sz w:val="1"/>
                <w:szCs w:val="1"/>
                <w:color w:val="auto"/>
              </w:rPr>
            </w:pPr>
          </w:p>
        </w:tc>
      </w:tr>
      <w:tr>
        <w:trPr>
          <w:trHeight w:val="205"/>
        </w:trPr>
        <w:tc>
          <w:tcPr>
            <w:tcW w:w="1560" w:type="dxa"/>
            <w:vAlign w:val="bottom"/>
          </w:tcPr>
          <w:p>
            <w:pPr>
              <w:spacing w:after="0" w:line="205"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11,237,500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89,706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1,410,434</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79,842</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1,118,648</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4,520,000</w:t>
            </w: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(65,319)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(65,249)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1680" w:type="dxa"/>
            <w:vAlign w:val="bottom"/>
          </w:tcPr>
          <w:p>
            <w:pPr>
              <w:spacing w:after="0"/>
              <w:rPr>
                <w:sz w:val="2"/>
                <w:szCs w:val="2"/>
                <w:color w:val="auto"/>
              </w:rPr>
            </w:pPr>
          </w:p>
        </w:tc>
        <w:tc>
          <w:tcPr>
            <w:tcW w:w="17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Series A Convertible</w:t>
            </w:r>
          </w:p>
        </w:tc>
        <w:tc>
          <w:tcPr>
            <w:tcW w:w="170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9"/>
              </w:rPr>
              <w:t>Series B Convertible</w:t>
            </w:r>
          </w:p>
        </w:tc>
        <w:tc>
          <w:tcPr>
            <w:tcW w:w="20" w:type="dxa"/>
            <w:vAlign w:val="bottom"/>
          </w:tcPr>
          <w:p>
            <w:pPr>
              <w:spacing w:after="0"/>
              <w:rPr>
                <w:sz w:val="2"/>
                <w:szCs w:val="2"/>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0"/>
              </w:rPr>
              <w:t>Treasury Stock</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
                <w:szCs w:val="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1680" w:type="dxa"/>
            <w:vAlign w:val="bottom"/>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Preferred Stock</w:t>
            </w:r>
          </w:p>
        </w:tc>
        <w:tc>
          <w:tcPr>
            <w:tcW w:w="17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9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6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20" w:type="dxa"/>
            <w:vAlign w:val="bottom"/>
            <w:tcBorders>
              <w:top w:val="single" w:sz="8" w:color="auto"/>
              <w:lef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11,237,500</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$89,706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1,410,434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$79,842</w:t>
            </w:r>
          </w:p>
        </w:tc>
        <w:tc>
          <w:tcPr>
            <w:tcW w:w="20" w:type="dxa"/>
            <w:vAlign w:val="bottom"/>
            <w:shd w:val="clear" w:color="auto" w:fill="000000"/>
          </w:tcPr>
          <w:p>
            <w:pPr>
              <w:spacing w:after="0"/>
              <w:rPr>
                <w:sz w:val="20"/>
                <w:szCs w:val="20"/>
                <w:color w:val="auto"/>
              </w:rPr>
            </w:pPr>
          </w:p>
        </w:tc>
        <w:tc>
          <w:tcPr>
            <w:tcW w:w="9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1,118,648</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4,520,000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(65,249)</w:t>
            </w:r>
          </w:p>
        </w:tc>
        <w:tc>
          <w:tcPr>
            <w:tcW w:w="0" w:type="dxa"/>
            <w:vAlign w:val="bottom"/>
          </w:tcPr>
          <w:p>
            <w:pPr>
              <w:spacing w:after="0"/>
              <w:rPr>
                <w:sz w:val="1"/>
                <w:szCs w:val="1"/>
                <w:color w:val="auto"/>
              </w:rPr>
            </w:pPr>
          </w:p>
        </w:tc>
      </w:t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expense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loss (unaudited)</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9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5"/>
        </w:trPr>
        <w:tc>
          <w:tcPr>
            <w:tcW w:w="1680" w:type="dxa"/>
            <w:vAlign w:val="bottom"/>
          </w:tcPr>
          <w:p>
            <w:pPr>
              <w:spacing w:after="0" w:line="205"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b w:val="1"/>
                <w:bCs w:val="1"/>
                <w:color w:val="auto"/>
              </w:rPr>
              <w:t>March 31, 2021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11,237,500</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89,706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1,410,434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79,842</w:t>
            </w:r>
          </w:p>
        </w:tc>
        <w:tc>
          <w:tcPr>
            <w:tcW w:w="20" w:type="dxa"/>
            <w:vAlign w:val="bottom"/>
            <w:shd w:val="clear" w:color="auto" w:fill="000000"/>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1,118,648</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4,520,000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(104,019)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(103,362)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(65,319)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Non-cash acquired in-process research and development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39,915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8,153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(14,571)</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129,548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early exercises of stock options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Payments for repurchases of restricted common stock</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114,988</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Series A convertible preferred stock in exchange for assigned rights, license and</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 common stock</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Adagio Therapeutics, Inc., together with its consolidated subsidiary (the “Company”), is a clinical-stage biopharmaceutical company focused on the discovery, development and commercialization of antibody-based solutions for infectious diseases with pandemic potential. The Company’s initial focus is on the virus SARS-CoV-2, its variants and the disease caused by this virus, which is known as Coronavirus Infectious Disease (“COVID-19”). The Company initiated clinical trials for its lead product candidate, ADG20, in February 2021. The Company was incorporated in the State of Delaware in June 2020. The Company operates as a virtual company and, thus, does not maintain a corporate headquarters or other significant facilities. In addition, the Company engages third parties, including Adimab, LLC (“Adimab”), to perform ongoing research and development and other services on its behalf.</w:t>
      </w:r>
    </w:p>
    <w:p>
      <w:pPr>
        <w:spacing w:after="0" w:line="19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In July 2020, the Company entered into an assignment and license agreement with Adimab pursuant to which it acquired certain rights to Adimab’s antibodies relating to COVID-19 and severe acute respiratory syndrome (“SARS”) as well as related provisional patent applications, know-how and data generated with respect to the associated antibodies. In addition, Adimab granted to the Company a non-exclusive, worldwide license to certain of Adimab’s platform patents and technology for use in research and development. In connection with the transfer of the rights acquired and license received, the Company issued 5,000,000 shares of its Series A convertible preferred stock to Adimab (see Note 6). As of December 31, 2020 and March 31, 2021 (unaudited), Adimab, a related party, held approximately 39.5% of the Company’s outstanding capital stock.</w:t>
      </w:r>
    </w:p>
    <w:p>
      <w:pPr>
        <w:spacing w:after="0" w:line="16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 Company is subject to risks and uncertainties common to early-stage companies in the biopharmaceutical industry, including, but not limited to, completing preclinical studies and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the COVID-19 coronavirus, dependence on key personnel, the ability to attract and retain qualified employees, reliance on third-party organizations and the clinical and commercial success of its product candidates.</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Company has not generated any revenue since inception. The Company’s lead product candidate will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Adagio Therapeutics, Inc. and its wholly owned subsidiary, Adagio Therapeutics Security Corporation. All intercompany balances and transactions have been eliminated in consolidation.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14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Through December 31, 2020 and March 31, 2021 (unaudited), the Company has funded its operations with proceeds from sales of its convertible preferred stock. The Company has incurred recurring losses since 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inception, including net losses of $65.3 million for the period from June 3, 2020 (inception) to December 31, 2020 and $38.7 million for the three months ended March 31, 2021 (unaudited). In addition, as of December 31, 2020 and March 31, 2021 (unaudited), the Company had an accumulated deficit of $65.3 million and $104.0 million, respectively. The Company expects to continue to generate significant operating losses for the foreseeable future. As of May 21, 2021, the issuance date of the consolidated financial statements for the period from June 3, 2020 (inception) to December 31, 2020 and of the interim consolidated financial statements for the three months ended March 31, 2021, the Company expects that its existing cash and cash equivalents, including the $335.5 million of gross proceeds it received from the issuance and sale of its Series C convertible preferred stock in April 2021 (see Note 15), will be sufficient to fund its operating expenses and capital expenditure requirements through March 31, 2022. The future viability of the Company beyond that point is dependent on its ability to raise additional capital to finance its operations.</w:t>
      </w:r>
    </w:p>
    <w:p>
      <w:pPr>
        <w:spacing w:after="0" w:line="165"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is seeking to complete an initial public offering (“IPO”) of its common stock. Upon the closing of a qualifying public offering on specified terms, the Company’s outstanding convertible preferred stock will automatically convert into common stock (see Notes 8 and 15).</w:t>
      </w:r>
    </w:p>
    <w:p>
      <w:pPr>
        <w:spacing w:after="0" w:line="146"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In the event the Company does not complete an IPO, the Company expects to seek additional funding through private equity financings,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7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May 21, 2021, the issuance date of the consolidated financial statements for the period from June 3, 2020 (inception) to December 31, 2020 and of the interim consolidated financial statements for the three months ended March 31, 2021, the Company has concluded that there is substantial doubt about its ability to continue as a going concern for a period of one year from the date that these consolidated financial statements are issued.</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accompanying consolidated financial statements do not include any adjustments relating to the recoverability and classification of recorded asset amounts or the amounts and classification of liabilities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continued emergence of variants of concern, the availability, administration and acceptance of vaccines and monoclonal antibodies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14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In addition, the Company’s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ultimate extent of the impact of the COVID-19 pandemic on the Company’s business, financial condition, operations and product development timelines and plans remains highly uncertain and will depend on future developments, including the duration and spread of the outbreak and its impact on the Company’s clinical trial design and enrollment, trial sites, contract research organizations, contract manufacturing organizations and other third parties with which it does business, as well as its impact on regulatory authorities and the Company’s key scientific and management personnel. To date, the Company has not experienced significant delays or disruptions in its development activities as a result of the COVID-19 pandemic but may in the future as the outbreak progresses and some of its contract research organizations, contract manufacturing organizations and other service providers continue to be impacted. The Company will continue to monitor developments as it addresses the disruptions, delays and uncertainties relating to the COVID-19 pandemic. These developments and the impact of the COVID-19 pandemic on the financial markets and the overall economy are highly uncertain and may materially adversely affect the Company’s results and operations and its ability to raise capital.</w:t>
      </w:r>
    </w:p>
    <w:p>
      <w:pPr>
        <w:spacing w:after="0" w:line="278" w:lineRule="exact"/>
        <w:rPr>
          <w:sz w:val="20"/>
          <w:szCs w:val="20"/>
          <w:color w:val="auto"/>
        </w:rPr>
      </w:pPr>
    </w:p>
    <w:p>
      <w:pPr>
        <w:ind w:left="560" w:right="7460" w:hanging="444"/>
        <w:spacing w:after="0" w:line="377" w:lineRule="auto"/>
        <w:tabs>
          <w:tab w:leader="none" w:pos="3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research and development expenses and related prepaid or accrued costs and the valuation of common stock and resulting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May 21, 2021, the issuance date of these consolidated financial statements. These estimates may change as new events occur and additional information is obtained.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accompanying consolidated balance sheet as of March 31, 2021 and the consolidated statements of operations and comprehensive loss, of cash flows and of convertible preferred stock and stockholders’ deficit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three months ended March 31, 2021 are unaudited. The unaudited interim consolidated financial statements have been prepared on the same basis as the audited consolidated financial statements for the period from June 3, 2020 (inception) to December 31, 2020 and, in the opinion of management, reflect all adjustments, which include only normal recurring adjustments, necessary for the fair statement of the Company’s financial position as of March 31, 2021 and the results of its operations and its cash flows for the three months ended March 31, 2021. The financial data and other information disclosed in these notes related to the three months ended March 31, 2021 are also unaudited. The results for the three months ended March 31, 2021 are not necessarily indicative of results to be expected for the year ending December 31, 2021, any other interim periods, or any future year or period.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preferred stock or in stockholders’ deficit as a reduction of additional paid-in capital generated as a result of the offering. Should the in-process equity financing be abandoned, the deferred offering costs would be expensed immediately as a charge to operating expenses in the consolidated statement of operations and comprehensive loss. The Company had no deferred offering costs recorded as of December 31, 2020. As of March 31, 2021 (unaudited), the Company had deferred offering costs totaling $0.1 million.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Concentrations of Credit Risk, Significant Suppliers and License Rights</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of cash and cash equivalents. The Company invests its excess cash in money market funds that are subject to minimal credit and market risks. The Company maintains its cash and cash equivalents at one accredited financial institution that it believes is creditworthy. From time to time, these deposits may exceed federally insured limits. The Company has not experienced any losses historically in these accounts. Accordingly, the Company does not believe it is exposed to unusual credit risk related to its cash and cash equivalents beyond the normal credit risk associated with commercial banking relationships.</w:t>
      </w:r>
    </w:p>
    <w:p>
      <w:pPr>
        <w:spacing w:after="0" w:line="161"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Company is dependent on third-party organizations to manufacture and process its product candidates for its development programs. In particular, the Company relies on a single third-party contract manufacturer to produce and process its current product candidate, ADG20, and to manufacture supply of its current product candidate for preclinical and clinical activities (see Note 7). The Company also currently relies on this same third-party contract manufacturer for any anticipated requirements of commercial supply. The Company expects to continue to be dependent on a small number of manufacturers to supply it with its requirements for all products. The Company’s research and development programs, including any associated potential commercialization efforts, could be adversely affected by a significant interruption in the supply of the necessary materials.</w:t>
      </w:r>
    </w:p>
    <w:p>
      <w:pPr>
        <w:spacing w:after="0" w:line="16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Company is dependent on a limited number of third parties that provide license rights used by the Company in the development and potential commercialization of its product candidates and programs. Through December 31, 2020 and March 31, 2021 (unaudited), the Company’s research and development programs primarily relate to rights conveyed by Adimab (see Note 6). The Company could experience delays in the development and potential commercialization of its product candidates and programs if the Adimab license arrangement or any other license agreement utilized in the Company’s research and development activities 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terminated, if the Company fails to meet the obligations required under its arrangements, or if the Company is unable to successfully secure new strategic alliances or licensing agreements.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acquisition date to be cash equivalents.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Certain assets of the Company are carried at fair value under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The Company’s cash equivalents are carried at fair value, determined according to the fair value hierarchy described above (see Note 3). The carrying values of the Company’s accounts payable and accrued expenses approximate their fair values due to the short-term nature of these liabilities.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trials as well as to manufacture research and development materials for use in such studies and trials; salaries and related personnel costs; stock-based compensation; consultant fees; and third-party license fees.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Company has entered into various research, development and manufacturing contracts with third-party service providers, including contract research organizations and contract manufacturing organizations. With the exception of the Company’s manufacturing arrangement with WuXi Biologics (Hong Kong) Limited (see Note 6), these agreements are generally cancelable.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 Acquisitions and Acquired In-Process Research and Development Expenses</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Acquired IPR&amp;D expense recognized for the period from June 3, 2020 (inception) to December 31, 2020 consisted of the upfront consideration paid in connection with the Company’s acquisition of assigned rights and an intellectual property license from Adimab and other in-licensing arrangements executed during the period (see Note 6). Acquired IPR&amp;D expense recognized for the three months ended March 31, 2021 consisted solely of the payment due for a milestone achieved under the Adimab arrangement (see Note 6).</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and Accretion of Convertible Preferred Stock</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Company’s convertible preferred stock is classified outside of stockholders’ deficit on the consolidated balance sheets because the holders of such shares have liquidation rights in the event of a deemed liquidation that, in certain situations, is not solely within the control of the Company and would require the redemption of the then-outstanding convertible preferred stock. The Company’s Series A and Series B convertible preferred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stock are not redeemable, except in the event of deemed liquidation (see Note 8).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issued awards with only service-based vesting conditions through December 31, 2020 and March 31, 2021 (unaudited).</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17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165"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2020 and March 31, 2021 (unaudited).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consolidated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 Company also considers the shares 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18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outstanding stock options, convertible preferred stock and unvested restricted common stock are considered potential dilutive common shares.</w:t>
      </w:r>
    </w:p>
    <w:p>
      <w:pPr>
        <w:spacing w:after="0" w:line="166"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 xml:space="preserve">In July 2017, the Financial Accounting Standards Board (“FASB”) issued Accounting Standards Update (“ASU”) No. 2017-11, </w:t>
      </w:r>
      <w:r>
        <w:rPr>
          <w:rFonts w:ascii="Arial" w:cs="Arial" w:eastAsia="Arial" w:hAnsi="Arial"/>
          <w:sz w:val="17"/>
          <w:szCs w:val="17"/>
          <w:i w:val="1"/>
          <w:iCs w:val="1"/>
          <w:color w:val="auto"/>
        </w:rPr>
        <w:t>Earnings 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 (Topic 260), Distinguishing Liabilities from Equity (Topic 480) and Derivatives and 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auto"/>
        </w:rPr>
        <w:t>(“ASU 2017-11”). Part I of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89" w:lineRule="auto"/>
        <w:rPr>
          <w:sz w:val="20"/>
          <w:szCs w:val="20"/>
          <w:color w:val="auto"/>
        </w:rPr>
      </w:pPr>
      <w:r>
        <w:rPr>
          <w:rFonts w:ascii="Arial" w:cs="Arial" w:eastAsia="Arial" w:hAnsi="Arial"/>
          <w:sz w:val="16"/>
          <w:szCs w:val="16"/>
          <w:color w:val="auto"/>
        </w:rPr>
        <w:t>(such as warrants and convertible instruments) with down round features that require fair value measurement of the entire instrument or conversion option. Pursuant to the amendments in Part I of this update, when determining whether certain financial instruments should be classified as liabilities or equity instruments, a down round feature no longer precludes equity classification when assessing whether the instrument is indexed to an entity’s own stock. Part II of this update replaces the indefinite deferral for certain mandatorily redeemable noncontrolling interests and mandatorily redeemable financial instruments of nonpublic entities contained within ASC No. 480 with a scope exception. The amendments in Part II of this update do not have an accounting effect. For public entities, ASU 2017-11 was required to be adopted for annual periods beginning after December 15, 2018, including interim periods within those fiscal years. For nonpublic entities, ASU 2017-11 is effective for annual periods beginning after December 15, 2019, and interim periods within fiscal years beginning after December 15, 2020. Early adoption was permitted. The Company adopted ASU 2017-11 on June 3, 2020 (inception) and the adoption did not have a material impact on the Company’s consolidated financial statements.</w:t>
      </w:r>
    </w:p>
    <w:p>
      <w:pPr>
        <w:spacing w:after="0" w:line="16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(“ASU 2018-07”). ASU 2018-07 is intended to simplify several aspects of the accounting for non-employee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ASU 2018-07 expands the scope of ASC 718 to include share-based payments issued to non-employees for goods and services. Under ASU 2018-07, entities should apply the requirements of ASC 718 to non-employee awards except for specific guidance on inputs to an option pricing model and the attribution of compensation cost. Accordingly, the accounting for share-based payments to employees and non-employees will be substantially aligned based on this update. The cost of non-employee awards is recorded as if the grantor had paid cash for the goods or services. For public entities, ASU 2018-07 was required to be adopted for annual periods beginning after December 15, 2018, including interim periods within those fiscal years. For nonpublic entities, ASU 2018-07 is effective for annual periods beginning after December 15, 2019, and interim periods within fiscal years beginning after December 15, 2020. Early adoption is permitted. The Company adopted ASU 2018-07 on June 3, 2020 (inception) and the adoption did not have a material impact on the Company’s consolidated financial statements.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7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or “ASC 842”), as subsequently amended. ASC 842 sets forth the principles for the recognition, measurement, presentation and disclosure of leases for both parties to a contract (i.e., lessees and lessors). ASC 842 replaces the existing guidance in ASC No.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ASC 842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In addition, a lessee is also required to record (i) a right-of-use asset and a lease liability on its balance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 xml:space="preserve">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ASC 842 also requires lessees and lessors to disclose key information about their leasing transactions.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entities. For public entities, ASU 2016-02 was effective for annual periods beginning after December 15, 2018, including interim periods within those fiscal years. In June 2020, the FASB issued ASU No. 2020-05, </w:t>
      </w:r>
      <w:r>
        <w:rPr>
          <w:rFonts w:ascii="Arial" w:cs="Arial" w:eastAsia="Arial" w:hAnsi="Arial"/>
          <w:sz w:val="16"/>
          <w:szCs w:val="16"/>
          <w:i w:val="1"/>
          <w:iCs w:val="1"/>
          <w:color w:val="auto"/>
        </w:rPr>
        <w:t>Revenue from Contracts with Customers (Topic 606) and Leases (Topic 842): Effective Dates for Certain Entities</w:t>
      </w:r>
      <w:r>
        <w:rPr>
          <w:rFonts w:ascii="Arial" w:cs="Arial" w:eastAsia="Arial" w:hAnsi="Arial"/>
          <w:sz w:val="16"/>
          <w:szCs w:val="16"/>
          <w:color w:val="auto"/>
        </w:rPr>
        <w:t xml:space="preserve"> (“ASU 2020-05”), which delayed the adoption date of ASU 2016-02 for nonpublic entities. For nonpublic entities, ASU 2016-02 is effective for annual periods beginning after December 15, 2021, including interim periods within annual periods beginning after December 15, 2022. Early adoption is permitted, including in an interim period. Entities are required to adopt ASC 842 using a modified retrospective transition method.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and also issued subsequent amendments to the initial guidance: ASU 2018-19, ASU 2019-04 and ASU 2019-05</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“Topic 326”). The main objective of this update is to provide financial statement users with more decision-useful information about the expected credit losses on financial instruments and other commitments to extend credit held by a reporting entity at each reporting date. To achieve this objective, the amendments in this update replace the incurred loss impairment methodology in current guidance with a methodology that reflects expected credit losses and requires consideration of a broader range of reasonable and supportable information to inform credit loss estimates. Under ASU 2016-13, expected credit losses relating to financial assets measured on an amortized cost basis and available-for-sale debt securities are required to be recorded through an allowance for credit losses. The update also limits the amount of credit losses to be recognized for available-for-sale debt securities to the amount by which the carrying value exceeds fair value. The measurement of expected credit losses will be based on relevant information about past events, including historical experience, current conditions and reasonable and supportable forecasts that affect the collectability of the reported amount. ASU 2016-13 also establishes additional disclosure requirements related to credit risks. For public entities that qualify as a filer with the Securities and Exchange Commission, excluding entities eligible to be smaller reporting companies, ASU 2016-13 is effective for annual periods beginning after December 15, 2019, including interim periods within those fiscal years. Early adoption is permitted. In November 2019, the FASB issued ASU No. 2019-10, which deferred the effective date for nonpublic entities to annual reporting periods beginning after December 15, 2022, including interim periods within those fiscal years. ASU 2016-13 is applied by means of a cumulative-effect adjustment to the opening retained earnings as of the beginning of the first reporting period in which the guidance is effective. The Company is currently evaluating the potential impact that the adoption of this standard may have on its consolidated financial statements and related disclosures.</w:t>
      </w:r>
    </w:p>
    <w:p>
      <w:pPr>
        <w:spacing w:after="0" w:line="17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The amendments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ASU 2018-15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update requires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 xml:space="preserve">entities in a hosting arrangement that is a service contract to follow the guidance in ASC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xml:space="preserve"> (“ASC 350-40”) to determine which implementation costs to capitalize as an asset related to the service contract and which costs to expense. Costs to develop or obtain internal-use software that cannot be capitalized under ASC 350-40, such as training costs and certain data conversion costs, also cannot be capitalized for a hosting arrangement that is a service contract. Therefore, an entity in a hosting arrangement that is a service contract determines which project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ASU 2018-15 also requires entities to expense the capitalized implementation costs of a hosting arrangement that is a service contract over the term of the hosting arrangement. ASU 2018-15 was effective for public entities for annual periods beginning after December 15, 2019, including interim periods within those fiscal years. For nonpublic entities, ASU 2018-15 is effective for annual reporting periods beginning after December 15, 2020, and interim periods within annual periods beginning after December 15, 2021. Early adoption is permitted, including adoption in any interim period. ASU 2018-15 is applied either retrospectively or prospectively to all implementation costs incurred after the date of adoption.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ASU 2019-12 eliminates certain exceptions related to the approach for intraperiod tax allocation, the methodology for calculating income taxes in an interim period and the recognition of deferred tax liabilities for outside basis differences. The update also clarifies and simplifies other aspects of the accounting for income taxes. For public entities, ASU 2019-12 is required to be adopted for annual periods beginning after December 15, 2020, including interim periods within those fiscal years. For nonpublic entities, ASU 2019-12 is effective for annual periods beginning after December 15, 2021, and interim periods within fiscal years beginning after December 15, 2022. Early adoption is permitted, including adoption in any interim period for which financial statements have not yet been issued or made available for issuance. An entity that elects to early adopt the update in an interim period should reflect any adjustments as of the beginning of the annual period that includes that interim period. Additionally, an entity that elects early adoption must adopt all the amendments in the update in the same period.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Hedging—Contracts in Entity’s Own Equity (Subtopic 815-40): Accounting for Convertible Instruments and Contracts in an Entity’s Own Equity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2020-06”). ASU 2020-06 was issued to reduce the complexity associated with accounting for certain financial instruments with characteristics of liabilities and equity. ASU 2020-06 reduces the number of accounting models for convertible debt instruments and convertible preferred stock and improves the disclosures for convertible instruments and related earnings per share guidance. ASU 2020-06 also amends the guidance for the derivatives scope exception for contracts in an entity’s own equity and improves and amends the related earnings per share guidance. For public entities that qualify as a filer with the Securities and Exchange Commission, excluding entities eligible to be smaller reporting companies, ASU 2020-06 is effective for fiscal annual periods beginning after December 15, 2021, including interim periods within those fiscal years. For nonpublic entities, ASU 2020-06 is effective for fiscal years beginning after December 15, 2023, including interim periods within those fiscal years. Early adoption is permitted, but no earlier than fiscal years beginning after December 15, 2020, including interim periods within those fiscal years. ASU 2020-06 must be adopted as of the beginning of its annual fiscal year. ASU 2020-06 may be adopted through either a modified retrospective method of transition or a fully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retrospective method of transition. The Company is currently evaluating the potential impact that the adoption of this standard may have on its consolidated financial statements and related disclosures.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tables present the Company’s fair value hierarchy for its assets and liabilities that are measured at fair value on a recurring basis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 at</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1"/>
              </w:rPr>
              <w:t>December 31, 2020 Using:</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39,006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 at</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w w:val="94"/>
              </w:rPr>
              <w:t>March 31, 2021 (unaudited) Using:</w:t>
            </w: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r>
      <w:tr>
        <w:trPr>
          <w:trHeight w:val="223"/>
        </w:trPr>
        <w:tc>
          <w:tcPr>
            <w:tcW w:w="7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15,274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money market fund was valued by the Company based on quoted market prices, which represent a Level 1 measurement within the fair value hierarchy. There were no changes to the valuation methods for the period from June 3, 2020 (inception) to December 31, 2020 and for the three months ended March 31, 2021 (unaudited). The Company evaluates transfers between levels at the end of each reporting period. There were no transfers between Level 1 or Level 2 during the period from June 3, 2020 (inception) to December 31, 2020 and the three months ended March 31, 2021 (unaudited).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5"/>
              </w:rPr>
              <w:t>Prepaid external research, development and manufacturing costs</w:t>
            </w:r>
          </w:p>
        </w:tc>
        <w:tc>
          <w:tcPr>
            <w:tcW w:w="402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r>
      <w:tr>
        <w:trPr>
          <w:trHeight w:val="27"/>
        </w:trPr>
        <w:tc>
          <w:tcPr>
            <w:tcW w:w="4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3,627</w:t>
            </w:r>
          </w:p>
        </w:tc>
      </w:tr>
      <w:tr>
        <w:trPr>
          <w:trHeight w:val="20"/>
        </w:trPr>
        <w:tc>
          <w:tcPr>
            <w:tcW w:w="4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4020" w:type="dxa"/>
            <w:vAlign w:val="bottom"/>
            <w:gridSpan w:val="2"/>
          </w:tcPr>
          <w:p>
            <w:pPr>
              <w:ind w:left="360"/>
              <w:spacing w:after="0"/>
              <w:rPr>
                <w:sz w:val="20"/>
                <w:szCs w:val="20"/>
                <w:color w:val="auto"/>
              </w:rPr>
            </w:pPr>
            <w:r>
              <w:rPr>
                <w:rFonts w:ascii="Arial" w:cs="Arial" w:eastAsia="Arial" w:hAnsi="Arial"/>
                <w:sz w:val="18"/>
                <w:szCs w:val="18"/>
                <w:color w:val="auto"/>
              </w:rPr>
              <w:t>F-19</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external research, development and manufacturing costs</w:t>
            </w: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15,774</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Accrued professional and consultant fees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1,084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7"/>
        </w:trPr>
        <w:tc>
          <w:tcPr>
            <w:tcW w:w="6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17,360</w:t>
            </w:r>
          </w:p>
        </w:tc>
      </w:tr>
      <w:tr>
        <w:trPr>
          <w:trHeight w:val="20"/>
        </w:trPr>
        <w:tc>
          <w:tcPr>
            <w:tcW w:w="6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License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auto"/>
        </w:rPr>
        <w:t>In July 2020, the Company entered into an Assignment and License Agreement with Adimab (“Adimab Assignment Agreement”). Under the terms of the agreement, Adimab assigned to the Company all rights, title and interest in and to certain of its coronavirus-specific antibodies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16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19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July 2020, in consideration for the rights assigned and license conveyed under the Adimab Assignment Agreement, the Company issued 5,000,000 shares of its Series A convertible preferred stock (the “Series A Preferred Stock”), then having a fair value of $40.0 million, to Adimab. Concurrently, Adimab relinquished 4,250,000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the second Product under the agreement that achieves such specified milestones. The maximum aggregate amount of milestone payments payable under the agreement for any and all Products is $24.6 million; however, milestone payments do not accrue for certain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devices consisting of or containing CoV Antibodies.</w:t>
      </w:r>
    </w:p>
    <w:p>
      <w:pPr>
        <w:spacing w:after="0" w:line="184"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In February 2021, the Company achieved the first specified milestone under the agreement upon dosing of the first patient in a Phase 1 clinical trial evaluating ADG20, which obligated the Company to make a $1.0 million milestone payment to Adimab. In April 2021, the Company achieved the second specified milestone under the agreement upon dosing of the first patient in a Phase 2 clinical trial evaluating ADG20 for the prevention of COVID-19, which obligated the Company to make a $2.5 million milestone payment. The Company recognized the expense related to the expected achievement of the second milestone in early April, when certain Phase 1 clinical trial data was submitted to the FDA for review and the second milestone under the agreement became probable of achievement. The next potential milestone payment that the Company may be obligated to make under the agreement is a $4.0 million milestone payment for the first dosing of the first subject in the first Phase 3 clinical trial of a Product.</w:t>
      </w:r>
    </w:p>
    <w:p>
      <w:pPr>
        <w:spacing w:after="0" w:line="166"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Company is also obligated to pay Adimab royalties of a mid 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which was paid by the Company to Adimab in March 2021, no other milestone, royalty or other contingent payments had become due to Adimab through December 31, 2020 or March 31, 2021 (unaudited).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Either party may terminate the agreement in the event of a material breach by the other party that is not cured within specified periods, except that after the initiation of the first clinical trial of a Product,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164"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Therefore, the aggregate acquisition cost was recognized as acquired in-process research and development expense. For the period from June 3, 2020 (inception) to December 31, 2020 and for the three months ended March 31, 2021 (unaudited), the Company recognized $39.9 million and $1.0 million, respectively, as IPR&amp;D expense in connection with upfront consideration and contingent consideration payable under the Adimab Assignment Agreement. The $39.9 million of costs to acquire the IPR&amp;D assets was determined as a result of the Company’s allocation of the $40.0 million aggregate fair value of the 5,000,000 shares of the Series A Preferred Stock that the Company issued to Adimab on the acquisition date in exchange for (i) the IPR&amp;D assets acquired from Adimab and (ii) 4,250,000 shares of the Company’s common stock that it repurchased from Adimab on that same date. The Company allocated the $40.0 million fair value of the 5,000,000 shares of Series A Preferred Stock to the IPR&amp;D assets and to the repurchased common stock based on their relative fair values on the acquisition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date. As of that date and before allocation, the Company determined that the fair value of the repurchased common stock was $85,000, based on the results of a third-party valuation, and that the fair value of the IPR&amp;D assets was $40.0 million. The Company determined the fair value of the 5,000,000 shares of Series A Preferred Stock based on the $8.00 price per share paid for the stock by new investors in the Company’s Series A Preferred Stock financing, which closed on the same date as the date on which the Company acquired the CoV Antibodies and Adimab CoV Assets under the Adimab Assignment Agreement.</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Amounts paid with respect to services performed by Adimab on the Company’s behalf under the Adimab Assignment Agreement are recognized as research and development expense as such amounts are incurred. For the period from June 3, 2020 (inception) to December 31, 2020 and for the three months ended March 31, 2021 (unaudited), the Company recognized $0.6 million and $0.2 million, respectively, of expense in connection with services provided by Adimab.</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WuXi Cell Line License Agreement</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In December 2020, the Company entered into a Cell Line License Agreement with WuXi Biologics (Hong Kong) Limited (“WuXi”) (the “Cell Line License Agreement”), under which WuXi granted to the Company a non-exclusive, non-transferable, worldwide, royalty-bearing, sublicensable license to certain of its intellectual property, including certain patent rights associated with a proprietary cell line developed by WuXi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(each of such transformed or transfected cell lines, a “Licensed Cell Line”).</w:t>
      </w:r>
    </w:p>
    <w:p>
      <w:pPr>
        <w:spacing w:after="0" w:line="19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Company was obligated to pay an upfront fee of $0.2 million to WuXi upon completion of cell bank generation for the first Licensed Cell Line created under the arrangement. Such amount became due in December 2020 and was an accrued expense as of December 31, 2020 and March 31, 2021 (unaudited). The Company is also obligated to pay royalties in the range of 0.3% to 0.5% to WuXi based on net sales of any Licensed Products manufactured by the Company or a third party on its behalf. However, if the Company uses WuXi to manufacture all of its commercial supplies, no royalties would be owed by the Company to WuXi for net sales of Licensed Products. The Company has an option to buy out its royalty obligations on a Licensed Cell Line-by-Licensed Cell Line basis by making a one-time payment of $15.0 million to WuXi. Royalties are due on a Licensed Product-by-Licensed Product basis commencing on the date of the first commercial sale of the applicable product and continue for so long as the Company commercializes Licensed Products or until the Company exercises its option to buy out the royalty obligations. Through December 31, 2020 and March 31, 2021 (unaudited), no royalties had become due to WuXi.</w:t>
      </w:r>
    </w:p>
    <w:p>
      <w:pPr>
        <w:spacing w:after="0" w:line="18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Cell Line License Agreement remains in effect until it is terminated. The Company may terminate the Cell Line License Agreement at any time with notice to WuXi. WuXi may terminate the Cell Line License Agreement in the event the Company fails to make a payment when due under the arrangement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to the Company will continue in full force and effect with respect to all Licensed Products manufactured using the Licensed Cell Line already generated under the arrangement, provided that the Company continues to pay its royalty obligations, if any.</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concluded that the Cell Line License Agreement represented an asset acquisition of IPR&amp;D with no alternative future use. The arrangement did not qualify as a business combination because substantially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all of the fair value of the assets acquired was concentrated in a single asset. Therefore, the aggregate acquisition cost of $0.2 million, consisting solely of the upfront fee, was recognized as acquired IPR&amp;D expense for the period from June 3, 2020 (inception) to December 31, 2020.</w:t>
      </w:r>
    </w:p>
    <w:p>
      <w:pPr>
        <w:spacing w:after="0" w:line="250" w:lineRule="exact"/>
        <w:rPr>
          <w:sz w:val="20"/>
          <w:szCs w:val="20"/>
          <w:color w:val="auto"/>
        </w:rPr>
      </w:pPr>
    </w:p>
    <w:p>
      <w:pPr>
        <w:ind w:left="560" w:right="8300" w:hanging="444"/>
        <w:spacing w:after="0" w:line="453" w:lineRule="auto"/>
        <w:tabs>
          <w:tab w:leader="none" w:pos="300" w:val="left"/>
        </w:tabs>
        <w:numPr>
          <w:ilvl w:val="0"/>
          <w:numId w:val="1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License Agreements</w:t>
      </w:r>
    </w:p>
    <w:p>
      <w:pPr>
        <w:ind w:left="560"/>
        <w:spacing w:after="0"/>
        <w:rPr>
          <w:rFonts w:ascii="Arial" w:cs="Arial" w:eastAsia="Arial" w:hAnsi="Arial"/>
          <w:sz w:val="15"/>
          <w:szCs w:val="15"/>
          <w:b w:val="1"/>
          <w:bCs w:val="1"/>
          <w:color w:val="auto"/>
        </w:rPr>
      </w:pPr>
      <w:r>
        <w:rPr>
          <w:rFonts w:ascii="Arial" w:cs="Arial" w:eastAsia="Arial" w:hAnsi="Arial"/>
          <w:sz w:val="18"/>
          <w:szCs w:val="18"/>
          <w:color w:val="auto"/>
        </w:rPr>
        <w:t>The Company has entered into license agreements with Adimab and WuXi (see Note 6).</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December 2020, the Company entered into a Commercial Manufacturing Services Agreement with WuXi (the “Commercial Manufacturing Agreement”). The Commercial Manufacturing Agreement outlines the terms and conditions under which WuXi will manufacture ADG20 drug substance for commercial use.</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As of December 31, 2020 and March 31, 2021 (unaudited), the Company committed to minimum non-cancelable purchase obligations of $142.4 million related to batches of ADG20 drug substance and $0.5 million related to certain services with respect to the product requirements for 2021 and 2022, the payments for which will extend into 2023. Future minimum payments under non-cancelable purchase obligations associated with the Commercial Manufacturing Agreement as of December 31, 2020 are expected to be as follows (in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21,799</w:t>
            </w:r>
          </w:p>
        </w:tc>
        <w:tc>
          <w:tcPr>
            <w:tcW w:w="6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66,972</w:t>
            </w:r>
          </w:p>
        </w:tc>
        <w:tc>
          <w:tcPr>
            <w:tcW w:w="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54,094</w:t>
            </w:r>
          </w:p>
        </w:tc>
        <w:tc>
          <w:tcPr>
            <w:tcW w:w="60" w:type="dxa"/>
            <w:vAlign w:val="bottom"/>
            <w:shd w:val="clear" w:color="auto" w:fill="CCEEFF"/>
          </w:tcPr>
          <w:p>
            <w:pPr>
              <w:spacing w:after="0"/>
              <w:rPr>
                <w:sz w:val="18"/>
                <w:szCs w:val="18"/>
                <w:color w:val="auto"/>
              </w:rPr>
            </w:pPr>
          </w:p>
        </w:tc>
      </w:tr>
      <w:tr>
        <w:trPr>
          <w:trHeight w:val="223"/>
        </w:trPr>
        <w:tc>
          <w:tcPr>
            <w:tcW w:w="164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142,865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December 31, 2020 and March 31, 2021 (unaudited), the Company had neither made any payments under the Commercial Manufacturing Agreement nor made any incremental purchases under the Commercial Manufacturing Agreement.</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Company has agreements with third parties that it enters into in the ordinary course of business for various products and services, including those related to research, preclinical and clinical operations, manufacturing and support. These contracts do not contain any minimum purchase commitments. Certain of these agreements provide for termination rights subject to the payment of termination fees and/or wind-down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2020 and March 31, 2021 (unaudited), the Company was not a party to any material legal proceedings.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Convertible Preferred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has issued Series A Preferred Stock and Series B convertible preferred stock (the “Series B Preferred Stock” and, together with the Series A Preferred Stock, the “Preferred Stock”).</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to Adimab as consideration payable pursuant to the Adimab Assignment Agreement (see Note 6).</w:t>
      </w:r>
    </w:p>
    <w:p>
      <w:pPr>
        <w:spacing w:after="0" w:line="18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In October and November 2020, the Company issued and sold 1,410,434 shares of Series B Preferred Stock, at a price of $56.72 per share, for gross proceeds of $80.0 million and incurred $0.2 million of issuance costs.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 issued and sold 4,296,550 shares of Series C convertible preferred stock, at a purchase price of $78.09 per share, for aggregate gross proceeds of $335.5 million (see Note 15).</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balance sheet dates, Preferred Stock consisted of the following (in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w w:val="93"/>
              </w:rPr>
              <w:t>December 31, 2020 and March 31, 2021 (unaudited)</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Shares Issued</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Liquidation</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Preference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11,237,500</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11,237,500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89,900</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1,410,434</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1,410,434</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79,842</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1,410,434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12,647,934</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12,647,934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169,548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169,900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12,647,934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Preferred Stock have the following rights and preferences: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The holders of the Preferred Stock are entitled to vote, together with the holders of common stock, on matters submitted to stockholders for a vote. Each holder of Preferred Stock is entitled to the number of votes equal to the number of whole shares of common stock into which the shares of Preferred Stock held by such holder is convertible as of the record date for determination of stockholders entitled to vote. The holders of Preferred Stock vote together with the holders of common stock as a single class on an as-converted basis. At any time when there are at least 2,250,000 shares of Series A Preferred Stock or at least 300,000 shares of Series B Preferred Stock (in each case, subject to appropriate adjustment in the event of any stock dividend, stock split, combination or other similar recapitalization) outstanding, certain actions such as mergers, acquisition, liquidation, dissolution, winding-up of the business, and deemed liquidation events, must be approved by a majority in voting power of the outstanding shares of Preferred Stock, voting as a single class.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the holders of shares of Series A Preferred Stock, voting exclusively and as a separate class, are entitled to elect four directors of the Company. The holders of shares of common stock and any other class or series of voting stock (including the Preferred Stock), exclusively and voting together as a single class, are entitled to elect the balance of the total number of directors of the Company.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Each share of Preferred Stock is convertible at the option of the holder, at any time, and without the payment of additional consideration by the holder. In addition, each share of Preferred Stock will be automatically converted into shares of common stock at the then-effective applicable conversion ratio upon either (i) the closing of a firm commitment public offering of common stock at a price of at least $85.08 per share (subject to appropriate adjustment in the event of any stock dividend, stock split, combination or other similar recapitalization), or (ii) the date specified by vote or written consent of the holders of a majority in voting power of the outstanding shares of Preferred Stock, voting as a single class.</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conversion ratio of each series of Preferred Stock is determined by dividing the Original Issue Price of each series by the Conversion Price of each series. The Original Issue Price is $8.00 per share for the Series A Preferred Stock and $56.72 per share for the Series B Preferred Stock. The Conversion Price is $8.00 per share for the Series A Preferred Stock and $56.72 per share for the Series B Preferred Stock (in each case subject to appropriate adjustment in the event of any stock dividend, stock split, combination or other similar recapitalization and other adjustments as set forth in the Company’s certificate of incorporation, as amended and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restated). As of December 31, 2020 and March 31, 2021 (unaudited), each share of Preferred Stock was convertible into common stock on a one-for-one basis.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Company may not declare, pay or set aside any dividends on shares of any other class or series of capital stock (other than dividends on shares of common stock payable in shares of common stock) unless the holders of the Preferred Stock then outstanding first receive, or simultaneously receive, a dividend on each outstanding share of Preferred Stock in an amount at least equal to (i) in the case of a dividend being distributed to common stock or any class or series that is convertible into common stock, the equivalent dividend on an as-converted basis or (ii) in the case of a dividend being distributed on a class or series that is not convertible into common stock, a dividend equal to a dividend rate on each series of Preferred Stock calculated based on the respective Original Issue Price of each series of Preferred Stock. If the Company declares, pays or sets aside dividends on more than one class or series of capital stock, then the dividend payable to the holders of Preferred Stock will be calculated based on the dividend on the class or series of capital stock that would result in the highest dividend to the holders of Preferred Stock. Through December 31, 2020 and March 31, 2021 (unaudited), no dividends had been declared or paid by the Company.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 xml:space="preserve">In the event of any voluntary or involuntary liquidation, dissolution or winding up of the Company, or upon the occurrence of a Deemed Liquidation Event (as defined below), the holders of shares of Preferred Stock then outstanding are entitled,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to be paid out of the assets or funds of the Company available for distribution to stockholders before any payment is made to the holders of common stock. The holders of Preferred Stock are entitled to an amount per share equal to the greater of (i) the applicable Original Issue Price of such series of Preferred Stock, plus any dividends declared but unpaid thereon, or (ii) the amount that would have been payable had all shares of each series of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holders of shares of Preferred Stock the full amount to which they are entitled, then the holders of shares of Preferred Stock will share ratably in any distribution of the assets or funds available for distribution in proportion to the respective amounts which would otherwise be payable if it were paid in full.</w:t>
      </w:r>
    </w:p>
    <w:p>
      <w:pPr>
        <w:spacing w:after="0" w:line="16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Unless (i) the holders of a majority in voting power of the outstanding shares of Preferred Stock and (ii) with respect to the Series B Preferred Stock only, the holders of at least 65% of the outstanding shares of Series B Preferred Stock, elect otherwise, a Deemed Liquidation Event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Preferred Stock does not have redemption rights, except for the contingent redemption upon the occurrence of a Deemed Liquidation Event.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voting, dividend and liquidation rights of the holders of shares of the Company’s common stock are subject to and qualified by the rights, powers and preferences of the holders of the Preferred Stock set forth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above. Each share of common stock entitles the holder to one vote for each share of common stock, together with the holders of Preferred Stock, on all matters submitted to the stockholders for a vote.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December 31, 2020 and March 31, 2021 (unaudited), the Company had reserved 16,093,347 shares of common stock for the potential conversion of shares of Preferred Stock into common stock, the exercise of outstanding stock options and the issuance of awards available for grant under the 2020 Equity Incentive Plan.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In June 2020, the Company issued and sold 4,250,000 shares of its common stock to Adimab upon formation of the Company for $0.0001 per share, equal to the par value of the common stock.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December 31, 2020 and March 31, 2021 (unaudited), the shares of common stock repurchased from Adimab were recorded as treasury stock in the accompanying consolidated balance sheets and consolidated statements of convertible preferred stock and stockholders’ deficit as such shares were not retired. The fair value of the repurchased common stock was $0.02 per share, or $85,000 in the aggregate, as determined based on a third-party valuation (see Note 6).</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April and May 2021, an aggregate of 4,520,000 shares of common stock held in treasury were retired (see Note 15).</w:t>
      </w:r>
    </w:p>
    <w:p>
      <w:pPr>
        <w:spacing w:after="0" w:line="329" w:lineRule="exact"/>
        <w:rPr>
          <w:sz w:val="20"/>
          <w:szCs w:val="20"/>
          <w:color w:val="auto"/>
        </w:rPr>
      </w:pPr>
    </w:p>
    <w:p>
      <w:pPr>
        <w:ind w:left="560" w:right="8560" w:hanging="444"/>
        <w:spacing w:after="0" w:line="425" w:lineRule="auto"/>
        <w:tabs>
          <w:tab w:leader="none" w:pos="389"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2020 Equity Incentive Plan</w:t>
      </w:r>
    </w:p>
    <w:p>
      <w:pPr>
        <w:jc w:val="both"/>
        <w:ind w:left="120" w:firstLine="440"/>
        <w:spacing w:after="0" w:line="255" w:lineRule="auto"/>
        <w:rPr>
          <w:sz w:val="20"/>
          <w:szCs w:val="20"/>
          <w:color w:val="auto"/>
        </w:rPr>
      </w:pPr>
      <w:r>
        <w:rPr>
          <w:rFonts w:ascii="Arial" w:cs="Arial" w:eastAsia="Arial" w:hAnsi="Arial"/>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number of shares of common stock initially reserved for issuances under the 2020 Plan was 1,985,294 shares. In October 2020, the Company’s board of directors increased the number of shares of common stock reserved for issuance under the plan from 1,985,294 shares to 4,564,061 shares. Accordingly, there were a total of 4,564,061 shares of common stock authorized for issuance under the 2020 Plan at December 31, 2020 and March 31, 2021 (unaudited). Shares of unused common stock that cover awards that expire or lapse or are terminated, surrendered or canceled without having been fully exercised or are forfeited will again be available for the grant of awards under the 2020 Plan. As of December 31, 2020 and March 31, 2021 (unaudited), there were 2,851,799 shares and 2,372,199 shares, respectively, remaining available for future grant under the 2020 Plan.</w:t>
      </w:r>
    </w:p>
    <w:p>
      <w:pPr>
        <w:spacing w:after="0" w:line="16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The Company’s board of directors determines the fair value the Company’s common stock, taking into consideration its most recently available valuation of common stock performed by third parties as well as additional factors which may have changed since the date of the most recent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 presents, on a weighted-average basis, the assumptions used in the Black-Scholes option-pricing model to determine the fair value of stock options granted: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4"/>
              </w:rPr>
              <w:t>Period from</w:t>
            </w: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1"/>
              </w:rPr>
              <w:t>December 31, 2020</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4"/>
                <w:szCs w:val="24"/>
                <w:color w:val="auto"/>
              </w:rPr>
            </w:pPr>
          </w:p>
        </w:tc>
        <w:tc>
          <w:tcPr>
            <w:tcW w:w="4020" w:type="dxa"/>
            <w:vAlign w:val="bottom"/>
            <w:gridSpan w:val="2"/>
          </w:tcPr>
          <w:p>
            <w:pPr>
              <w:jc w:val="right"/>
              <w:ind w:right="1948"/>
              <w:spacing w:after="0"/>
              <w:rPr>
                <w:sz w:val="20"/>
                <w:szCs w:val="20"/>
                <w:color w:val="auto"/>
              </w:rPr>
            </w:pPr>
            <w:r>
              <w:rPr>
                <w:rFonts w:ascii="Arial" w:cs="Arial" w:eastAsia="Arial" w:hAnsi="Arial"/>
                <w:sz w:val="18"/>
                <w:szCs w:val="18"/>
                <w:color w:val="auto"/>
              </w:rPr>
              <w:t>F-28</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stock option activity since June 3,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3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 2020 (inception)</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1,982,262</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(1,388,648)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593,614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Granted (unaudited)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502,600</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23.04</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 (unaudited)</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Forfeited (unaudited)</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(23,000)</w:t>
            </w:r>
          </w:p>
        </w:tc>
        <w:tc>
          <w:tcPr>
            <w:tcW w:w="1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23.04</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 (unaudited)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1,073,214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31, 2020</w:t>
            </w:r>
          </w:p>
        </w:tc>
        <w:tc>
          <w:tcPr>
            <w:tcW w:w="136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3.90</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9.8</w:t>
            </w: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593,614</w:t>
            </w:r>
          </w:p>
        </w:tc>
        <w:tc>
          <w:tcPr>
            <w:tcW w:w="5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2020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Vested and expected to vest at March 31, 2021 (unaudited)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1,073,214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12.45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2021 (unaudited)</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2020 and March 31, 2021 (unaudited), as applicable. All stock options exercised during the period from June 3, 2020 (inception) to December 31, 2020 were made pursuant to awards that contain early-exercise provisions. The intrinsic value of the options that were exercised for the period from June 3, 2020 (inception) to December 31, 2020 was $14,000.</w:t>
      </w:r>
    </w:p>
    <w:p>
      <w:pPr>
        <w:spacing w:after="0" w:line="188"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period from June 3, 2020 (inception) to December 31, 2020 and for the three months ended March 31, 2021 (unaudited) was $1.03 and $14.74, respectively, per option.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Early Exercise of Stock Options into Restricted Stock</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Company’s restricted stock activity during the period from June 3, 2020 (inception) to December 31, 2020 is solely due to shares of restricted common stock issued pursuant to the permitted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A summary of the Company’s unvested common stock from option early exercises that is subject to repurchase by the Company is as follows: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w:t>
            </w:r>
          </w:p>
        </w:tc>
      </w:tr>
      <w:tr>
        <w:trPr>
          <w:trHeight w:val="171"/>
        </w:trPr>
        <w:tc>
          <w:tcPr>
            <w:tcW w:w="100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of Shares</w:t>
            </w:r>
          </w:p>
        </w:tc>
      </w:tr>
      <w:tr>
        <w:trPr>
          <w:trHeight w:val="210"/>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at June 3, 2020 (inception)</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Issued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1,388,648</w:t>
            </w:r>
          </w:p>
        </w:tc>
      </w:tr>
      <w:tr>
        <w:trPr>
          <w:trHeight w:val="216"/>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10020" w:type="dxa"/>
            <w:vAlign w:val="bottom"/>
          </w:tcPr>
          <w:p>
            <w:pPr>
              <w:ind w:left="360"/>
              <w:spacing w:after="0"/>
              <w:rPr>
                <w:sz w:val="20"/>
                <w:szCs w:val="20"/>
                <w:color w:val="auto"/>
              </w:rPr>
            </w:pPr>
            <w:r>
              <w:rPr>
                <w:rFonts w:ascii="Arial" w:cs="Arial" w:eastAsia="Arial" w:hAnsi="Arial"/>
                <w:sz w:val="18"/>
                <w:szCs w:val="18"/>
                <w:color w:val="auto"/>
              </w:rPr>
              <w:t>Repurchased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at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1,118,648</w:t>
            </w:r>
          </w:p>
        </w:tc>
        <w:tc>
          <w:tcPr>
            <w:tcW w:w="140" w:type="dxa"/>
            <w:vAlign w:val="bottom"/>
            <w:shd w:val="clear" w:color="auto" w:fill="CCEEFF"/>
          </w:tcPr>
          <w:p>
            <w:pPr>
              <w:spacing w:after="0"/>
              <w:rPr>
                <w:sz w:val="18"/>
                <w:szCs w:val="18"/>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Issued (unaudited)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(unaudited)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10020" w:type="dxa"/>
            <w:vAlign w:val="bottom"/>
          </w:tcPr>
          <w:p>
            <w:pPr>
              <w:ind w:left="360"/>
              <w:spacing w:after="0"/>
              <w:rPr>
                <w:sz w:val="20"/>
                <w:szCs w:val="20"/>
                <w:color w:val="auto"/>
              </w:rPr>
            </w:pPr>
            <w:r>
              <w:rPr>
                <w:rFonts w:ascii="Arial" w:cs="Arial" w:eastAsia="Arial" w:hAnsi="Arial"/>
                <w:sz w:val="18"/>
                <w:szCs w:val="18"/>
                <w:color w:val="auto"/>
              </w:rPr>
              <w:t>Repurchased (unaudited)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at March 31, 2021 (unaudited)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1,118,648</w:t>
            </w:r>
          </w:p>
        </w:tc>
      </w:tr>
      <w:tr>
        <w:trPr>
          <w:trHeight w:val="20"/>
        </w:trPr>
        <w:tc>
          <w:tcPr>
            <w:tcW w:w="10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Proceeds from the early exercise of stock options are recorded as an early-exercise liability on the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December 31, 2020 and March 31, 2021 (unaudited), the liability related to the payments for unvested shares from early-exercised options was $11,000 at each date.</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December 2020, the Company repurchased 270,000 shares of restricted common stock for $2,700, which was recorded as a reduction of the early-exercise liability and as shares of treasury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consolidated statements of operations and comprehensive loss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Period from</w:t>
            </w:r>
          </w:p>
        </w:tc>
        <w:tc>
          <w:tcPr>
            <w:tcW w:w="54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5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6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December 31, 2020</w:t>
            </w:r>
          </w:p>
        </w:tc>
        <w:tc>
          <w:tcPr>
            <w:tcW w:w="54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As of December 31, 2020, total unrecognized stock-based compensation cost related to unvested awards was $1.9 million and the weighted-average period over which such expense is expected to be recognized is 3.5 years. As of March 31, 2021 (unaudited), total unrecognized stock-based compensation cost related to unvested awards was $8.4 million and the weighted-average period over which such expense is expected to be recognized is 3.3 years.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During the period from June 3, 2020 (inception) to December 31, 2020 and three months ended March 31, 2021 (unaudited), the Company did not record income tax benefits for the net operating losses incurred or for the research and development tax credits generated in each period, due to its uncertainty of realizing a benefit from those items. All of the Company’s operating losses since inception have been generated in the United States.</w:t>
      </w:r>
    </w:p>
    <w:p>
      <w:pPr>
        <w:spacing w:after="0" w:line="14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March 2020, the Coronavirus Aid, Relief, and Economic Security (“CARES”) Act was enacted. Among the business provisions, the CARES Act provided for various payroll tax incentives, changes to net operating loss carryback and carryforward rules, business interest expense limitation increases, and bonus depreciation on qualified improvement property. The Company determined that the CARES Act did not have a significant impact on its provision for income taxes.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9600" w:type="dxa"/>
            <w:vAlign w:val="bottom"/>
          </w:tcPr>
          <w:p>
            <w:pPr>
              <w:spacing w:after="0"/>
              <w:rPr>
                <w:sz w:val="12"/>
                <w:szCs w:val="12"/>
                <w:color w:val="auto"/>
              </w:rPr>
            </w:pPr>
          </w:p>
        </w:tc>
        <w:tc>
          <w:tcPr>
            <w:tcW w:w="14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0" w:type="dxa"/>
            <w:vAlign w:val="bottom"/>
          </w:tcPr>
          <w:p>
            <w:pPr>
              <w:spacing w:after="0"/>
              <w:rPr>
                <w:sz w:val="1"/>
                <w:szCs w:val="1"/>
                <w:color w:val="auto"/>
              </w:rPr>
            </w:pPr>
          </w:p>
        </w:tc>
      </w:tr>
      <w:tr>
        <w:trPr>
          <w:trHeight w:val="148"/>
        </w:trPr>
        <w:tc>
          <w:tcPr>
            <w:tcW w:w="9600" w:type="dxa"/>
            <w:vAlign w:val="bottom"/>
          </w:tcPr>
          <w:p>
            <w:pPr>
              <w:spacing w:after="0"/>
              <w:rPr>
                <w:sz w:val="12"/>
                <w:szCs w:val="12"/>
                <w:color w:val="auto"/>
              </w:rPr>
            </w:pPr>
          </w:p>
        </w:tc>
        <w:tc>
          <w:tcPr>
            <w:tcW w:w="14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71"/>
        </w:trPr>
        <w:tc>
          <w:tcPr>
            <w:tcW w:w="96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State income taxes, net of federal benefit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and state research and development tax credits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Non-deductible IPR&amp;D expense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deferred tax asset valuation allowance</w:t>
            </w: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0" w:type="dxa"/>
            <w:vAlign w:val="bottom"/>
            <w:vMerge w:val="restart"/>
          </w:tcPr>
          <w:p>
            <w:pPr>
              <w:ind w:left="440"/>
              <w:spacing w:after="0"/>
              <w:rPr>
                <w:sz w:val="20"/>
                <w:szCs w:val="20"/>
                <w:color w:val="auto"/>
              </w:rPr>
            </w:pPr>
            <w:r>
              <w:rPr>
                <w:rFonts w:ascii="Arial" w:cs="Arial" w:eastAsia="Arial" w:hAnsi="Arial"/>
                <w:sz w:val="18"/>
                <w:szCs w:val="18"/>
                <w:color w:val="auto"/>
              </w:rPr>
              <w:t>The Company’s net deferred tax assets consisted of the following (in thousands):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6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tax credits carryforwards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Valuation allowance</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tax assets</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As of December 31, 2020, the Company had U.S. federal net operating loss carryforwards of $24.4 million, which may be available to reduce future taxable income. All of the U.S. federal net operating loss carryforwards have an indefinite carryforward period but are limited in their usage to an annual deduction equal to 80% of annual taxable income. In addition, as of December 31, 2020, the Company had state net operating loss carryforwards of $3.7 million, which may be available to reduce future taxable income, of which $0.3 million have an indefinite carryforward period while the remaining $3.4 million begin to expire in 2040. As of December 31, 2020, the Company also had U.S. federal and state research and development tax credit carryforwards of $0.1 million and $16,000, respectively, which may be available to reduce future tax liabilities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ind w:left="120" w:right="3160" w:firstLine="3150"/>
        <w:spacing w:after="0" w:line="454" w:lineRule="auto"/>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and expire at various dates beginning in 2040 and 2035, respectively.</w:t>
      </w:r>
    </w:p>
    <w:p>
      <w:pPr>
        <w:spacing w:after="0" w:line="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Utilization of the U.S. federal and state net operating loss carryforwards and research and development tax credit carryforwards may be subject to a substantial annual limitation under Sections 382 and 383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their utilization. Further, until a study is completed by the Company and any limitation is known, no amounts are being presented as an uncertain tax position.</w:t>
      </w:r>
    </w:p>
    <w:p>
      <w:pPr>
        <w:spacing w:after="0" w:line="16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losses since inception, expectation of future losses and lack of other positive evidence and has concluded that it is more likely than not that the Company will not realize the benefits of the deferred tax assets. Accordingly, a full valuation allowance has been established against the net deferred tax assets as of December 31, 2020 and March 31, 2021 (unaudited). Management reevaluates the positive and negative evidence at each reporting period. During the period from June 3, 2020 (inception) to December 31, 2020, the Company increased its valuation allowance by $5.7 million, with such increase recognized as income tax expense, in order to maintain a full valuation allowance against its deferred tax assets, and there were no changes recorded to the allowance during the period.</w:t>
      </w:r>
    </w:p>
    <w:p>
      <w:pPr>
        <w:spacing w:after="0" w:line="17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financial statements is reduced by the largest benefit that has a greater than 50% likelihood of being realized upon the ultimate settlement with the relevant taxing authority. As of December 31, 2020 and March 31, 2021 (unaudited), the Company had not recorded any reserves for uncertain tax positions or related interest and penalties.</w:t>
      </w:r>
    </w:p>
    <w:p>
      <w:pPr>
        <w:spacing w:after="0" w:line="16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Company files income tax returns in the U.S. federal and various state jurisdictions and is not currently under examination by any taxing authority for any open tax year. Due to net operating loss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Defined Contribution Plan</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maintains a 401(k) Plan (the “401(k) Plan”) for the benefit of eligible employees. The 401(k) Plan is a defined contribution plan under Section 401(k) of the Internal Revenue Code of 1986 that covers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period from June 3, 2020 (inception) to December 31, 2020 and the three months ended March 31, 2021 (unaudited), the Company made contributions of $36,000 and $0.1 million, respectively, to the 401(k)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 from</w:t>
            </w:r>
          </w:p>
        </w:tc>
      </w:tr>
      <w:tr>
        <w:trPr>
          <w:trHeight w:val="148"/>
        </w:trPr>
        <w:tc>
          <w:tcPr>
            <w:tcW w:w="9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June 3, 2020</w:t>
            </w:r>
          </w:p>
        </w:tc>
      </w:tr>
      <w:tr>
        <w:trPr>
          <w:trHeight w:val="148"/>
        </w:trPr>
        <w:tc>
          <w:tcPr>
            <w:tcW w:w="9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(Inception) to</w:t>
            </w:r>
          </w:p>
        </w:tc>
      </w:tr>
      <w:tr>
        <w:trPr>
          <w:trHeight w:val="171"/>
        </w:trPr>
        <w:tc>
          <w:tcPr>
            <w:tcW w:w="974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(65,319)</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721,698</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(90.51)</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Net loss per share data is not applicable for the three months ended March 31, 2021 (unaudited) as the Company had no shares of common stock outstanding for accounting purposes during that period. All of the 1,118,648 shares of common stock issued and outstanding as of December 31, 2020 and March 31, 2021 (unaudited) were shares of unvested restricted common stock issued by the Company upon the early exercise of stock options granted in June 2020. As a result, such shares are not considered outstanding for accounting purposes until vested and were excluded from the calculations of basic net loss per share attributable to common stockholders for the period from June 3, 2020 (inception) to December 31, 2020 and for the three months ended March 31, 2021 (unaudited). For the period from June 3, 2020 (inception) to December 31, 2020, the 721,698 shares of common stock outstanding solely reflect the weighted-average period that 4,250,000 shares of common stock repurchased by the Company from Adimab (see Note 6) were outstanding during that period.</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Period from</w:t>
            </w:r>
          </w:p>
        </w:tc>
      </w:tr>
      <w:tr>
        <w:trPr>
          <w:trHeight w:val="148"/>
        </w:trPr>
        <w:tc>
          <w:tcPr>
            <w:tcW w:w="4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June 3, 2020</w:t>
            </w:r>
          </w:p>
        </w:tc>
      </w:tr>
      <w:tr>
        <w:trPr>
          <w:trHeight w:val="149"/>
        </w:trPr>
        <w:tc>
          <w:tcPr>
            <w:tcW w:w="4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(Inception) to</w:t>
            </w:r>
          </w:p>
        </w:tc>
      </w:tr>
      <w:tr>
        <w:trPr>
          <w:trHeight w:val="171"/>
        </w:trPr>
        <w:tc>
          <w:tcPr>
            <w:tcW w:w="4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49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12,647,934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6180" w:type="dxa"/>
            <w:vAlign w:val="bottom"/>
            <w:gridSpan w:val="3"/>
          </w:tcPr>
          <w:p>
            <w:pPr>
              <w:jc w:val="right"/>
              <w:ind w:right="60"/>
              <w:spacing w:after="0"/>
              <w:rPr>
                <w:sz w:val="20"/>
                <w:szCs w:val="20"/>
                <w:color w:val="auto"/>
              </w:rPr>
            </w:pPr>
            <w:r>
              <w:rPr>
                <w:rFonts w:ascii="Arial" w:cs="Arial" w:eastAsia="Arial" w:hAnsi="Arial"/>
                <w:sz w:val="18"/>
                <w:szCs w:val="18"/>
                <w:color w:val="auto"/>
              </w:rPr>
              <w:t>593,614</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6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1,118,648</w:t>
            </w:r>
          </w:p>
        </w:tc>
      </w:tr>
      <w:tr>
        <w:trPr>
          <w:trHeight w:val="223"/>
        </w:trPr>
        <w:tc>
          <w:tcPr>
            <w:tcW w:w="48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14,360,196</w:t>
            </w:r>
          </w:p>
        </w:tc>
        <w:tc>
          <w:tcPr>
            <w:tcW w:w="6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840" w:type="dxa"/>
            <w:vAlign w:val="bottom"/>
          </w:tcPr>
          <w:p>
            <w:pPr>
              <w:spacing w:after="0"/>
              <w:rPr>
                <w:sz w:val="24"/>
                <w:szCs w:val="24"/>
                <w:color w:val="auto"/>
              </w:rPr>
            </w:pPr>
          </w:p>
        </w:tc>
        <w:tc>
          <w:tcPr>
            <w:tcW w:w="6180" w:type="dxa"/>
            <w:vAlign w:val="bottom"/>
            <w:gridSpan w:val="3"/>
          </w:tcPr>
          <w:p>
            <w:pPr>
              <w:ind w:left="500"/>
              <w:spacing w:after="0"/>
              <w:rPr>
                <w:sz w:val="20"/>
                <w:szCs w:val="20"/>
                <w:color w:val="auto"/>
              </w:rPr>
            </w:pPr>
            <w:r>
              <w:rPr>
                <w:rFonts w:ascii="Arial" w:cs="Arial" w:eastAsia="Arial" w:hAnsi="Arial"/>
                <w:sz w:val="18"/>
                <w:szCs w:val="18"/>
                <w:color w:val="auto"/>
              </w:rPr>
              <w:t>F-33</w:t>
            </w:r>
          </w:p>
        </w:tc>
      </w:tr>
    </w:tbl>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6). As of December 31, 2020 and March 31, 2021 (unaudited), $0.6 million and $0.2 million, respectively, was due to Adimab by the Company. As of December 31, 2020 and March 31, 2021 (unaudited), no amounts were due from Adimab to the Company.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21, 2021, the Company entered into a collaboration agreement with Adimab (see Note 15).</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its consolidated financial statements as of December 31, 2020 for the period from June 3, 2020 (inception) to December 31, 2020 and for its interim consolidated financial statements as of March 31, 2021 and for the three months then ended, the Company evaluated subsequent events through May 21, 2021, the date on which those financial statements were issued.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 of Stock Options under the 2020 Plan</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January 2021, the Company granted options for the purchase of an aggregate of 502,600 shares of common stock, at an exercise price of $23.04 per share. In April 2021, the Company granted options for the purchase of an aggregate of 239,750 shares of common stock, at an exercise price of $41.80 per share. On May 7, 2021, the Company granted options for the purchase of an aggregate of 1,268,348 shares of common stock, at an exercise price of $50.68 per share. The aggregate grant-date fair value of the options granted under these three option grants was $56.3 million, which is expected to be recognized as stock-based compensation expense over a weighted-average period of approximately 3.8 years.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Milestone Achievements under the Adimab Assignment Agreement</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February 2021, the Company dosed the first patient in a Phase 1 clinical trial evaluating ADG20, which resulted in a milestone payment of $1.0 million being due by the Company under the Adimab Assignment Agreement. In March 2021, the Company made the $1.0 million payment to Adimab.</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 dosed the first patient in a Phase 2 clinical trial evaluating ADG20 for the prevention of COVID-19, which resulted in a milestone payment of $2.5 million being due by the Company under the Adimab Assignment Agreement.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 in Authorized Number of Shares of Common Stock and Preferred Stock</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April 2021, the Company increased the number of shares of common stock authorized for issuance from 19,000,000 shares to 23,251,555 shares and increased the number of shares of preferred stock authorized for issuance from 12,647,934 shares to 16,944,484 shares, of which 4,296,550 shares were designated as Series C convertible preferred stock (the “Series C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 in Shares Reserved for Issuance under the 2020 Plan</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Company’s board of directors increased the number of shares of common stock reserved for issuance under the plan from 4,564,061 shares to 5,850,958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Treasury Stock Retirement</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and May 2021, the Company retired an aggregate of 4,520,000 shares of its common stock held in treasury. Upon retirement, the shares were redesignated as authorized but unissued shares of the Company’s common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 and Sale of Series C Convertible Preferred Stock</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April 2021, the Company issued and sold 4,296,550 shares of its Series C Preferred Stock, at a purchase price of $78.08578 per share, for aggregate gross proceeds of $335.5 million. Adimab, a related party, participated in the Series C Preferred Stock financing by purchasing 128,064 shares of Series C Preferred Stock for an aggregate purchase price of $10.0 million.</w:t>
      </w:r>
    </w:p>
    <w:p>
      <w:pPr>
        <w:spacing w:after="0" w:line="184"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The terms of the Series C Preferred Stock are substantially the same as the terms of the Series A Preferred Stock and Series B Preferred Stock (see Note 8), except that the Original Issue Price per share and the Conversion Price per share of the Series C Preferred Stock is $78.08578. In addition, in connection with the Series C Preferred Stock financing, the definition of a qualifying initial public offering requiring the automatic conversion of all shares of outstanding preferred stock into common stock was amended to be the closing of a firm commitment public offering of common stock at a price of at least $85.08 per share (subject to appropriate adjustment in the event of any stock dividend, stock split, combination or other similar recapitalization), resulting in at least $75.0 million of gross proceeds to the Company.</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Upon issuance of these shares of Series C Preferred Stock, the Company assessed the embedded conversion and liquidation features of the shares and determined that such features did not require the Company to separately account for these features. The Company also concluded that no beneficial conversion feature existed as of the issuance date of the shares of Series C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On May 21, 2021, the Company entered into a collaboration agreement with Adimab (the “Adimab Collaboration Agreement”) for the discovery and optimization of proprietary antibodies as potential therapeutic product candidates. Under the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non-exclusive, non-sublicensable license to certain of the Company’s patents and intellectual property solely to perform Adimab’s responsibilities under the research plans. Under the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research program.</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is obligated to pay Adimab a quarterly fee of $1.3 million, which obligation may be cancelled at the Company’s option at any time. For so long as the Company is paying such quarterly fee (or earlier if (i)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w:t>
      </w:r>
    </w:p>
    <w:p>
      <w:pPr>
        <w:spacing w:after="0" w:line="17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Company is obligated to pay Adimab up to $18.0 million upon the achievement of specified development and regulatory milestones for each product under the agreement that achieves such milestones. The Company is also obligated to pay Adimab royalties of a mid single-digit percentage based on net sales of any product under the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72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490220</wp:posOffset>
            </wp:positionV>
            <wp:extent cx="1388745" cy="3771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887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9"/>
          <w:szCs w:val="29"/>
          <w:i w:val="1"/>
          <w:iCs w:val="1"/>
          <w:color w:val="auto"/>
        </w:rPr>
        <w:t>PROSPECTUS</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3720" w:val="left"/>
          <w:tab w:leader="none" w:pos="5560" w:val="left"/>
          <w:tab w:leader="none" w:pos="7900" w:val="left"/>
        </w:tabs>
        <w:rPr>
          <w:sz w:val="20"/>
          <w:szCs w:val="20"/>
          <w:color w:val="auto"/>
        </w:rPr>
      </w:pPr>
      <w:r>
        <w:rPr>
          <w:rFonts w:ascii="Arial" w:cs="Arial" w:eastAsia="Arial" w:hAnsi="Arial"/>
          <w:sz w:val="21"/>
          <w:szCs w:val="21"/>
          <w:i w:val="1"/>
          <w:iCs w:val="1"/>
          <w:color w:val="auto"/>
        </w:rPr>
        <w:t>MORGAN STANLEY</w:t>
      </w:r>
      <w:r>
        <w:rPr>
          <w:sz w:val="20"/>
          <w:szCs w:val="20"/>
          <w:color w:val="auto"/>
        </w:rPr>
        <w:tab/>
      </w:r>
      <w:r>
        <w:rPr>
          <w:rFonts w:ascii="Arial" w:cs="Arial" w:eastAsia="Arial" w:hAnsi="Arial"/>
          <w:sz w:val="21"/>
          <w:szCs w:val="21"/>
          <w:i w:val="1"/>
          <w:iCs w:val="1"/>
          <w:color w:val="auto"/>
        </w:rPr>
        <w:t>JEFFERIES</w:t>
      </w:r>
      <w:r>
        <w:rPr>
          <w:sz w:val="20"/>
          <w:szCs w:val="20"/>
          <w:color w:val="auto"/>
        </w:rPr>
        <w:tab/>
      </w:r>
      <w:r>
        <w:rPr>
          <w:rFonts w:ascii="Arial" w:cs="Arial" w:eastAsia="Arial" w:hAnsi="Arial"/>
          <w:sz w:val="21"/>
          <w:szCs w:val="21"/>
          <w:i w:val="1"/>
          <w:iCs w:val="1"/>
          <w:color w:val="auto"/>
        </w:rPr>
        <w:t>STIFEL</w:t>
      </w:r>
      <w:r>
        <w:rPr>
          <w:sz w:val="20"/>
          <w:szCs w:val="20"/>
          <w:color w:val="auto"/>
        </w:rPr>
        <w:tab/>
      </w:r>
      <w:r>
        <w:rPr>
          <w:rFonts w:ascii="Arial" w:cs="Arial" w:eastAsia="Arial" w:hAnsi="Arial"/>
          <w:sz w:val="19"/>
          <w:szCs w:val="19"/>
          <w:i w:val="1"/>
          <w:i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Until , 2021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2021</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Nasdaq Global Market initial listing fee.</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gridSpan w:val="2"/>
          </w:tcPr>
          <w:p>
            <w:pPr>
              <w:spacing w:after="0"/>
              <w:rPr>
                <w:sz w:val="14"/>
                <w:szCs w:val="14"/>
                <w:color w:val="auto"/>
              </w:rPr>
            </w:pPr>
          </w:p>
        </w:tc>
      </w:tr>
      <w:tr>
        <w:trPr>
          <w:trHeight w:val="209"/>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Printing</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8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6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8600" w:type="dxa"/>
            <w:vAlign w:val="bottom"/>
            <w:gridSpan w:val="3"/>
          </w:tcPr>
          <w:p>
            <w:pPr>
              <w:ind w:left="160"/>
              <w:spacing w:after="0"/>
              <w:rPr>
                <w:sz w:val="20"/>
                <w:szCs w:val="20"/>
                <w:color w:val="auto"/>
              </w:rPr>
            </w:pPr>
            <w:r>
              <w:rPr>
                <w:rFonts w:ascii="Arial" w:cs="Arial" w:eastAsia="Arial" w:hAnsi="Arial"/>
                <w:sz w:val="18"/>
                <w:szCs w:val="18"/>
                <w:color w:val="auto"/>
              </w:rPr>
              <w:t>To be provided by amendment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8"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6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As permitted by the Delaware General Corporation Law, our amended and restated certificate of incorporation and bylaws to be in effect upon the closing of this offering will provide that: (i) we are required to indemnify our directors to the fullest extent permitted by the Delaware General Corporation Law; (ii) we may, in our discretion, indemnify our officers, employees and agents as set forth in the Delaware General Corporation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Law;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184"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In connection with this offering, we expect to enter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will also set forth certain procedures that will apply in the event of a claim for indemnification thereunder. We intend to enter into similar indemnification agreements with our executive officers prior to the completion of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addition, the underwriting agreement filed as Exhibit 1.1 to this Registration Statement provides for indemnification by the underwriters of us and our officers and directors for certain liabilities arising under the Securities Act, or otherwise. Our amended and restated investor rights agreement with certain investors also provides for cross-indemnification in connection with the registration of our common stock on behalf of such investors.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list sets forth information regarding all unregistered securities sold by us since our inception through the date of the prospectus that forms a part of this registration statement.</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July 2020, we issued and sold an aggregate of 6,237,500 shares of our Series A preferred stock to 24 investors at a purchase price of $8.00 per share, for aggregate consideration of $49.9 million.</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July 2020, we issued 5,000,000 shares of our Series A preferred stock to Adimab in connection with the assignment and license agreement pursuant to which Adimab assigned to us all coronavirus antibodies controlled by it and certain related intellectual property and granted us a license to its platform technology to research, develop, make, use and sell coronavirus antibodies and products containing or comprising coronavirus antibodies.</w:t>
      </w:r>
    </w:p>
    <w:p>
      <w:pPr>
        <w:spacing w:after="0" w:line="149"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In October and November 2020, we issued and sold an aggregate of 1,410,434 shares of our Series B preferred stock to 16 investors at a purchase price of $56.72 per share, for aggregate consideration of $80.0 million.</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we issued and sold an aggregate of 4,296,550 shares of our Series C preferred stock to 36 investors at a purchase price of $78.08578 per share, for aggregate consideration of $335.5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June 3, 2020 (the date of our inception) through the date of this registration statement, we granted options under our 2020 Equity Incentive</w:t>
      </w:r>
    </w:p>
    <w:p>
      <w:pPr>
        <w:spacing w:after="0" w:line="4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Plan to purchase an aggregate of shares of common stock, at a weighted-average exercise price of per share, to our employees, directors and consultants. Of these, shares have been issued upon the exercise of options for aggregate consideration of $ and options for the purchase of shares of common stock have been forfeited, expired or cancelled.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below are filed as part of this registration.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40" w:type="dxa"/>
            <w:vAlign w:val="bottom"/>
            <w:gridSpan w:val="3"/>
            <w:vMerge w:val="restart"/>
          </w:tcPr>
          <w:p>
            <w:pPr>
              <w:ind w:left="14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Amended and Restated Certificate of Incorporation of the Registrant (as amended and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Bylaws of the Registrant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w w:val="99"/>
              </w:rPr>
              <w:t>Form of Amended and Restated Certificate of Incorporation of the Registrant (to be effective upon the closing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w w:val="90"/>
              </w:rPr>
              <w:t>Second Amended and Restated Investors’ Rights Agreement, by and among the Registrant and certain of its stockholders, dated April 16,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gridSpan w:val="2"/>
          </w:tcPr>
          <w:p>
            <w:pPr>
              <w:ind w:left="520"/>
              <w:spacing w:after="0"/>
              <w:rPr>
                <w:sz w:val="20"/>
                <w:szCs w:val="20"/>
                <w:color w:val="auto"/>
              </w:rPr>
            </w:pPr>
            <w:r>
              <w:rPr>
                <w:rFonts w:ascii="Arial" w:cs="Arial" w:eastAsia="Arial" w:hAnsi="Arial"/>
                <w:sz w:val="18"/>
                <w:szCs w:val="18"/>
                <w:color w:val="auto"/>
              </w:rPr>
              <w:t>2021.</w:t>
            </w: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Opinion of Cooley LLP.</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2020 Equity Incentive Plan and Forms of Stock Option Agreement, Notice of Stock Option Grant and Notice of Exercise.</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w w:val="93"/>
              </w:rPr>
              <w:t>2021 Equity Incentive Plan and Forms of Option Grant Notice and Agreement, Exercise Notice, Early Exercise Notice and Restricted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Stock Award Notice.</w:t>
            </w: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3"/>
              </w:rPr>
              <w:t>2021 Employee Stock Purchase Plan.</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Form of Indemnification Agreement with Executive Officers and Directors.</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10.5†#*</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Assignment and License Agreement by and between the Registrant and Adimab, LLC, dated July 8,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10.6†#*</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Collaboration Agreement by and between the Registrant and Adimab, LLC, dated May 21, 2021.</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10.7†#*</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w w:val="97"/>
              </w:rPr>
              <w:t>Commercial Manufacturing Services Agreement by and between the Registrant and WuXi Biologics (Hong Kong) Limited, dated</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60" w:type="dxa"/>
            <w:vAlign w:val="bottom"/>
            <w:gridSpan w:val="2"/>
          </w:tcPr>
          <w:p>
            <w:pPr>
              <w:spacing w:after="0" w:line="190" w:lineRule="exact"/>
              <w:rPr>
                <w:sz w:val="20"/>
                <w:szCs w:val="20"/>
                <w:color w:val="auto"/>
              </w:rPr>
            </w:pPr>
            <w:r>
              <w:rPr>
                <w:rFonts w:ascii="Arial" w:cs="Arial" w:eastAsia="Arial" w:hAnsi="Arial"/>
                <w:sz w:val="18"/>
                <w:szCs w:val="18"/>
                <w:color w:val="auto"/>
              </w:rPr>
              <w:t>December 24, 2020.</w:t>
            </w: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10.8†#*</w:t>
            </w:r>
          </w:p>
        </w:tc>
        <w:tc>
          <w:tcPr>
            <w:tcW w:w="5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w w:val="96"/>
              </w:rPr>
              <w:t>Cell Line License Agreement by and between the Registrant and WuXi Biologics (Hong Kong) Limited, dated December 2,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Employment Agreement, dated</w:t>
            </w:r>
          </w:p>
        </w:tc>
        <w:tc>
          <w:tcPr>
            <w:tcW w:w="7040" w:type="dxa"/>
            <w:vAlign w:val="bottom"/>
            <w:gridSpan w:val="3"/>
          </w:tcPr>
          <w:p>
            <w:pPr>
              <w:ind w:left="160"/>
              <w:spacing w:after="0"/>
              <w:rPr>
                <w:sz w:val="20"/>
                <w:szCs w:val="20"/>
                <w:color w:val="auto"/>
              </w:rPr>
            </w:pPr>
            <w:r>
              <w:rPr>
                <w:rFonts w:ascii="Arial" w:cs="Arial" w:eastAsia="Arial" w:hAnsi="Arial"/>
                <w:sz w:val="18"/>
                <w:szCs w:val="18"/>
                <w:color w:val="auto"/>
              </w:rPr>
              <w:t>, 2021, by and between the Registrant and Tillman U. Gerngross.</w:t>
            </w: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40" w:type="dxa"/>
            <w:vAlign w:val="bottom"/>
            <w:gridSpan w:val="3"/>
          </w:tcPr>
          <w:p>
            <w:pPr>
              <w:ind w:left="140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Exhibit</w:t>
            </w:r>
          </w:p>
        </w:tc>
        <w:tc>
          <w:tcPr>
            <w:tcW w:w="2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w:t>
            </w:r>
          </w:p>
        </w:tc>
        <w:tc>
          <w:tcPr>
            <w:tcW w:w="2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tcPr>
          <w:p>
            <w:pPr>
              <w:spacing w:after="0"/>
              <w:rPr>
                <w:sz w:val="20"/>
                <w:szCs w:val="20"/>
                <w:color w:val="auto"/>
              </w:rPr>
            </w:pPr>
            <w:r>
              <w:rPr>
                <w:rFonts w:ascii="Arial" w:cs="Arial" w:eastAsia="Arial" w:hAnsi="Arial"/>
                <w:sz w:val="18"/>
                <w:szCs w:val="18"/>
                <w:color w:val="auto"/>
              </w:rPr>
              <w:t>10.10+*</w:t>
            </w:r>
          </w:p>
        </w:tc>
        <w:tc>
          <w:tcPr>
            <w:tcW w:w="4380" w:type="dxa"/>
            <w:vAlign w:val="bottom"/>
            <w:gridSpan w:val="2"/>
          </w:tcPr>
          <w:p>
            <w:pPr>
              <w:ind w:left="260"/>
              <w:spacing w:after="0"/>
              <w:rPr>
                <w:sz w:val="20"/>
                <w:szCs w:val="20"/>
                <w:color w:val="auto"/>
              </w:rPr>
            </w:pPr>
            <w:r>
              <w:rPr>
                <w:rFonts w:ascii="Arial" w:cs="Arial" w:eastAsia="Arial" w:hAnsi="Arial"/>
                <w:sz w:val="18"/>
                <w:szCs w:val="18"/>
                <w:color w:val="auto"/>
                <w:w w:val="92"/>
              </w:rPr>
              <w:t>Amended and Restated Employment Agreement, dated</w:t>
            </w:r>
          </w:p>
        </w:tc>
        <w:tc>
          <w:tcPr>
            <w:tcW w:w="160" w:type="dxa"/>
            <w:vAlign w:val="bottom"/>
          </w:tcPr>
          <w:p>
            <w:pPr>
              <w:spacing w:after="0"/>
              <w:rPr>
                <w:sz w:val="24"/>
                <w:szCs w:val="24"/>
                <w:color w:val="auto"/>
              </w:rPr>
            </w:pPr>
          </w:p>
        </w:tc>
        <w:tc>
          <w:tcPr>
            <w:tcW w:w="4640" w:type="dxa"/>
            <w:vAlign w:val="bottom"/>
            <w:gridSpan w:val="2"/>
          </w:tcPr>
          <w:p>
            <w:pPr>
              <w:ind w:left="460"/>
              <w:spacing w:after="0"/>
              <w:rPr>
                <w:sz w:val="20"/>
                <w:szCs w:val="20"/>
                <w:color w:val="auto"/>
              </w:rPr>
            </w:pPr>
            <w:r>
              <w:rPr>
                <w:rFonts w:ascii="Arial" w:cs="Arial" w:eastAsia="Arial" w:hAnsi="Arial"/>
                <w:sz w:val="18"/>
                <w:szCs w:val="18"/>
                <w:color w:val="auto"/>
                <w:w w:val="89"/>
              </w:rPr>
              <w:t>, 2021, by and between the Registrant and Lynn Connolly.</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89"/>
              </w:rPr>
              <w:t>10.11+*</w:t>
            </w:r>
          </w:p>
        </w:tc>
        <w:tc>
          <w:tcPr>
            <w:tcW w:w="260" w:type="dxa"/>
            <w:vAlign w:val="bottom"/>
          </w:tcPr>
          <w:p>
            <w:pPr>
              <w:spacing w:after="0"/>
              <w:rPr>
                <w:sz w:val="24"/>
                <w:szCs w:val="24"/>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rPr>
              <w:t>Employment Agreement, dated</w:t>
            </w:r>
          </w:p>
        </w:tc>
        <w:tc>
          <w:tcPr>
            <w:tcW w:w="6280" w:type="dxa"/>
            <w:vAlign w:val="bottom"/>
            <w:gridSpan w:val="4"/>
          </w:tcPr>
          <w:p>
            <w:pPr>
              <w:ind w:left="380"/>
              <w:spacing w:after="0"/>
              <w:rPr>
                <w:sz w:val="20"/>
                <w:szCs w:val="20"/>
                <w:color w:val="auto"/>
              </w:rPr>
            </w:pPr>
            <w:r>
              <w:rPr>
                <w:rFonts w:ascii="Arial" w:cs="Arial" w:eastAsia="Arial" w:hAnsi="Arial"/>
                <w:sz w:val="18"/>
                <w:szCs w:val="18"/>
                <w:color w:val="auto"/>
              </w:rPr>
              <w:t>, 2021, by and between the Registrant and Rebecca Dabora.</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24"/>
                <w:szCs w:val="24"/>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rPr>
              <w:t>Subsidiaries of the Registrant.</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4"/>
                <w:szCs w:val="24"/>
                <w:color w:val="auto"/>
              </w:rPr>
            </w:pPr>
          </w:p>
        </w:tc>
        <w:tc>
          <w:tcPr>
            <w:tcW w:w="9180" w:type="dxa"/>
            <w:vAlign w:val="bottom"/>
            <w:gridSpan w:val="5"/>
          </w:tcPr>
          <w:p>
            <w:pPr>
              <w:ind w:left="26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4"/>
                <w:szCs w:val="24"/>
                <w:color w:val="auto"/>
              </w:rPr>
            </w:pPr>
          </w:p>
        </w:tc>
        <w:tc>
          <w:tcPr>
            <w:tcW w:w="4380" w:type="dxa"/>
            <w:vAlign w:val="bottom"/>
            <w:gridSpan w:val="2"/>
          </w:tcPr>
          <w:p>
            <w:pPr>
              <w:ind w:left="260"/>
              <w:spacing w:after="0"/>
              <w:rPr>
                <w:sz w:val="20"/>
                <w:szCs w:val="20"/>
                <w:color w:val="auto"/>
              </w:rPr>
            </w:pPr>
            <w:r>
              <w:rPr>
                <w:rFonts w:ascii="Arial" w:cs="Arial" w:eastAsia="Arial" w:hAnsi="Arial"/>
                <w:sz w:val="18"/>
                <w:szCs w:val="18"/>
                <w:color w:val="auto"/>
              </w:rPr>
              <w:t>Consent of Cooley LLP (included in Exhibit 5.1).</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24"/>
                <w:szCs w:val="24"/>
                <w:color w:val="auto"/>
              </w:rPr>
            </w:pPr>
          </w:p>
        </w:tc>
        <w:tc>
          <w:tcPr>
            <w:tcW w:w="4380" w:type="dxa"/>
            <w:vAlign w:val="bottom"/>
            <w:gridSpan w:val="2"/>
          </w:tcPr>
          <w:p>
            <w:pPr>
              <w:ind w:left="260"/>
              <w:spacing w:after="0"/>
              <w:rPr>
                <w:sz w:val="20"/>
                <w:szCs w:val="20"/>
                <w:color w:val="auto"/>
              </w:rPr>
            </w:pPr>
            <w:r>
              <w:rPr>
                <w:rFonts w:ascii="Arial" w:cs="Arial" w:eastAsia="Arial" w:hAnsi="Arial"/>
                <w:sz w:val="18"/>
                <w:szCs w:val="18"/>
                <w:color w:val="auto"/>
              </w:rPr>
              <w:t>Power of Attorney (included on signature page).</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120" w:right="5460" w:hanging="4"/>
        <w:spacing w:after="0" w:line="250" w:lineRule="auto"/>
        <w:tabs>
          <w:tab w:leader="none" w:pos="5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Confidential treatment will be requested for portions of this agreement. * To be filed by amendment.</w:t>
      </w: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line="9" w:lineRule="exact"/>
        <w:rPr>
          <w:rFonts w:ascii="Arial" w:cs="Arial" w:eastAsia="Arial" w:hAnsi="Arial"/>
          <w:sz w:val="18"/>
          <w:szCs w:val="18"/>
          <w:color w:val="auto"/>
        </w:rPr>
      </w:pPr>
    </w:p>
    <w:p>
      <w:pPr>
        <w:ind w:left="540" w:right="20" w:hanging="432"/>
        <w:spacing w:after="0" w:line="260" w:lineRule="auto"/>
        <w:rPr>
          <w:rFonts w:ascii="Arial" w:cs="Arial" w:eastAsia="Arial" w:hAnsi="Arial"/>
          <w:sz w:val="18"/>
          <w:szCs w:val="18"/>
          <w:color w:val="auto"/>
        </w:rPr>
      </w:pPr>
      <w:r>
        <w:rPr>
          <w:rFonts w:ascii="Arial" w:cs="Arial" w:eastAsia="Arial" w:hAnsi="Arial"/>
          <w:sz w:val="18"/>
          <w:szCs w:val="18"/>
          <w:color w:val="auto"/>
        </w:rPr>
        <w:t>#Certain schedules to this agreement have been omitted in accordance with Item 601(b)(2) of Regulation S-K. A copy of any omitted schedules will be furnished supplementally to the SEC upon request.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80" w:hanging="418"/>
        <w:spacing w:after="0" w:line="291" w:lineRule="auto"/>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80" w:right="20" w:firstLine="8"/>
        <w:spacing w:after="0" w:line="260" w:lineRule="auto"/>
        <w:tabs>
          <w:tab w:leader="none" w:pos="13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or (4) or 497(h) under the Securities Act shall be deemed to be part of this Registration Statement as of the time it was declared effective.</w:t>
      </w:r>
    </w:p>
    <w:p>
      <w:pPr>
        <w:spacing w:after="0" w:line="90" w:lineRule="exact"/>
        <w:rPr>
          <w:rFonts w:ascii="Arial" w:cs="Arial" w:eastAsia="Arial" w:hAnsi="Arial"/>
          <w:sz w:val="18"/>
          <w:szCs w:val="18"/>
          <w:color w:val="auto"/>
        </w:rPr>
      </w:pPr>
    </w:p>
    <w:p>
      <w:pPr>
        <w:jc w:val="both"/>
        <w:ind w:left="1080" w:right="20" w:hanging="418"/>
        <w:spacing w:after="0" w:line="263"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p>
      <w:pPr>
        <w:ind w:left="120"/>
        <w:spacing w:after="0"/>
        <w:tabs>
          <w:tab w:leader="none" w:pos="5120" w:val="left"/>
          <w:tab w:leader="none" w:pos="6120" w:val="left"/>
          <w:tab w:leader="none" w:pos="6920" w:val="left"/>
          <w:tab w:leader="none" w:pos="8320" w:val="left"/>
        </w:tabs>
        <w:rPr>
          <w:sz w:val="20"/>
          <w:szCs w:val="20"/>
          <w:color w:val="auto"/>
        </w:rPr>
      </w:pPr>
      <w:r>
        <w:rPr>
          <w:rFonts w:ascii="Arial" w:cs="Arial" w:eastAsia="Arial" w:hAnsi="Arial"/>
          <w:sz w:val="18"/>
          <w:szCs w:val="18"/>
          <w:color w:val="auto"/>
        </w:rPr>
        <w:t>the undersigned, thereunto duly authorized in the City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on this</w:t>
        <w:tab/>
        <w:t>th day of</w:t>
      </w:r>
      <w:r>
        <w:rPr>
          <w:sz w:val="20"/>
          <w:szCs w:val="20"/>
          <w:color w:val="auto"/>
        </w:rPr>
        <w:tab/>
      </w:r>
      <w:r>
        <w:rPr>
          <w:rFonts w:ascii="Arial" w:cs="Arial" w:eastAsia="Arial" w:hAnsi="Arial"/>
          <w:sz w:val="16"/>
          <w:szCs w:val="16"/>
          <w:color w:val="auto"/>
        </w:rPr>
        <w:t>, 2021.</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ADAGIO THERAPEUTICS, 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25374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Tillman U. Gerngross, Ph.D.</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Co-Founder, Chief Executive Officer and Director</w:t>
      </w:r>
    </w:p>
    <w:p>
      <w:pPr>
        <w:spacing w:after="0" w:line="21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KNOW ALL BY THESE PRESENTS, that each person whose signature appears below hereby constitutes and appoints Tillman U. Gerngross, Ph.D., Halley Gilbert and Jane Pritchett Henderson,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8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9"/>
              </w:rPr>
              <w:t>Signature</w:t>
            </w: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56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80" w:type="dxa"/>
            <w:vAlign w:val="bottom"/>
            <w:vMerge w:val="restart"/>
          </w:tcPr>
          <w:p>
            <w:pPr>
              <w:spacing w:after="0" w:line="20" w:lineRule="exact"/>
              <w:rPr>
                <w:sz w:val="1"/>
                <w:szCs w:val="1"/>
                <w:color w:val="auto"/>
              </w:rPr>
            </w:pPr>
          </w:p>
        </w:tc>
        <w:tc>
          <w:tcPr>
            <w:tcW w:w="2160" w:type="dxa"/>
            <w:vAlign w:val="bottom"/>
            <w:vMerge w:val="restart"/>
          </w:tcPr>
          <w:p>
            <w:pPr>
              <w:ind w:left="40"/>
              <w:spacing w:after="0"/>
              <w:rPr>
                <w:sz w:val="20"/>
                <w:szCs w:val="20"/>
                <w:color w:val="auto"/>
              </w:rPr>
            </w:pPr>
            <w:r>
              <w:rPr>
                <w:rFonts w:ascii="Arial" w:cs="Arial" w:eastAsia="Arial" w:hAnsi="Arial"/>
                <w:sz w:val="18"/>
                <w:szCs w:val="18"/>
                <w:color w:val="auto"/>
                <w:w w:val="90"/>
              </w:rPr>
              <w:t>Co-Founder, Chief Executive</w:t>
            </w:r>
          </w:p>
        </w:tc>
        <w:tc>
          <w:tcPr>
            <w:tcW w:w="2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5"/>
              </w:rPr>
              <w:t>, 2021</w:t>
            </w:r>
          </w:p>
        </w:tc>
        <w:tc>
          <w:tcPr>
            <w:tcW w:w="0" w:type="dxa"/>
            <w:vAlign w:val="bottom"/>
          </w:tcPr>
          <w:p>
            <w:pPr>
              <w:spacing w:after="0" w:line="20" w:lineRule="exact"/>
              <w:rPr>
                <w:sz w:val="1"/>
                <w:szCs w:val="1"/>
                <w:color w:val="auto"/>
              </w:rPr>
            </w:pPr>
          </w:p>
        </w:tc>
      </w:tr>
      <w:tr>
        <w:trPr>
          <w:trHeight w:val="210"/>
        </w:trPr>
        <w:tc>
          <w:tcPr>
            <w:tcW w:w="2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Officer and Director</w:t>
            </w: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Tillman U. Gerngross, Ph.D.</w:t>
            </w:r>
          </w:p>
        </w:tc>
        <w:tc>
          <w:tcPr>
            <w:tcW w:w="2180" w:type="dxa"/>
            <w:vAlign w:val="bottom"/>
          </w:tcPr>
          <w:p>
            <w:pPr>
              <w:spacing w:after="0"/>
              <w:rPr>
                <w:sz w:val="19"/>
                <w:szCs w:val="19"/>
                <w:color w:val="auto"/>
              </w:rPr>
            </w:pPr>
          </w:p>
        </w:tc>
        <w:tc>
          <w:tcPr>
            <w:tcW w:w="4420" w:type="dxa"/>
            <w:vAlign w:val="bottom"/>
            <w:gridSpan w:val="3"/>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20" w:type="dxa"/>
            <w:vAlign w:val="bottom"/>
            <w:gridSpan w:val="3"/>
          </w:tcPr>
          <w:p>
            <w:pPr>
              <w:ind w:left="40"/>
              <w:spacing w:after="0"/>
              <w:rPr>
                <w:sz w:val="20"/>
                <w:szCs w:val="20"/>
                <w:color w:val="auto"/>
              </w:rPr>
            </w:pPr>
            <w:r>
              <w:rPr>
                <w:rFonts w:ascii="Arial" w:cs="Arial" w:eastAsia="Arial" w:hAnsi="Arial"/>
                <w:sz w:val="18"/>
                <w:szCs w:val="18"/>
                <w:color w:val="auto"/>
              </w:rPr>
              <w:t>Chief Financial Officer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Jane Pritchett Henderson</w:t>
            </w:r>
          </w:p>
        </w:tc>
        <w:tc>
          <w:tcPr>
            <w:tcW w:w="2180" w:type="dxa"/>
            <w:vAlign w:val="bottom"/>
          </w:tcPr>
          <w:p>
            <w:pPr>
              <w:spacing w:after="0"/>
              <w:rPr>
                <w:sz w:val="19"/>
                <w:szCs w:val="19"/>
                <w:color w:val="auto"/>
              </w:rPr>
            </w:pPr>
          </w:p>
        </w:tc>
        <w:tc>
          <w:tcPr>
            <w:tcW w:w="4420" w:type="dxa"/>
            <w:vAlign w:val="bottom"/>
            <w:gridSpan w:val="3"/>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20" w:type="dxa"/>
            <w:vAlign w:val="bottom"/>
            <w:gridSpan w:val="3"/>
          </w:tcPr>
          <w:p>
            <w:pPr>
              <w:ind w:left="40"/>
              <w:spacing w:after="0"/>
              <w:rPr>
                <w:sz w:val="20"/>
                <w:szCs w:val="20"/>
                <w:color w:val="auto"/>
              </w:rPr>
            </w:pPr>
            <w:r>
              <w:rPr>
                <w:rFonts w:ascii="Arial" w:cs="Arial" w:eastAsia="Arial" w:hAnsi="Arial"/>
                <w:sz w:val="18"/>
                <w:szCs w:val="18"/>
                <w:color w:val="auto"/>
              </w:rPr>
              <w:t>Director and Chair of the Board</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René Russo, Pharm.D.</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2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Terrance McGuire</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2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Ajay Royan</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2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Philip Chase</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2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Howard Mayer, M.D.</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2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Anand Shah, M.D.</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2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Tom Heyman, M.D.</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1)"/>
      <w:numFmt w:val="decimal"/>
      <w:start w:val="1"/>
    </w:lvl>
  </w:abstractNum>
  <w:abstractNum w:abstractNumId="1">
    <w:nsid w:val="613EFDC5"/>
    <w:multiLevelType w:val="hybridMultilevel"/>
    <w:lvl w:ilvl="0">
      <w:lvlJc w:val="left"/>
      <w:lvlText w:val="(%1)"/>
      <w:numFmt w:val="decimal"/>
      <w:start w:val="1"/>
    </w:lvl>
  </w:abstractNum>
  <w:abstractNum w:abstractNumId="2">
    <w:nsid w:val="BF72B14"/>
    <w:multiLevelType w:val="hybridMultilevel"/>
    <w:lvl w:ilvl="0">
      <w:lvlJc w:val="left"/>
      <w:lvlText w:val="(%1)"/>
      <w:numFmt w:val="decimal"/>
      <w:start w:val="5"/>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1)"/>
      <w:numFmt w:val="lowerLetter"/>
      <w:start w:val="2"/>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1)"/>
      <w:numFmt w:val="decimal"/>
      <w:start w:val="1"/>
    </w:lvl>
  </w:abstractNum>
  <w:abstractNum w:abstractNumId="17">
    <w:nsid w:val="100F59DC"/>
    <w:multiLevelType w:val="hybridMultilevel"/>
    <w:lvl w:ilvl="0">
      <w:lvlJc w:val="left"/>
      <w:lvlText w:val="(%1)"/>
      <w:numFmt w:val="decimal"/>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1)"/>
      <w:numFmt w:val="lowerRoman"/>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
      <w:numFmt w:val="bullet"/>
      <w:start w:val="1"/>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
      <w:numFmt w:val="bullet"/>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
      <w:numFmt w:val="bullet"/>
      <w:start w:val="1"/>
    </w:lvl>
  </w:abstractNum>
  <w:abstractNum w:abstractNumId="52">
    <w:nsid w:val="73A1821B"/>
    <w:multiLevelType w:val="hybridMultilevel"/>
    <w:lvl w:ilvl="0">
      <w:lvlJc w:val="left"/>
      <w:lvlText w:val="•"/>
      <w:numFmt w:val="bullet"/>
      <w:start w:val="1"/>
    </w:lvl>
  </w:abstractNum>
  <w:abstractNum w:abstractNumId="53">
    <w:nsid w:val="7DE67713"/>
    <w:multiLevelType w:val="hybridMultilevel"/>
    <w:lvl w:ilvl="0">
      <w:lvlJc w:val="left"/>
      <w:lvlText w:val="•"/>
      <w:numFmt w:val="bullet"/>
      <w:start w:val="1"/>
    </w:lvl>
  </w:abstractNum>
  <w:abstractNum w:abstractNumId="54">
    <w:nsid w:val="555C55B5"/>
    <w:multiLevelType w:val="hybridMultilevel"/>
    <w:lvl w:ilvl="0">
      <w:lvlJc w:val="left"/>
      <w:lvlText w:val="•"/>
      <w:numFmt w:val="bullet"/>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
      <w:numFmt w:val="bullet"/>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
      <w:numFmt w:val="bullet"/>
      <w:start w:val="1"/>
    </w:lvl>
  </w:abstractNum>
  <w:abstractNum w:abstractNumId="59">
    <w:nsid w:val="9DAF632"/>
    <w:multiLevelType w:val="hybridMultilevel"/>
    <w:lvl w:ilvl="0">
      <w:lvlJc w:val="left"/>
      <w:lvlText w:val="$"/>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1)"/>
      <w:numFmt w:val="decimal"/>
      <w:start w:val="1"/>
    </w:lvl>
  </w:abstractNum>
  <w:abstractNum w:abstractNumId="62">
    <w:nsid w:val="5092CA79"/>
    <w:multiLevelType w:val="hybridMultilevel"/>
    <w:lvl w:ilvl="0">
      <w:lvlJc w:val="left"/>
      <w:lvlText w:val="(%1)"/>
      <w:numFmt w:val="decimal"/>
      <w:start w:val="1"/>
    </w:lvl>
  </w:abstractNum>
  <w:abstractNum w:abstractNumId="63">
    <w:nsid w:val="1D545C4D"/>
    <w:multiLevelType w:val="hybridMultilevel"/>
    <w:lvl w:ilvl="0">
      <w:lvlJc w:val="left"/>
      <w:lvlText w:val="•"/>
      <w:numFmt w:val="bullet"/>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
      <w:numFmt w:val="bullet"/>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
      <w:numFmt w:val="bullet"/>
      <w:start w:val="1"/>
    </w:lvl>
  </w:abstractNum>
  <w:abstractNum w:abstractNumId="68">
    <w:nsid w:val="97E1B4E"/>
    <w:multiLevelType w:val="hybridMultilevel"/>
    <w:lvl w:ilvl="0">
      <w:lvlJc w:val="left"/>
      <w:lvlText w:val="•"/>
      <w:numFmt w:val="bullet"/>
      <w:start w:val="1"/>
    </w:lvl>
  </w:abstractNum>
  <w:abstractNum w:abstractNumId="69">
    <w:nsid w:val="51088277"/>
    <w:multiLevelType w:val="hybridMultilevel"/>
    <w:lvl w:ilvl="0">
      <w:lvlJc w:val="left"/>
      <w:lvlText w:val="•"/>
      <w:numFmt w:val="bullet"/>
      <w:start w:val="1"/>
    </w:lvl>
  </w:abstractNum>
  <w:abstractNum w:abstractNumId="70">
    <w:nsid w:val="1CA0C5FA"/>
    <w:multiLevelType w:val="hybridMultilevel"/>
    <w:lvl w:ilvl="0">
      <w:lvlJc w:val="left"/>
      <w:lvlText w:val="•"/>
      <w:numFmt w:val="bullet"/>
      <w:start w:val="1"/>
    </w:lvl>
  </w:abstractNum>
  <w:abstractNum w:abstractNumId="71">
    <w:nsid w:val="53584BCB"/>
    <w:multiLevelType w:val="hybridMultilevel"/>
    <w:lvl w:ilvl="0">
      <w:lvlJc w:val="left"/>
      <w:lvlText w:val="•"/>
      <w:numFmt w:val="bullet"/>
      <w:start w:val="1"/>
    </w:lvl>
  </w:abstractNum>
  <w:abstractNum w:abstractNumId="72">
    <w:nsid w:val="415E286C"/>
    <w:multiLevelType w:val="hybridMultilevel"/>
    <w:lvl w:ilvl="0">
      <w:lvlJc w:val="left"/>
      <w:lvlText w:val="•"/>
      <w:numFmt w:val="bullet"/>
      <w:start w:val="1"/>
    </w:lvl>
  </w:abstractNum>
  <w:abstractNum w:abstractNumId="73">
    <w:nsid w:val="7C58FD05"/>
    <w:multiLevelType w:val="hybridMultilevel"/>
    <w:lvl w:ilvl="0">
      <w:lvlJc w:val="left"/>
      <w:lvlText w:val="•"/>
      <w:numFmt w:val="bullet"/>
      <w:start w:val="1"/>
    </w:lvl>
  </w:abstractNum>
  <w:abstractNum w:abstractNumId="74">
    <w:nsid w:val="23D86AAC"/>
    <w:multiLevelType w:val="hybridMultilevel"/>
    <w:lvl w:ilvl="0">
      <w:lvlJc w:val="left"/>
      <w:lvlText w:val="•"/>
      <w:numFmt w:val="bullet"/>
      <w:start w:val="1"/>
    </w:lvl>
  </w:abstractNum>
  <w:abstractNum w:abstractNumId="75">
    <w:nsid w:val="45E6D486"/>
    <w:multiLevelType w:val="hybridMultilevel"/>
    <w:lvl w:ilvl="0">
      <w:lvlJc w:val="left"/>
      <w:lvlText w:val="•"/>
      <w:numFmt w:val="bullet"/>
      <w:start w:val="1"/>
    </w:lvl>
  </w:abstractNum>
  <w:abstractNum w:abstractNumId="76">
    <w:nsid w:val="5C10FE21"/>
    <w:multiLevelType w:val="hybridMultilevel"/>
    <w:lvl w:ilvl="0">
      <w:lvlJc w:val="left"/>
      <w:lvlText w:val="•"/>
      <w:numFmt w:val="bullet"/>
      <w:start w:val="1"/>
    </w:lvl>
  </w:abstractNum>
  <w:abstractNum w:abstractNumId="77">
    <w:nsid w:val="E7FFA2B"/>
    <w:multiLevelType w:val="hybridMultilevel"/>
    <w:lvl w:ilvl="0">
      <w:lvlJc w:val="left"/>
      <w:lvlText w:val="(%1)"/>
      <w:numFmt w:val="decimal"/>
      <w:start w:val="1"/>
    </w:lvl>
  </w:abstractNum>
  <w:abstractNum w:abstractNumId="78">
    <w:nsid w:val="3C5991AA"/>
    <w:multiLevelType w:val="hybridMultilevel"/>
    <w:lvl w:ilvl="0">
      <w:lvlJc w:val="left"/>
      <w:lvlText w:val="•"/>
      <w:numFmt w:val="bullet"/>
      <w:start w:val="1"/>
    </w:lvl>
  </w:abstractNum>
  <w:abstractNum w:abstractNumId="79">
    <w:nsid w:val="4BD8591A"/>
    <w:multiLevelType w:val="hybridMultilevel"/>
    <w:lvl w:ilvl="0">
      <w:lvlJc w:val="left"/>
      <w:lvlText w:val="•"/>
      <w:numFmt w:val="bullet"/>
      <w:start w:val="1"/>
    </w:lvl>
  </w:abstractNum>
  <w:abstractNum w:abstractNumId="80">
    <w:nsid w:val="78DF6A55"/>
    <w:multiLevelType w:val="hybridMultilevel"/>
    <w:lvl w:ilvl="0">
      <w:lvlJc w:val="left"/>
      <w:lvlText w:val="•"/>
      <w:numFmt w:val="bullet"/>
      <w:start w:val="1"/>
    </w:lvl>
  </w:abstractNum>
  <w:abstractNum w:abstractNumId="81">
    <w:nsid w:val="39B7AAA2"/>
    <w:multiLevelType w:val="hybridMultilevel"/>
    <w:lvl w:ilvl="0">
      <w:lvlJc w:val="left"/>
      <w:lvlText w:val="(%1)"/>
      <w:numFmt w:val="decimal"/>
      <w:start w:val="1"/>
    </w:lvl>
  </w:abstractNum>
  <w:abstractNum w:abstractNumId="82">
    <w:nsid w:val="2B0D8DBE"/>
    <w:multiLevelType w:val="hybridMultilevel"/>
    <w:lvl w:ilvl="0">
      <w:lvlJc w:val="left"/>
      <w:lvlText w:val="(%1)"/>
      <w:numFmt w:val="decimal"/>
      <w:start w:val="1"/>
    </w:lvl>
  </w:abstractNum>
  <w:abstractNum w:abstractNumId="83">
    <w:nsid w:val="6C80EC70"/>
    <w:multiLevelType w:val="hybridMultilevel"/>
    <w:lvl w:ilvl="0">
      <w:lvlJc w:val="left"/>
      <w:lvlText w:val="(%1)"/>
      <w:numFmt w:val="decimal"/>
      <w:start w:val="3"/>
    </w:lvl>
  </w:abstractNum>
  <w:abstractNum w:abstractNumId="84">
    <w:nsid w:val="379E21B5"/>
    <w:multiLevelType w:val="hybridMultilevel"/>
    <w:lvl w:ilvl="0">
      <w:lvlJc w:val="left"/>
      <w:lvlText w:val="•"/>
      <w:numFmt w:val="bullet"/>
      <w:start w:val="1"/>
    </w:lvl>
  </w:abstractNum>
  <w:abstractNum w:abstractNumId="85">
    <w:nsid w:val="69E373"/>
    <w:multiLevelType w:val="hybridMultilevel"/>
    <w:lvl w:ilvl="0">
      <w:lvlJc w:val="left"/>
      <w:lvlText w:val="•"/>
      <w:numFmt w:val="bullet"/>
      <w:start w:val="1"/>
    </w:lvl>
  </w:abstractNum>
  <w:abstractNum w:abstractNumId="86">
    <w:nsid w:val="2C27173B"/>
    <w:multiLevelType w:val="hybridMultilevel"/>
    <w:lvl w:ilvl="0">
      <w:lvlJc w:val="left"/>
      <w:lvlText w:val="•"/>
      <w:numFmt w:val="bullet"/>
      <w:start w:val="1"/>
    </w:lvl>
  </w:abstractNum>
  <w:abstractNum w:abstractNumId="87">
    <w:nsid w:val="4C9B0904"/>
    <w:multiLevelType w:val="hybridMultilevel"/>
    <w:lvl w:ilvl="0">
      <w:lvlJc w:val="left"/>
      <w:lvlText w:val="•"/>
      <w:numFmt w:val="bullet"/>
      <w:start w:val="1"/>
    </w:lvl>
  </w:abstractNum>
  <w:abstractNum w:abstractNumId="88">
    <w:nsid w:val="6AA7B75C"/>
    <w:multiLevelType w:val="hybridMultilevel"/>
    <w:lvl w:ilvl="0">
      <w:lvlJc w:val="left"/>
      <w:lvlText w:val="•"/>
      <w:numFmt w:val="bullet"/>
      <w:start w:val="1"/>
    </w:lvl>
  </w:abstractNum>
  <w:abstractNum w:abstractNumId="89">
    <w:nsid w:val="1DF029D3"/>
    <w:multiLevelType w:val="hybridMultilevel"/>
    <w:lvl w:ilvl="0">
      <w:lvlJc w:val="left"/>
      <w:lvlText w:val="•"/>
      <w:numFmt w:val="bullet"/>
      <w:start w:val="1"/>
    </w:lvl>
  </w:abstractNum>
  <w:abstractNum w:abstractNumId="90">
    <w:nsid w:val="5675FF36"/>
    <w:multiLevelType w:val="hybridMultilevel"/>
    <w:lvl w:ilvl="0">
      <w:lvlJc w:val="left"/>
      <w:lvlText w:val="•"/>
      <w:numFmt w:val="bullet"/>
      <w:start w:val="1"/>
    </w:lvl>
  </w:abstractNum>
  <w:abstractNum w:abstractNumId="91">
    <w:nsid w:val="3DD15094"/>
    <w:multiLevelType w:val="hybridMultilevel"/>
    <w:lvl w:ilvl="0">
      <w:lvlJc w:val="left"/>
      <w:lvlText w:val="•"/>
      <w:numFmt w:val="bullet"/>
      <w:start w:val="1"/>
    </w:lvl>
  </w:abstractNum>
  <w:abstractNum w:abstractNumId="92">
    <w:nsid w:val="3DB012B3"/>
    <w:multiLevelType w:val="hybridMultilevel"/>
    <w:lvl w:ilvl="0">
      <w:lvlJc w:val="left"/>
      <w:lvlText w:val="(%1)"/>
      <w:numFmt w:val="lowerRoman"/>
      <w:start w:val="2"/>
    </w:lvl>
  </w:abstractNum>
  <w:abstractNum w:abstractNumId="93">
    <w:nsid w:val="2708C9AF"/>
    <w:multiLevelType w:val="hybridMultilevel"/>
    <w:lvl w:ilvl="0">
      <w:lvlJc w:val="left"/>
      <w:lvlText w:val="•"/>
      <w:numFmt w:val="bullet"/>
      <w:start w:val="1"/>
    </w:lvl>
  </w:abstractNum>
  <w:abstractNum w:abstractNumId="94">
    <w:nsid w:val="5B25ACE2"/>
    <w:multiLevelType w:val="hybridMultilevel"/>
    <w:lvl w:ilvl="0">
      <w:lvlJc w:val="left"/>
      <w:lvlText w:val="•"/>
      <w:numFmt w:val="bullet"/>
      <w:start w:val="1"/>
    </w:lvl>
  </w:abstractNum>
  <w:abstractNum w:abstractNumId="95">
    <w:nsid w:val="175DFCF0"/>
    <w:multiLevelType w:val="hybridMultilevel"/>
    <w:lvl w:ilvl="0">
      <w:lvlJc w:val="left"/>
      <w:lvlText w:val="•"/>
      <w:numFmt w:val="bullet"/>
      <w:start w:val="1"/>
    </w:lvl>
  </w:abstractNum>
  <w:abstractNum w:abstractNumId="96">
    <w:nsid w:val="4F97E3E4"/>
    <w:multiLevelType w:val="hybridMultilevel"/>
    <w:lvl w:ilvl="0">
      <w:lvlJc w:val="left"/>
      <w:lvlText w:val="•"/>
      <w:numFmt w:val="bullet"/>
      <w:start w:val="1"/>
    </w:lvl>
  </w:abstractNum>
  <w:abstractNum w:abstractNumId="97">
    <w:nsid w:val="53B0A9E"/>
    <w:multiLevelType w:val="hybridMultilevel"/>
    <w:lvl w:ilvl="0">
      <w:lvlJc w:val="left"/>
      <w:lvlText w:val="•"/>
      <w:numFmt w:val="bullet"/>
      <w:start w:val="1"/>
    </w:lvl>
  </w:abstractNum>
  <w:abstractNum w:abstractNumId="98">
    <w:nsid w:val="34FD6B4F"/>
    <w:multiLevelType w:val="hybridMultilevel"/>
    <w:lvl w:ilvl="0">
      <w:lvlJc w:val="left"/>
      <w:lvlText w:val="•"/>
      <w:numFmt w:val="bullet"/>
      <w:start w:val="1"/>
    </w:lvl>
  </w:abstractNum>
  <w:abstractNum w:abstractNumId="99">
    <w:nsid w:val="5915FF32"/>
    <w:multiLevelType w:val="hybridMultilevel"/>
    <w:lvl w:ilvl="0">
      <w:lvlJc w:val="left"/>
      <w:lvlText w:val="•"/>
      <w:numFmt w:val="bullet"/>
      <w:start w:val="1"/>
    </w:lvl>
  </w:abstractNum>
  <w:abstractNum w:abstractNumId="100">
    <w:nsid w:val="56438D15"/>
    <w:multiLevelType w:val="hybridMultilevel"/>
    <w:lvl w:ilvl="0">
      <w:lvlJc w:val="left"/>
      <w:lvlText w:val="(%1)"/>
      <w:numFmt w:val="decimal"/>
      <w:start w:val="1"/>
    </w:lvl>
  </w:abstractNum>
  <w:abstractNum w:abstractNumId="101">
    <w:nsid w:val="519E3149"/>
    <w:multiLevelType w:val="hybridMultilevel"/>
    <w:lvl w:ilvl="0">
      <w:lvlJc w:val="left"/>
      <w:lvlText w:val="•"/>
      <w:numFmt w:val="bullet"/>
      <w:start w:val="1"/>
    </w:lvl>
  </w:abstractNum>
  <w:abstractNum w:abstractNumId="102">
    <w:nsid w:val="2C6E4AFD"/>
    <w:multiLevelType w:val="hybridMultilevel"/>
    <w:lvl w:ilvl="0">
      <w:lvlJc w:val="left"/>
      <w:lvlText w:val="(%1)"/>
      <w:numFmt w:val="decimal"/>
      <w:start w:val="1"/>
    </w:lvl>
  </w:abstractNum>
  <w:abstractNum w:abstractNumId="103">
    <w:nsid w:val="17A1B582"/>
    <w:multiLevelType w:val="hybridMultilevel"/>
    <w:lvl w:ilvl="0">
      <w:lvlJc w:val="left"/>
      <w:lvlText w:val="(%1)"/>
      <w:numFmt w:val="decimal"/>
      <w:start w:val="1"/>
    </w:lvl>
  </w:abstractNum>
  <w:abstractNum w:abstractNumId="104">
    <w:nsid w:val="4DF72E4E"/>
    <w:multiLevelType w:val="hybridMultilevel"/>
    <w:lvl w:ilvl="0">
      <w:lvlJc w:val="left"/>
      <w:lvlText w:val="(%1)"/>
      <w:numFmt w:val="lowerRoman"/>
      <w:start w:val="1"/>
    </w:lvl>
    <w:lvl w:ilvl="1">
      <w:lvlJc w:val="left"/>
      <w:lvlText w:val="•"/>
      <w:numFmt w:val="bullet"/>
      <w:start w:val="1"/>
    </w:lvl>
  </w:abstractNum>
  <w:abstractNum w:abstractNumId="105">
    <w:nsid w:val="5046B5A9"/>
    <w:multiLevelType w:val="hybridMultilevel"/>
    <w:lvl w:ilvl="0">
      <w:lvlJc w:val="left"/>
      <w:lvlText w:val="•"/>
      <w:numFmt w:val="bullet"/>
      <w:start w:val="1"/>
    </w:lvl>
  </w:abstractNum>
  <w:abstractNum w:abstractNumId="106">
    <w:nsid w:val="5D888A08"/>
    <w:multiLevelType w:val="hybridMultilevel"/>
    <w:lvl w:ilvl="0">
      <w:lvlJc w:val="left"/>
      <w:lvlText w:val="•"/>
      <w:numFmt w:val="bullet"/>
      <w:start w:val="1"/>
    </w:lvl>
  </w:abstractNum>
  <w:abstractNum w:abstractNumId="107">
    <w:nsid w:val="2A082C70"/>
    <w:multiLevelType w:val="hybridMultilevel"/>
    <w:lvl w:ilvl="0">
      <w:lvlJc w:val="left"/>
      <w:lvlText w:val="(%1)"/>
      <w:numFmt w:val="lowerRoman"/>
      <w:start w:val="1"/>
    </w:lvl>
  </w:abstractNum>
  <w:abstractNum w:abstractNumId="108">
    <w:nsid w:val="5EC6AFD4"/>
    <w:multiLevelType w:val="hybridMultilevel"/>
    <w:lvl w:ilvl="0">
      <w:lvlJc w:val="left"/>
      <w:lvlText w:val="(%1)"/>
      <w:numFmt w:val="lowerRoman"/>
      <w:start w:val="4"/>
    </w:lvl>
  </w:abstractNum>
  <w:abstractNum w:abstractNumId="109">
    <w:nsid w:val="19E21BB2"/>
    <w:multiLevelType w:val="hybridMultilevel"/>
    <w:lvl w:ilvl="0">
      <w:lvlJc w:val="left"/>
      <w:lvlText w:val="•"/>
      <w:numFmt w:val="bullet"/>
      <w:start w:val="1"/>
    </w:lvl>
  </w:abstractNum>
  <w:abstractNum w:abstractNumId="110">
    <w:nsid w:val="75E0858A"/>
    <w:multiLevelType w:val="hybridMultilevel"/>
    <w:lvl w:ilvl="0">
      <w:lvlJc w:val="left"/>
      <w:lvlText w:val="•"/>
      <w:numFmt w:val="bullet"/>
      <w:start w:val="1"/>
    </w:lvl>
  </w:abstractNum>
  <w:abstractNum w:abstractNumId="111">
    <w:nsid w:val="57A61A29"/>
    <w:multiLevelType w:val="hybridMultilevel"/>
    <w:lvl w:ilvl="0">
      <w:lvlJc w:val="left"/>
      <w:lvlText w:val="(%1)"/>
      <w:numFmt w:val="lowerRoman"/>
      <w:start w:val="2"/>
    </w:lvl>
  </w:abstractNum>
  <w:abstractNum w:abstractNumId="112">
    <w:nsid w:val="5399C654"/>
    <w:multiLevelType w:val="hybridMultilevel"/>
    <w:lvl w:ilvl="0">
      <w:lvlJc w:val="left"/>
      <w:lvlText w:val="•"/>
      <w:numFmt w:val="bullet"/>
      <w:start w:val="1"/>
    </w:lvl>
  </w:abstractNum>
  <w:abstractNum w:abstractNumId="113">
    <w:nsid w:val="20EE1348"/>
    <w:multiLevelType w:val="hybridMultilevel"/>
    <w:lvl w:ilvl="0">
      <w:lvlJc w:val="left"/>
      <w:lvlText w:val="(%1)"/>
      <w:numFmt w:val="decimal"/>
      <w:start w:val="1"/>
    </w:lvl>
  </w:abstractNum>
  <w:abstractNum w:abstractNumId="114">
    <w:nsid w:val="4427069A"/>
    <w:multiLevelType w:val="hybridMultilevel"/>
    <w:lvl w:ilvl="0">
      <w:lvlJc w:val="left"/>
      <w:lvlText w:val="(%1)"/>
      <w:numFmt w:val="decimal"/>
      <w:start w:val="1"/>
    </w:lvl>
  </w:abstractNum>
  <w:abstractNum w:abstractNumId="115">
    <w:nsid w:val="B37E80A"/>
    <w:multiLevelType w:val="hybridMultilevel"/>
    <w:lvl w:ilvl="0">
      <w:lvlJc w:val="left"/>
      <w:lvlText w:val="(%1)"/>
      <w:numFmt w:val="decimal"/>
      <w:start w:val="1"/>
    </w:lvl>
  </w:abstractNum>
  <w:abstractNum w:abstractNumId="116">
    <w:nsid w:val="2157F6BC"/>
    <w:multiLevelType w:val="hybridMultilevel"/>
    <w:lvl w:ilvl="0">
      <w:lvlJc w:val="left"/>
      <w:lvlText w:val="•"/>
      <w:numFmt w:val="bullet"/>
      <w:start w:val="1"/>
    </w:lvl>
  </w:abstractNum>
  <w:abstractNum w:abstractNumId="117">
    <w:nsid w:val="704E1DD5"/>
    <w:multiLevelType w:val="hybridMultilevel"/>
    <w:lvl w:ilvl="0">
      <w:lvlJc w:val="left"/>
      <w:lvlText w:val="•"/>
      <w:numFmt w:val="bullet"/>
      <w:start w:val="1"/>
    </w:lvl>
  </w:abstractNum>
  <w:abstractNum w:abstractNumId="118">
    <w:nsid w:val="57D2F10E"/>
    <w:multiLevelType w:val="hybridMultilevel"/>
    <w:lvl w:ilvl="0">
      <w:lvlJc w:val="left"/>
      <w:lvlText w:val="(%1)"/>
      <w:numFmt w:val="decimal"/>
      <w:start w:val="1"/>
    </w:lvl>
  </w:abstractNum>
  <w:abstractNum w:abstractNumId="119">
    <w:nsid w:val="BFFAE18"/>
    <w:multiLevelType w:val="hybridMultilevel"/>
    <w:lvl w:ilvl="0">
      <w:lvlJc w:val="left"/>
      <w:lvlText w:val="(%1)"/>
      <w:numFmt w:val="decimal"/>
      <w:start w:val="4"/>
    </w:lvl>
    <w:lvl w:ilvl="1">
      <w:lvlJc w:val="left"/>
      <w:lvlText w:val="(%2)"/>
      <w:numFmt w:val="lowerRoman"/>
      <w:start w:val="2"/>
    </w:lvl>
  </w:abstractNum>
  <w:abstractNum w:abstractNumId="120">
    <w:nsid w:val="E3E47A8"/>
    <w:multiLevelType w:val="hybridMultilevel"/>
    <w:lvl w:ilvl="0">
      <w:lvlJc w:val="left"/>
      <w:lvlText w:val="(%1)"/>
      <w:numFmt w:val="decimal"/>
      <w:start w:val="5"/>
    </w:lvl>
  </w:abstractNum>
  <w:abstractNum w:abstractNumId="121">
    <w:nsid w:val="2E48F044"/>
    <w:multiLevelType w:val="hybridMultilevel"/>
    <w:lvl w:ilvl="0">
      <w:lvlJc w:val="left"/>
      <w:lvlText w:val="(%1)"/>
      <w:numFmt w:val="decimal"/>
      <w:start w:val="6"/>
    </w:lvl>
  </w:abstractNum>
  <w:abstractNum w:abstractNumId="122">
    <w:nsid w:val="49D0FEAC"/>
    <w:multiLevelType w:val="hybridMultilevel"/>
    <w:lvl w:ilvl="0">
      <w:lvlJc w:val="left"/>
      <w:lvlText w:val="(%1)"/>
      <w:numFmt w:val="decimal"/>
      <w:start w:val="14"/>
    </w:lvl>
  </w:abstractNum>
  <w:abstractNum w:abstractNumId="123">
    <w:nsid w:val="4BEE5A5B"/>
    <w:multiLevelType w:val="hybridMultilevel"/>
    <w:lvl w:ilvl="0">
      <w:lvlJc w:val="left"/>
      <w:lvlText w:val="(%1)"/>
      <w:numFmt w:val="lowerLetter"/>
      <w:start w:val="1"/>
    </w:lvl>
  </w:abstractNum>
  <w:abstractNum w:abstractNumId="124">
    <w:nsid w:val="5551B9F3"/>
    <w:multiLevelType w:val="hybridMultilevel"/>
    <w:lvl w:ilvl="0">
      <w:lvlJc w:val="left"/>
      <w:lvlText w:val="•"/>
      <w:numFmt w:val="bullet"/>
      <w:start w:val="1"/>
    </w:lvl>
  </w:abstractNum>
  <w:abstractNum w:abstractNumId="125">
    <w:nsid w:val="24F6AB8E"/>
    <w:multiLevelType w:val="hybridMultilevel"/>
    <w:lvl w:ilvl="0">
      <w:lvlJc w:val="left"/>
      <w:lvlText w:val="•"/>
      <w:numFmt w:val="bullet"/>
      <w:start w:val="1"/>
    </w:lvl>
  </w:abstractNum>
  <w:abstractNum w:abstractNumId="126">
    <w:nsid w:val="634C574C"/>
    <w:multiLevelType w:val="hybridMultilevel"/>
    <w:lvl w:ilvl="0">
      <w:lvlJc w:val="left"/>
      <w:lvlText w:val="•"/>
      <w:numFmt w:val="bullet"/>
      <w:start w:val="1"/>
    </w:lvl>
  </w:abstractNum>
  <w:abstractNum w:abstractNumId="127">
    <w:nsid w:val="24E99DD7"/>
    <w:multiLevelType w:val="hybridMultilevel"/>
    <w:lvl w:ilvl="0">
      <w:lvlJc w:val="left"/>
      <w:lvlText w:val="•"/>
      <w:numFmt w:val="bullet"/>
      <w:start w:val="1"/>
    </w:lvl>
  </w:abstractNum>
  <w:abstractNum w:abstractNumId="128">
    <w:nsid w:val="2A31B62D"/>
    <w:multiLevelType w:val="hybridMultilevel"/>
    <w:lvl w:ilvl="0">
      <w:lvlJc w:val="left"/>
      <w:lvlText w:val="•"/>
      <w:numFmt w:val="bullet"/>
      <w:start w:val="1"/>
    </w:lvl>
  </w:abstractNum>
  <w:abstractNum w:abstractNumId="129">
    <w:nsid w:val="1849C29B"/>
    <w:multiLevelType w:val="hybridMultilevel"/>
    <w:lvl w:ilvl="0">
      <w:lvlJc w:val="left"/>
      <w:lvlText w:val="•"/>
      <w:numFmt w:val="bullet"/>
      <w:start w:val="1"/>
    </w:lvl>
  </w:abstractNum>
  <w:abstractNum w:abstractNumId="130">
    <w:nsid w:val="7DFF9D09"/>
    <w:multiLevelType w:val="hybridMultilevel"/>
    <w:lvl w:ilvl="0">
      <w:lvlJc w:val="left"/>
      <w:lvlText w:val="•"/>
      <w:numFmt w:val="bullet"/>
      <w:start w:val="1"/>
    </w:lvl>
  </w:abstractNum>
  <w:abstractNum w:abstractNumId="131">
    <w:nsid w:val="754342"/>
    <w:multiLevelType w:val="hybridMultilevel"/>
    <w:lvl w:ilvl="0">
      <w:lvlJc w:val="left"/>
      <w:lvlText w:val="•"/>
      <w:numFmt w:val="bullet"/>
      <w:start w:val="1"/>
    </w:lvl>
  </w:abstractNum>
  <w:abstractNum w:abstractNumId="132">
    <w:nsid w:val="69E7F3E5"/>
    <w:multiLevelType w:val="hybridMultilevel"/>
    <w:lvl w:ilvl="0">
      <w:lvlJc w:val="left"/>
      <w:lvlText w:val="•"/>
      <w:numFmt w:val="bullet"/>
      <w:start w:val="1"/>
    </w:lvl>
  </w:abstractNum>
  <w:abstractNum w:abstractNumId="133">
    <w:nsid w:val="2A6DE806"/>
    <w:multiLevelType w:val="hybridMultilevel"/>
    <w:lvl w:ilvl="0">
      <w:lvlJc w:val="left"/>
      <w:lvlText w:val="•"/>
      <w:numFmt w:val="bullet"/>
      <w:start w:val="1"/>
    </w:lvl>
  </w:abstractNum>
  <w:abstractNum w:abstractNumId="134">
    <w:nsid w:val="1816F8C4"/>
    <w:multiLevelType w:val="hybridMultilevel"/>
    <w:lvl w:ilvl="0">
      <w:lvlJc w:val="left"/>
      <w:lvlText w:val="•"/>
      <w:numFmt w:val="bullet"/>
      <w:start w:val="1"/>
    </w:lvl>
  </w:abstractNum>
  <w:abstractNum w:abstractNumId="135">
    <w:nsid w:val="37DF2233"/>
    <w:multiLevelType w:val="hybridMultilevel"/>
    <w:lvl w:ilvl="0">
      <w:lvlJc w:val="left"/>
      <w:lvlText w:val="•"/>
      <w:numFmt w:val="bullet"/>
      <w:start w:val="1"/>
    </w:lvl>
  </w:abstractNum>
  <w:abstractNum w:abstractNumId="136">
    <w:nsid w:val="7AB49DAF"/>
    <w:multiLevelType w:val="hybridMultilevel"/>
    <w:lvl w:ilvl="0">
      <w:lvlJc w:val="left"/>
      <w:lvlText w:val="•"/>
      <w:numFmt w:val="bullet"/>
      <w:start w:val="1"/>
    </w:lvl>
  </w:abstractNum>
  <w:abstractNum w:abstractNumId="137">
    <w:nsid w:val="759F82CD"/>
    <w:multiLevelType w:val="hybridMultilevel"/>
    <w:lvl w:ilvl="0">
      <w:lvlJc w:val="left"/>
      <w:lvlText w:val="•"/>
      <w:numFmt w:val="bullet"/>
      <w:start w:val="1"/>
    </w:lvl>
  </w:abstractNum>
  <w:abstractNum w:abstractNumId="138">
    <w:nsid w:val="61E74EA3"/>
    <w:multiLevelType w:val="hybridMultilevel"/>
    <w:lvl w:ilvl="0">
      <w:lvlJc w:val="left"/>
      <w:lvlText w:val="(%1)"/>
      <w:numFmt w:val="lowerLetter"/>
      <w:start w:val="1"/>
    </w:lvl>
  </w:abstractNum>
  <w:abstractNum w:abstractNumId="139">
    <w:nsid w:val="597B4D84"/>
    <w:multiLevelType w:val="hybridMultilevel"/>
    <w:lvl w:ilvl="0">
      <w:lvlJc w:val="left"/>
      <w:lvlText w:val="(%1)"/>
      <w:numFmt w:val="lowerLetter"/>
      <w:start w:val="1"/>
    </w:lvl>
  </w:abstractNum>
  <w:abstractNum w:abstractNumId="140">
    <w:nsid w:val="F819E7F"/>
    <w:multiLevelType w:val="hybridMultilevel"/>
    <w:lvl w:ilvl="0">
      <w:lvlJc w:val="left"/>
      <w:lvlText w:val="(%1)"/>
      <w:numFmt w:val="lowerLetter"/>
      <w:start w:val="1"/>
    </w:lvl>
  </w:abstractNum>
  <w:abstractNum w:abstractNumId="141">
    <w:nsid w:val="57C7D42D"/>
    <w:multiLevelType w:val="hybridMultilevel"/>
    <w:lvl w:ilvl="0">
      <w:lvlJc w:val="left"/>
      <w:lvlText w:val="(%1)"/>
      <w:numFmt w:val="decimal"/>
      <w:start w:val="3"/>
    </w:lvl>
  </w:abstractNum>
  <w:abstractNum w:abstractNumId="142">
    <w:nsid w:val="312167AD"/>
    <w:multiLevelType w:val="hybridMultilevel"/>
    <w:lvl w:ilvl="0">
      <w:lvlJc w:val="left"/>
      <w:lvlText w:val="(%1)"/>
      <w:numFmt w:val="decimal"/>
      <w:start w:val="1"/>
    </w:lvl>
  </w:abstractNum>
  <w:abstractNum w:abstractNumId="143">
    <w:nsid w:val="631B64D4"/>
    <w:multiLevelType w:val="hybridMultilevel"/>
    <w:lvl w:ilvl="0">
      <w:lvlJc w:val="left"/>
      <w:lvlText w:val="%1."/>
      <w:numFmt w:val="decimal"/>
      <w:start w:val="2"/>
    </w:lvl>
  </w:abstractNum>
  <w:abstractNum w:abstractNumId="144">
    <w:nsid w:val="78B5E776"/>
    <w:multiLevelType w:val="hybridMultilevel"/>
    <w:lvl w:ilvl="0">
      <w:lvlJc w:val="left"/>
      <w:lvlText w:val="•"/>
      <w:numFmt w:val="bullet"/>
      <w:start w:val="1"/>
    </w:lvl>
  </w:abstractNum>
  <w:abstractNum w:abstractNumId="145">
    <w:nsid w:val="75486E47"/>
    <w:multiLevelType w:val="hybridMultilevel"/>
    <w:lvl w:ilvl="0">
      <w:lvlJc w:val="left"/>
      <w:lvlText w:val="%1."/>
      <w:numFmt w:val="decimal"/>
      <w:start w:val="7"/>
    </w:lvl>
  </w:abstractNum>
  <w:abstractNum w:abstractNumId="146">
    <w:nsid w:val="6E534CDE"/>
    <w:multiLevelType w:val="hybridMultilevel"/>
    <w:lvl w:ilvl="0">
      <w:lvlJc w:val="left"/>
      <w:lvlText w:val="%1."/>
      <w:numFmt w:val="decimal"/>
      <w:start w:val="10"/>
    </w:lvl>
  </w:abstractNum>
  <w:abstractNum w:abstractNumId="147">
    <w:nsid w:val="1A0DDE32"/>
    <w:multiLevelType w:val="hybridMultilevel"/>
    <w:lvl w:ilvl="0">
      <w:lvlJc w:val="left"/>
      <w:lvlText w:val="+"/>
      <w:numFmt w:val="bullet"/>
      <w:start w:val="1"/>
    </w:lvl>
  </w:abstractNum>
  <w:abstractNum w:abstractNumId="148">
    <w:nsid w:val="65968C1C"/>
    <w:multiLevelType w:val="hybridMultilevel"/>
    <w:lvl w:ilvl="0">
      <w:lvlJc w:val="left"/>
      <w:lvlText w:val="†"/>
      <w:numFmt w:val="bullet"/>
      <w:start w:val="1"/>
    </w:lvl>
  </w:abstractNum>
  <w:abstractNum w:abstractNumId="149">
    <w:nsid w:val="46263DEC"/>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2021-07-19T23:09:37Z</dcterms:created>
  <dcterms:modified xsi:type="dcterms:W3CDTF">2021-07-19T23:09:37Z</dcterms:modified>
</cp:coreProperties>
</file>