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35559d424b5.htm"/>
        <w:bookmarkStart w:id="1" w:name="ksd835559d424b5"/>
        <w:bookmarkEnd w:id="0"/>
        <w:bookmarkEnd w:id="1"/>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right"/>
        <w:rPr>
          <w:rFonts w:ascii="Times New Roman" w:hAnsi="Times New Roman"/>
          <w:b/>
          <w:sz w:val="20"/>
        </w:rPr>
      </w:pPr>
      <w:r>
        <w:rPr>
          <w:rFonts w:ascii="Times New Roman" w:hAnsi="Times New Roman"/>
          <w:b/>
          <w:sz w:val="20"/>
        </w:rPr>
        <w:t>Filed Pursuant to Rule 424(b)(5)</w:t>
        <w:br/>
        <w:t xml:space="preserve">Registration No. 333-267643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NOVEMBER 17, 2025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October 5, 2022)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908300" cy="469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08300" cy="469900"/>
                    </a:xfrm>
                    <a:prstGeom prst="rect">
                      <a:avLst/>
                    </a:prstGeom>
                  </pic:spPr>
                </pic:pic>
              </a:graphicData>
            </a:graphic>
          </wp:inline>
        </w:drawing>
      </w:r>
      <w:r>
        <w:rPr/>
        <w:t xml:space="preserve"> </w:t>
      </w:r>
    </w:p>
    <w:p>
      <w:pPr>
        <w:pStyle w:val="TextBody"/>
        <w:bidi w:val="0"/>
        <w:spacing w:before="180" w:after="0"/>
        <w:ind w:left="960" w:right="960" w:hanging="0"/>
        <w:jc w:val="center"/>
        <w:rPr/>
      </w:pPr>
      <w:r>
        <w:rPr/>
        <w:t>    </w:t>
      </w:r>
      <w:r>
        <w:rPr>
          <w:rFonts w:ascii="Times New Roman" w:hAnsi="Times New Roman"/>
          <w:b/>
          <w:sz w:val="28"/>
        </w:rPr>
        <w:t xml:space="preserve">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80" w:after="0"/>
        <w:ind w:left="960" w:right="960" w:hanging="0"/>
        <w:jc w:val="left"/>
        <w:rPr>
          <w:rFonts w:ascii="Times New Roman" w:hAnsi="Times New Roman"/>
          <w:sz w:val="20"/>
        </w:rPr>
      </w:pPr>
      <w:r>
        <w:rPr>
          <w:rFonts w:ascii="Times New Roman" w:hAnsi="Times New Roman"/>
          <w:sz w:val="20"/>
        </w:rPr>
        <w:t xml:space="preserve">We are offering     shares of our common stock, par value $0.0001 per share, at a public offering price of $    per share. </w:t>
      </w:r>
    </w:p>
    <w:p>
      <w:pPr>
        <w:pStyle w:val="TextBody"/>
        <w:bidi w:val="0"/>
        <w:spacing w:before="180" w:after="0"/>
        <w:ind w:left="960" w:right="960" w:hanging="0"/>
        <w:jc w:val="left"/>
        <w:rPr>
          <w:rFonts w:ascii="Times New Roman" w:hAnsi="Times New Roman"/>
          <w:sz w:val="20"/>
        </w:rPr>
      </w:pPr>
      <w:r>
        <w:rPr>
          <w:rFonts w:ascii="Times New Roman" w:hAnsi="Times New Roman"/>
          <w:sz w:val="20"/>
        </w:rPr>
        <w:t xml:space="preserve">Our common stock is listed on The Nasdaq Global Market under the symbol “IVVD.” On November 14, 2025, the last reported sale price of our common stock on The Nasdaq Global Market was $2.35 per share. </w:t>
      </w:r>
    </w:p>
    <w:p>
      <w:pPr>
        <w:pStyle w:val="TextBody"/>
        <w:bidi w:val="0"/>
        <w:spacing w:before="0" w:after="0"/>
        <w:ind w:left="960" w:right="960" w:hanging="0"/>
        <w:jc w:val="left"/>
        <w:rPr/>
      </w:pPr>
      <w:r>
        <w:rPr/>
        <w:t> </w:t>
      </w:r>
    </w:p>
    <w:tbl>
      <w:tblPr>
        <w:tblW w:w="3800" w:type="pct"/>
        <w:jc w:val="center"/>
        <w:tblInd w:w="0" w:type="dxa"/>
        <w:tblLayout w:type="fixed"/>
        <w:tblCellMar>
          <w:top w:w="0" w:type="dxa"/>
          <w:left w:w="0" w:type="dxa"/>
          <w:bottom w:w="0" w:type="dxa"/>
          <w:right w:w="0" w:type="dxa"/>
        </w:tblCellMar>
      </w:tblPr>
      <w:tblGrid>
        <w:gridCol w:w="4447"/>
        <w:gridCol w:w="396"/>
        <w:gridCol w:w="173"/>
        <w:gridCol w:w="1009"/>
        <w:gridCol w:w="74"/>
        <w:gridCol w:w="395"/>
        <w:gridCol w:w="174"/>
        <w:gridCol w:w="1008"/>
        <w:gridCol w:w="79"/>
      </w:tblGrid>
      <w:tr>
        <w:trPr/>
        <w:tc>
          <w:tcPr>
            <w:tcW w:w="4447"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444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74"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9" w:type="dxa"/>
            <w:tcBorders/>
            <w:vAlign w:val="bottom"/>
          </w:tcPr>
          <w:p>
            <w:pPr>
              <w:pStyle w:val="TableContents"/>
              <w:bidi w:val="0"/>
              <w:spacing w:before="0" w:after="283"/>
              <w:jc w:val="left"/>
              <w:rPr/>
            </w:pPr>
            <w:r>
              <w:rPr/>
              <w:t> </w:t>
            </w:r>
          </w:p>
        </w:tc>
      </w:tr>
      <w:tr>
        <w:trPr/>
        <w:tc>
          <w:tcPr>
            <w:tcW w:w="44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9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4447"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(1)</w:t>
            </w:r>
          </w:p>
        </w:tc>
        <w:tc>
          <w:tcPr>
            <w:tcW w:w="39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008"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44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Invivyd, Inc., before expenses</w:t>
            </w:r>
          </w:p>
        </w:tc>
        <w:tc>
          <w:tcPr>
            <w:tcW w:w="39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 entitled “Underwriting” beginning on page S-21 of this prospectus supplement for additional information regarding total underwriting compensation. </w:t>
            </w:r>
          </w:p>
        </w:tc>
      </w:tr>
    </w:tbl>
    <w:p>
      <w:pPr>
        <w:pStyle w:val="TextBody"/>
        <w:bidi w:val="0"/>
        <w:spacing w:before="180" w:after="0"/>
        <w:ind w:left="960" w:right="960" w:hanging="0"/>
        <w:jc w:val="left"/>
        <w:rPr>
          <w:rFonts w:ascii="Times New Roman" w:hAnsi="Times New Roman"/>
          <w:sz w:val="20"/>
        </w:rPr>
      </w:pPr>
      <w:r>
        <w:rPr>
          <w:rFonts w:ascii="Times New Roman" w:hAnsi="Times New Roman"/>
          <w:sz w:val="20"/>
        </w:rPr>
        <w:t xml:space="preserve">We have granted the underwriters an option for a period of 30 days to purchase up to an additional     shares of our common stock from us at the public offering price set forth above, less underwriting discounts and commissions. If the underwriters exercise the option in full, the net proceeds to us, before deducting offering expenses, will be approximately $     . </w:t>
      </w:r>
    </w:p>
    <w:p>
      <w:pPr>
        <w:pStyle w:val="TextBody"/>
        <w:bidi w:val="0"/>
        <w:spacing w:before="180" w:after="0"/>
        <w:ind w:left="960" w:right="960" w:hanging="0"/>
        <w:jc w:val="left"/>
        <w:rPr>
          <w:rFonts w:ascii="Times New Roman" w:hAnsi="Times New Roman"/>
          <w:sz w:val="20"/>
        </w:rPr>
      </w:pPr>
      <w:r>
        <w:rPr>
          <w:rFonts w:ascii="Times New Roman" w:hAnsi="Times New Roman"/>
          <w:sz w:val="20"/>
        </w:rPr>
        <w:t xml:space="preserve">We are an “emerging growth company” as defined by the Jumpstart Our Business Startups Act of 2012 and a “smaller reporting company” as defined in Rule 12b-2 promulgated under the Securities Exchange Act of 1934, as amended, and, as such, we are subject to reduced public company reporting requirements. Refer to the section entitled “Prospectus Supplement Summary—Implications of Being an Emerging Growth Company and a Smaller Reporting Company” beginning on page S-5 of this prospectus supplement for more information.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80" w:after="0"/>
        <w:ind w:left="960" w:right="960" w:hanging="0"/>
        <w:jc w:val="left"/>
        <w:rPr/>
      </w:pPr>
      <w:r>
        <w:rPr>
          <w:rFonts w:ascii="Times New Roman" w:hAnsi="Times New Roman"/>
          <w:b/>
          <w:sz w:val="24"/>
        </w:rPr>
        <w:t>Investing in our common stock involves a high degree of risk. See the section entitled “</w:t>
      </w:r>
      <w:hyperlink w:anchor="supptx835559_4">
        <w:r>
          <w:rPr>
            <w:rStyle w:val="InternetLink"/>
            <w:rFonts w:ascii="Times New Roman" w:hAnsi="Times New Roman"/>
            <w:b/>
            <w:sz w:val="24"/>
          </w:rPr>
          <w:t>Risk Factors</w:t>
        </w:r>
      </w:hyperlink>
      <w:r>
        <w:rPr>
          <w:rFonts w:ascii="Times New Roman" w:hAnsi="Times New Roman"/>
          <w:b/>
          <w:sz w:val="24"/>
        </w:rPr>
        <w:t xml:space="preserve">” beginning on page S-8 of this prospectus supplement, the accompanying base prospectus and the documents that are incorporated by reference in this prospectus supplement and the accompanying prospectus. </w:t>
      </w:r>
    </w:p>
    <w:p>
      <w:pPr>
        <w:pStyle w:val="TextBody"/>
        <w:bidi w:val="0"/>
        <w:spacing w:before="18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180" w:after="0"/>
        <w:ind w:left="960" w:right="960" w:hanging="0"/>
        <w:jc w:val="left"/>
        <w:rPr>
          <w:rFonts w:ascii="Times New Roman" w:hAnsi="Times New Roman"/>
          <w:sz w:val="20"/>
        </w:rPr>
      </w:pPr>
      <w:r>
        <w:rPr>
          <w:rFonts w:ascii="Times New Roman" w:hAnsi="Times New Roman"/>
          <w:sz w:val="20"/>
        </w:rPr>
        <w:t xml:space="preserve">The underwriters expect to deliver the shares of common stock against payment on or about    , 2025.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80" w:after="0"/>
        <w:ind w:left="960" w:right="960" w:hanging="0"/>
        <w:jc w:val="center"/>
        <w:rPr>
          <w:rFonts w:ascii="Times New Roman" w:hAnsi="Times New Roman"/>
          <w:b/>
          <w:i/>
          <w:sz w:val="24"/>
        </w:rPr>
      </w:pPr>
      <w:r>
        <w:rPr>
          <w:rFonts w:ascii="Times New Roman" w:hAnsi="Times New Roman"/>
          <w:b/>
          <w:i/>
          <w:sz w:val="24"/>
        </w:rPr>
        <w:t xml:space="preserve">Sole Book-Running Manager </w:t>
      </w:r>
    </w:p>
    <w:p>
      <w:pPr>
        <w:pStyle w:val="TextBody"/>
        <w:bidi w:val="0"/>
        <w:spacing w:before="180" w:after="0"/>
        <w:ind w:left="960" w:right="960" w:hanging="0"/>
        <w:jc w:val="center"/>
        <w:rPr>
          <w:rFonts w:ascii="Times New Roman" w:hAnsi="Times New Roman"/>
          <w:b/>
          <w:sz w:val="32"/>
        </w:rPr>
      </w:pPr>
      <w:r>
        <w:rPr>
          <w:rFonts w:ascii="Times New Roman" w:hAnsi="Times New Roman"/>
          <w:b/>
          <w:sz w:val="32"/>
        </w:rPr>
        <w:t xml:space="preserve">Cantor </w:t>
      </w:r>
    </w:p>
    <w:p>
      <w:pPr>
        <w:pStyle w:val="TextBody"/>
        <w:bidi w:val="0"/>
        <w:spacing w:before="180" w:after="0"/>
        <w:ind w:left="960" w:right="960" w:hanging="0"/>
        <w:jc w:val="center"/>
        <w:rPr>
          <w:rFonts w:ascii="Times New Roman" w:hAnsi="Times New Roman"/>
          <w:b/>
          <w:sz w:val="20"/>
        </w:rPr>
      </w:pPr>
      <w:r>
        <w:rPr>
          <w:rFonts w:ascii="Times New Roman" w:hAnsi="Times New Roman"/>
          <w:b/>
          <w:sz w:val="20"/>
        </w:rPr>
        <w:t xml:space="preserve">The date of this prospectus supplement is  , 2025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Page </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tcPr>
          <w:p>
            <w:pPr>
              <w:pStyle w:val="TableContents"/>
              <w:bidi w:val="0"/>
              <w:spacing w:before="0" w:after="0"/>
              <w:jc w:val="left"/>
              <w:rPr/>
            </w:pPr>
            <w:hyperlink w:anchor="supptx835559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835559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835559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835559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835559_5">
              <w:r>
                <w:rPr>
                  <w:rStyle w:val="InternetLink"/>
                  <w:rFonts w:ascii="Times New Roman" w:hAnsi="Times New Roman"/>
                  <w:sz w:val="20"/>
                </w:rPr>
                <w:t>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835559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835559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835559_8">
              <w:r>
                <w:rPr>
                  <w:rStyle w:val="InternetLink"/>
                  <w:rFonts w:ascii="Times New Roman" w:hAnsi="Times New Roman"/>
                  <w:sz w:val="20"/>
                </w:rPr>
                <w:t>MATERIAL U.S. FEDERAL INCOME TAX CONSEQUENCES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835559_9">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835559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835559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835559_12">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835559_13">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rom835559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2">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3">
              <w:r>
                <w:rPr>
                  <w:rStyle w:val="InternetLink"/>
                  <w:rFonts w:ascii="Times New Roman" w:hAnsi="Times New Roman"/>
                  <w:sz w:val="20"/>
                </w:rPr>
                <w:t>MARKET, INDUSTRY AND OTHER DATA</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4">
              <w:r>
                <w:rPr>
                  <w:rStyle w:val="InternetLink"/>
                  <w:rFonts w:ascii="Times New Roman" w:hAnsi="Times New Roman"/>
                  <w:sz w:val="20"/>
                </w:rPr>
                <w:t>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8">
              <w:r>
                <w:rPr>
                  <w:rStyle w:val="InternetLink"/>
                  <w:rFonts w:ascii="Times New Roman" w:hAnsi="Times New Roman"/>
                  <w:sz w:val="20"/>
                </w:rPr>
                <w:t>GENERAL DESCRIPTION OF OUR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9">
              <w:r>
                <w:rPr>
                  <w:rStyle w:val="InternetLink"/>
                  <w:rFonts w:ascii="Times New Roman" w:hAnsi="Times New Roman"/>
                  <w:sz w:val="20"/>
                </w:rPr>
                <w:t>DESCRIPTION OF OUR COMMON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0">
              <w:r>
                <w:rPr>
                  <w:rStyle w:val="InternetLink"/>
                  <w:rFonts w:ascii="Times New Roman" w:hAnsi="Times New Roman"/>
                  <w:sz w:val="20"/>
                </w:rPr>
                <w:t>DESCRIPTION OF OUR PREFERRED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1">
              <w:r>
                <w:rPr>
                  <w:rStyle w:val="InternetLink"/>
                  <w:rFonts w:ascii="Times New Roman" w:hAnsi="Times New Roman"/>
                  <w:sz w:val="20"/>
                </w:rPr>
                <w:t>DESCRIPTION OF OUR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2">
              <w:r>
                <w:rPr>
                  <w:rStyle w:val="InternetLink"/>
                  <w:rFonts w:ascii="Times New Roman" w:hAnsi="Times New Roman"/>
                  <w:sz w:val="20"/>
                </w:rPr>
                <w:t>DESCRIPTION OF OUR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3">
              <w:r>
                <w:rPr>
                  <w:rStyle w:val="InternetLink"/>
                  <w:rFonts w:ascii="Times New Roman" w:hAnsi="Times New Roman"/>
                  <w:sz w:val="20"/>
                </w:rPr>
                <w:t>DESCRIPTION OF OUR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5">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6">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7">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835559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“shelf” registration statement on Form S-3 (File No. 333-267643) that we filed with the Securities and Exchange Commission (the “SEC”), on September 28, 2022, and which was declared effective by the SEC on October 5, 2022 (the “2022 Registration Statement”). Pursuant to Rule 415(a)(5) under the Securities Act of 1933, as amended, securities under a registration statement may continue to be offered and sold under such registration statement until the earlier of the effective date of a new registration statement or 180 days after the third anniversary of the initial effective date of the prior registration statement, provided that the new registration statement is filed prior to the third anniversary of the effective date of the previously-filed shelf registration statement. We filed a new registration statement with the SEC on October 2, 2025, thereby extending the effectiveness of the 2022 Registration Statement for the additional period described above. Under the shelf registration process, we may from time to time offer and sell any combination of the securities described in the accompanying prospectus up to a total dollar amount of $400 million under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of our common stock and adds to and updates the information contained in the accompanying prospectus and the documents incorporated by reference herein or therein. The second part, the accompanying prospectus, including the documents incorporated by reference into the accompanying prospectus, provides more general information, some of which may not apply to this offering. Generally, when we refer to this prospectus supplement, we are referring to both parts of this document combined.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however,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relate to the offering of shares of our common stock. Before buying any of the shares of common stock offered hereby, we urge you to read carefully this prospectus supplement and the accompanying prospectus, together with the information incorporated herein by reference as described below under the heading “Incorporation of Certain Information by Reference.” This prospectus supplement contains information about the common stock offered hereby and may add to, update or change information in the accompanying prospectus. You should assume that the information in this prospectus supplement and the accompanying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prospectus or the time of any sale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into, this prospectus supplement and the accompanying prospectus. We have not, and the underwriters have not, authorized anyone to provide you with different or additional information. Neither we nor the underwriters take any responsibility for, and can provide no assurance as to the reliability of, any other information that others may give you. Neither the delivery of this prospectus supplement, the accompanying prospectus and any free writing prospectus that we have authorized for use in this offering, nor the sale of our common stock means that information contained in this prospectus supplement, the accompanying prospectus and any free writing prospectus that we have authorized for use in this offering, is correct after their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and the underwriters are soliciting offers to buy, our common stock only in jurisdictions in which an offer or solicitation is authorized or in which the person making that offer or solicitation is qualified to do so. The distribution of this prospectus supplement and the accompanying prospectus and the offering of the securities in certain jurisdictions may be restricted by law. Persons outside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herein by reference as exhibits to the registration statement, and you may obtain copies of those documents as described below under the section entitled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supplement, the accompanying prospectus or the documents incorporated herein by reference, these estimates involve risks and uncertainties and are subject to change based on various factors, including those discussed under the headings “Risk Factors” in this prospectus supplement and the accompanying prospectus, and under similar headings in the documents that are incorporated herein by reference.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supplement to the terms “the Company,” “Invivyd,” “we,” “our” and “us” or other similar terms mean Invivyd, Inc. and our wholly-owned subsidiaries, unless we state otherwise or the context indicates otherwise. </w:t>
      </w:r>
    </w:p>
    <w:p>
      <w:pPr>
        <w:pStyle w:val="TextBody"/>
        <w:bidi w:val="0"/>
        <w:spacing w:before="240" w:after="0"/>
        <w:jc w:val="left"/>
        <w:rPr/>
      </w:pPr>
      <w:r>
        <w:rPr/>
        <w:t>“</w:t>
      </w:r>
      <w:r>
        <w:rPr>
          <w:rFonts w:ascii="Times New Roman" w:hAnsi="Times New Roman"/>
          <w:sz w:val="20"/>
        </w:rPr>
        <w:t xml:space="preserve">Invivyd,” “PEMGARDA,” “INVYMAB” as well as logos and certain stylized versions of these word marks are registered trademarks of Invivyd, Inc. This prospectus supplement and the accompanying prospectus and the documents incorporated by reference herein and therein may also contain trademarks and trade names that are the property of their respective owners. We do not intend our use or display of other companies’ trade names, trademarks or service marks to imply relationships with, or endorsements or sponsorship of us by, these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x835559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about us and this offering and does not contain all of the information that you should consider in making your investment decision. You should carefully read this entire prospectus supplement and the accompanying prospectus, including the risks and uncertainties discussed under the heading “Risk Factors” beginning on page S-8 of this prospectus supplement, and the information incorporated by reference in this prospectus supplement and the accompanying prospectus, including our financial statements, before making an investment decision. If you invest in our securities, you are assuming a high degree of risk.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biopharmaceutical company devoted to delivering protection from serious viral infectious diseases, beginning with SARS-CoV-2. PEMGARDA® (pemivibart) is our first monoclonal antibody (“mAb”) to receive regulatory authorization and was designed to keep pace with SARS-CoV-2 viral evolution.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22, 2024, we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January 2024, we nominated VYD2311, a next generation mAb candidate for COVID-19, as a drug candidate, and in September 2024, we announced dosing of the first participants in a Phase 1/2 clinical trial of VYD2311. VYD2311 is a mAb with high in vitro neutralization potency shown against prominent SARS-CoV-2 variants tested to date.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(“IM”) administration and subcutaneous administration, which are designed to be more system- and patient-friendly than intravenous administration. In June 2025, we announced positive full Phase 1/2 clinical data for VYD2311 for both safety and pharmacokinetics. In August 2025, we announced alignment with advice from the FDA on a compact and, therefore, rapid pathway to potential Biologics License Application (“BLA”) approval for VYD2311 for the prevention of COVID-19. As part of Type C meeting feedback, the FDA advised that a single, randomized, placebo-controlled trial evaluating mAb efficacy in prevention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In October 2025, we announced that the FDA cleared our Investigational New Drug (“IND”) application for VYD2311 and provided feedback to advance our REVOLUTION clinical program, which is our development program for VYD2311. The REVOLUTION clinical program will include two clinical trials, DECLARATION and LIBERTY. The DECLARATION clinical trial is our BLA-enabling, Phase 3 randomized, triple-blind, placebo-controlled pivotal clinical trial to evaluate the efficacy and safety of VYD2311 for the prevention of symptomatic COVID at three months, with either a single dose or monthly doses of VYD2311, each administered via IM injection, compared to placebo. The LIBERTY clinical trial is designed as a Phase 3, randomized, pooled-vaccine, double-blind clinical trial to evaluate head-to-head safety and tolerability and co-administration interaction of VYD2311 with approved mRNA-based COVID vaccines in adults, subject to final alignment with the FDA. The DECLARATION and LIBERTY clinical trials are expected to begin around year-end 2025, with top-line data anticipated mid-2026. Additional studies in the REVOLUTION clinical program may be contemplated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conduct post-approval of VYD2311, if a BLA is granted by the FDA, to further elaborate the profile of antibody prevention of COVID. Like pemivibart, VYD2311 was engineered from adintrevimab, our investigational mAb that has a robust safety data package and demonstrated clinically meaningful results in global Phase 2/3 clinical trials for both the prevention and treatment of COVID-19.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July 2025, we announced that we had formed the SPEAR (Spike Protein Elimination and Recovery) Study Group with leading investigators to structure and guide anticipated clinical trials evaluating the effects of broadly neutralizing anti-SARS-CoV-2 spike protein mAb therapy in people suffering from Long COVID or Post-Vaccination Syndrome (“PVS”). The SPEAR Study Group intends to launch multi-center translational clinical research on Long COVID and PVS using next-generation antibodies like our investigational mAb candidate VYD2311.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over five years in the COVID-19 space, we aim to develop mAbs that could be used in prevention or treatment of serious viral diseases, starting with COVID-19 and potentially expanding into other high-need indications.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announced attractive neutralization potency of VYD2311 against the same contemporary viruses, and provided an update to ongoing structural analysis showing no meaningful mutational change in the pemivibart binding site since the Omicron shift late in 2021. In January 2025, March 2025 and August 2025, we announced continued neutralizing activity of PEMGARDA and VYD2311 against dominant SARS-CoV-2 variants XEC, LP.8.1 and XFG,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about our company, please refer to other documents that we have filed with the SEC and that are incorporated by reference in this prospectus supplement, as listed under the heading “Incorporation of Certain Information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June 2020. We operate as a hybrid company. Our principal executive offices are located at 209 Church Street, New Haven, CT 06510, and our telephone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number is (781) 819-0080. Our website address is www.invivyd.com. We do not incorporate the information on, or accessible through, our website into this prospectus supplement, and you should not consider any information on, or accessible through, our website as part of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Jumpstart Our Business Startups Act of 2012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auditor attestation requirement in the assessment of our internal control over financial reporting;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requirements of the Public Company Accounting Oversight Board regarding the communication of critical audit matters in the auditor’s report on the financial statements.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from new or revised accounting standards and, therefore, may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Securities Exchange Act of 1934, as amended (the “Exchange Act”). We may continue to be a smaller reporting company even after we are no longer an emerging growth company, which would allow us to take advantage of many of the same exemptions available to emerging growth companies.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 addition, if we are a smaller reporting company with less than $100.0 million in annual revenue, we would not be required to comply with the auditor attestation requirements of Section 404 of the Sarbanes-Oxley Act of 2002.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x835559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pursuant to this prospectus supplement </w:t>
            </w:r>
          </w:p>
        </w:tc>
        <w:tc>
          <w:tcPr>
            <w:tcW w:w="6327" w:type="dxa"/>
            <w:tcBorders/>
          </w:tcPr>
          <w:p>
            <w:pPr>
              <w:pStyle w:val="TableContents"/>
              <w:bidi w:val="0"/>
              <w:spacing w:before="0" w:after="283"/>
              <w:jc w:val="left"/>
              <w:rPr/>
            </w:pPr>
            <w:r>
              <w:rPr/>
              <w:t>   </w:t>
            </w:r>
            <w:r>
              <w:rPr/>
              <w:t xml:space="preserve">shares of our common stock (or    shares of our common stock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Option to purchase additional shares </w:t>
            </w:r>
          </w:p>
        </w:tc>
        <w:tc>
          <w:tcPr>
            <w:tcW w:w="6327" w:type="dxa"/>
            <w:tcBorders/>
          </w:tcPr>
          <w:p>
            <w:pPr>
              <w:pStyle w:val="TableContents"/>
              <w:bidi w:val="0"/>
              <w:spacing w:before="0" w:after="283"/>
              <w:jc w:val="left"/>
              <w:rPr/>
            </w:pPr>
            <w:r>
              <w:rPr/>
              <w:t xml:space="preserve">We have granted the underwriters an option for a period of up to 30 days from the date of this prospectus supplement to purchase up to an additional    shares of our common stock from us at the public offering price, less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immediately after this offering </w:t>
            </w:r>
          </w:p>
        </w:tc>
        <w:tc>
          <w:tcPr>
            <w:tcW w:w="6327" w:type="dxa"/>
            <w:tcBorders/>
          </w:tcPr>
          <w:p>
            <w:pPr>
              <w:pStyle w:val="TableContents"/>
              <w:bidi w:val="0"/>
              <w:spacing w:before="0" w:after="283"/>
              <w:jc w:val="left"/>
              <w:rPr/>
            </w:pPr>
            <w:r>
              <w:rPr/>
              <w:t>   </w:t>
            </w:r>
            <w:r>
              <w:rPr/>
              <w:t xml:space="preserve">shares (or   shares if the underwriters exercise in full their option to purchase additional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9" w:type="dxa"/>
            <w:tcBorders/>
          </w:tcPr>
          <w:p>
            <w:pPr>
              <w:pStyle w:val="TableContents"/>
              <w:bidi w:val="0"/>
              <w:spacing w:before="0" w:after="283"/>
              <w:jc w:val="left"/>
              <w:rPr/>
            </w:pPr>
            <w:r>
              <w:rPr/>
              <w:t xml:space="preserve">We estimate that our net proceeds from this offering will be approximately $    million, or $    million if the option to purchase additional shares is exercised in full by the underwriters, after deducting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intend to use the net proceeds from this offering, together with our existing cash and cash equivalents, for commercial preparedness for the potential launch of VYD2311, continued research and development related to our pipeline programs such as respiratory syncytial virus (“RSV”) and measles, continued advancement of the SPEAR Study Group efforts related to assessing the effects of mAb therapy for Long COVID and COVID-19 PVS, and for working capital and other general corporate purposes. See the section entitled “Use of Proceeds” on page S-13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An investment in our common stock involves a high degree of risk. Before making an investment decision, please read the information contained in or incorporated by reference in the section entitled “Risk Factors” beginning on page S-8 of this prospectus supplement, page 34 of our Annual Report on Form 10-K for the fiscal year ended December 31, 2024, page 41 of our Quarterly Report on Form 10-Q for the quarter ended September 30, 2025, and under similar headings in the documents that are incorporated by reference herein, as well as the other information included in or incorporated by reference in this prospectus supplement and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The Nasdaq Global Market symbol </w:t>
            </w:r>
          </w:p>
        </w:tc>
        <w:tc>
          <w:tcPr>
            <w:tcW w:w="6326" w:type="dxa"/>
            <w:tcBorders/>
          </w:tcPr>
          <w:p>
            <w:pPr>
              <w:pStyle w:val="TableContents"/>
              <w:bidi w:val="0"/>
              <w:spacing w:before="0" w:after="283"/>
              <w:jc w:val="left"/>
              <w:rPr/>
            </w:pPr>
            <w:r>
              <w:rPr/>
              <w:t>“</w:t>
            </w:r>
            <w:r>
              <w:rPr/>
              <w:t xml:space="preserve">IVVD”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Outstanding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214,409,450 shares of our common stock outstanding as of September 30, 2025, plus 18,655,402 shares of our common stock issued pursuant to our Controlled Equity OfferingSM Sales Agreement with Cantor Fitzgerald &amp; 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 sales agent, that we entered into on December 22, 2023 (the “Sales Agreement”) subsequent to September 30, 2025 through November 13, 2025. Unless specifically stated otherwise, the information in this prospectus supplement is as of September 30, 2025,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21,316,902 shares of our common stock issuable upon the exercise of stock options outstanding as of September 30, 2025 at a weighted-average exercise price of $3.01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1,539,000 shares of our common stock issuable upon the vesting and settlement of restricted stock units outstanding as of September 30,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12,941,157 shares of our common stock reserved for future issuance under our 2021 Equity Incentive Plan (the “2021 Plan”) as of September 30,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6,824,712 shares of our common stock issuable upon exercise of warrants outstanding as of September 30, 2025, which had a weighted average exercise price of $3.48 per share at that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589,957 shares of our common stock reserved for future issuance under our 2021 Employee Stock Purchase Plan (the “ESPP”), as of September 30, 2025;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21,342,442 shares of our common stock issuable upon exercise of pre-funded warrants outstanding as of September 30, 2025 at an exercise price of $0.0001 per share.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reflects or assumes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Exclusion of the forfeiture of stock options to acquire 117,896 shares of our common stock subsequent to September 30, 2025 through November 13,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Exclusion of 653,500 shares of our common stock underlying equity awards granted subsequent to September 30, 2025 through November 13,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Exclusion of the exercise of stock options to acquire 57,982 shares of our common stock subsequent to September 30, 2025 through November 13,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vesting or settlement of restricted stock units subsequent to September 30, 2025 through November 13,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outstanding warrants or pre-funded warrants;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by the underwriters of their option to purchase additional shares of our common stock.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shares of our common stock may be sold from time to time under the Sales Agreement. As of the date of this prospectus supplement, we have sold 32,055,402 shares of our common stock under the Sales Agreement at an average price of $2.34, which has resulted in net proceeds of approximately $72.7 million. In October 2025, we filed a new shelf registration statement on Form S-3 with the SEC and an accompanying base prospectus for the offer and sale of up to $350 million of our securities (the “2025 Shelf Registration Statement”), including a $75.0 million prospectus supplement for the offer and sale of our common stock with a sales value of up to $75.0 million pursuant to the Sales Agreement. The 2025 Shelf Registration Statement has not yet been declared effective by the SEC as of the date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835559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Before investing in our common stock, you should carefully consider the risks described below, together with all of the other information contained in this prospectus supplement and the accompanying prospectus and incorporated by reference herein and therein, including from our most recent Annual Report on Form 10-K and Quarterly Reports on Form 10-Q and from our Current Reports on Form 8-K, as well as any amendments or updates to our risk factors thereto reflected in subsequent filings with the SEC. Some of these factors relate principally to our business and the industry in which we operate. Other factors relate principally to your investment in our securities. The risks and uncertainties described therein and below are not the only risks facing us. Additional risks and uncertainties not presently known to us or that we currently deem immaterial may also materially and adversely affect our business and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If any of the matters included in the following risks were to occur, our business, financial condition, results of operations, cash flows or prospects could be materially and adversely affected. In such case,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You will experience immediate and substantial dilution if you purchase shares of common stock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Since the indicative price per share in this offering is higher than the pro forma as-adjusted net tangible book value per share of our common stock outstanding prior to this offering, you will suffer substantial dilution with respect to the shares of common stock you purchase in this offering. Our pro forma net tangible book value as of September 30, 2025 was approximately $122.0 million, or $0.52 per share of our common stock, based on 214,409,450 shares of our common stock outstanding on September 30, 2025, plus 18,655,402 shares of common stock issued pursuant to the Sales Agreement subsequent to September 30, 2025 through November 13, 2025. </w:t>
      </w:r>
    </w:p>
    <w:p>
      <w:pPr>
        <w:pStyle w:val="TextBody"/>
        <w:bidi w:val="0"/>
        <w:spacing w:before="240" w:after="0"/>
        <w:jc w:val="left"/>
        <w:rPr>
          <w:rFonts w:ascii="Times New Roman" w:hAnsi="Times New Roman"/>
          <w:sz w:val="20"/>
        </w:rPr>
      </w:pPr>
      <w:r>
        <w:rPr>
          <w:rFonts w:ascii="Times New Roman" w:hAnsi="Times New Roman"/>
          <w:sz w:val="20"/>
        </w:rPr>
        <w:t xml:space="preserve">Based on the public offering price of $     per share, and after deducting underwriting discounts and commissions and estimated offering expenses payable by us, our pro forma as-adjusted net tangible book value per share as of September 30, 2025 would have been approximately $    , or approximately $    per share of our common stock. As a result, investors purchasing common stock in this offering will experience immediate dilution of $    per share. As a result of the dilution to investors purchasing shares in this offering, investors may receive significantly less than the purchase price paid in this offering, if anything, in the event of our liquidation. See the section entitled “Dilution” on page S-14 of this prospectus supplement for a more detailed discussion of the dilution you will incur if you purchase shares of our common stock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of September 30, 2025, we had outstanding (i) options to purchase 21,316,902 shares of our common stock at a weighted-average exercise price of $3.01 per share pursuant to our 2020 Equity Incentive Plan (the “2020 Plan”) and the 2021 Plan, (ii) warrants to purchase 6,824,712 shares of our common stock at a weighted-average exercise price of $3.48 per share, (iii) pre-funded warrants to purchase 21,342,442 shares of our common stock at an exercise price of $0.0001 per share, and (iv) 1,539,000 shares of common stock underlying restricted stock units. As of September 30, 2025, there were no shares of our common stock reserved for future issuance under the 2020 Plan, 12,941,157 shares of our common stock reserved for future issuance under the 2021 Plan and 589,957 shares of our common stock reserved for future issuance under the ESPP. The shares of our common stock issuable under the 2020 Plan, the 2021 Plan and the ESPP may be immediately eligible for resale in the open market. Sale of such shares, along with any other market transactions, could adversely affect the market price of our common stock. Additional dilution may result from the issuance of shares of our common stock pursuant to such plans, upon vesting and settlement of any stock awards under any such plan, or upon exercise of any such outstanding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Substantial future sales or other issuances of our common stock could depress the market for our common stock and you could experience future dilution as a result of such future sales or other issuances.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or the perception by the market that those sales could occur, could cause the market price of our common stock to decline or could make it more difficult for us to raise funds through the sale of equity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and our directors and executive officers have entered into lock-up agreements for a period of 60 days following this offering. We and our directors and executive officers may be released from such lock-up agreements prior to the expiration of the lock-up period at the sole discretion of Cantor Fitzgerald &amp; Co. For more information, see the section entitled “Underwriting” beginning on page S-21 of this prospectus supplement. Upon expiration or earlier release of the lock-up, we and our directors and executive officers may sell shares into the market, which could adversely affect the market price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Additional shares of our common stock may be sold from time to time under the Sales Agreement. As of the date of this prospectus supplement, we have sold 32,055,402 shares of our common stock under the Sales Agreement at an average price of $2.34, which has resulted in net proceeds of approximately $72.7 million. In October 2025, we filed the 2025 Shelf Registration Statement, including a $75.0 million prospectus supplement for the offer and sale of our common stock with a sales value of up to $75.0 million pursuant to the Sales Agreement. The 2025 Shelf Registration Statement has not yet been declared effective by the SEC as of the date of this prospectus supplement. To the extent that we sell shares of our common stock pursuant to our at-the-market offering program, investors purchasing shares of common stock in this offering could experience further dilution.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of our employees, executive officers, and directors have entered or may enter into Rule 10b5-1 trading plans providing for sales of shares of our common stock from time to time. Under a Rule 10b5-1 trading plan, a broker executes trades pursuant to parameters established by the employee, director, or officer when entering into the plan, without further direction from the employee, officer, or director. A Rule 10b5-1 trading plan may be amended or terminated in some circumstances. Our employees, executive officers, and directors also may buy or sell shares without a Rule 10b5-1 trading plan, in accordance with our insider trading prevention policy and procedures, when they are not in possession of material, nonpublic information, subject to the expiration of the lock-up agreements, if applicable, described in “Underwriting” beginning on page S-21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To satisfy our anticipated funding requirements, we may in the future offer and issue additional shares of our common stock or other securities convertible into, exercisable or exchangeable for, or settled in,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exercisable or exchangeable for, or settled in, our common stock in future transactions may be higher or lower than the price per share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how we use the net proceeds of this offering and, despite our efforts, we may not use these net proceeds effectively or in ways with which you agree. </w:t>
      </w:r>
    </w:p>
    <w:p>
      <w:pPr>
        <w:pStyle w:val="TextBody"/>
        <w:bidi w:val="0"/>
        <w:spacing w:before="120" w:after="0"/>
        <w:jc w:val="left"/>
        <w:rPr>
          <w:rFonts w:ascii="Times New Roman" w:hAnsi="Times New Roman"/>
          <w:sz w:val="20"/>
        </w:rPr>
      </w:pPr>
      <w:r>
        <w:rPr>
          <w:rFonts w:ascii="Times New Roman" w:hAnsi="Times New Roman"/>
          <w:sz w:val="20"/>
        </w:rPr>
        <w:t xml:space="preserve">We intend to use the net proceeds from this offering, together with our existing cash and cash equivalents, for commercial preparedness for the potential launch of VYD2311, continued research and development related to our pipeline programs such as RSV and measles, continued advancement of the SPEAR Study Group efforts related to assessing the effects of mAb therapy for Long COVID and COVID-19 PVS, and for working capital and other general corporate purposes. However, we have not determined the specific allocation of the net proceeds among these potential uses. Our management will have broad discretion over the use and investment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net proceeds of this offering, and, accordingly, investors in this offering will need to rely upon the judgment of our management with respect to the use of proceeds, with only limited information concerning our specific intentions. Our stockholders may not agree with the manner in which our management chooses to allocate and spend the net proceeds. Moreover, our management may use the net proceeds for corporate purposes that may not increase the market price of our common stock. Please see the section entitled “Use of Proceeds” on page S-13 of this prospectus supplement for further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anticipate paying any cash dividends on our capital stock in the foreseeable future; accordingly, capital appreciation, if any, will be your sole source of gain and you may never receive a return on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capital stock, and you should not rely on an investment in our common stock to provide dividend income. We currently intend to retain all of our future earnings, if any, to finance the growth and development of our business and do not anticipate declaring or paying any cash dividends for the foreseeable future. In addition, our loan and security agreement with Silicon Valley Bank prohibits us, and the terms of any future debt agreements may also preclude us, from paying cash dividends. As a result, capital appreciation, if any, of our common stock will be your sole source of gain for the foreseeable future. Furthermore, we may in the future become subject to additional contractual restrictions on, or prohibitions against, the payment of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835559_5"/>
      <w:bookmarkEnd w:id="7"/>
      <w:r>
        <w:rPr>
          <w:rFonts w:ascii="Times New Roman" w:hAnsi="Times New Roman"/>
          <w:b/>
          <w:sz w:val="20"/>
        </w:rPr>
        <w:t xml:space="preserve">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Various statements made in this prospectus supplement and in the documents incorporated by reference herein are forward-looking and involve risks and uncertainties. All statements that address activities, events or developments that we intend, expect or believe may occur in the future are forward-looking statements within the meaning of Section 27A of the Securities Act and Section 21E of the Exchange Act. Such statements give our current expectations or forecasts of future events and are not statements of historical or current facts. These statements include, among others,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related to the commercialization of PEMGARDA® (pemivibart), which received emergency use authorization (“EUA”) from the U.S. Food and Drug Administration (“FDA”) in March 2024, including our expectations about the potential market opportunity;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 of PEMGARDA to keep pace with SARS-CoV-2 viral evolution;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related to VYD2311, our next generation monoclonal antibody (“mAb”) candidate for COVID-19, and the potential of VYD2311 to offer the ability to deliver clinically meaningful titer levels through more system- and patient-friendly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availability of a rapid pathway to potential Biologics License Application (“BLA”) approval for VYD2311 for the prevention of COVID-19 and the compact pivotal clinical trial that could substantiate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timing, design, progress and results of preclinical studies and clinical trials of our product candidates, including expectations regarding the DECLARATION and LIBERTY clinical trials that are part of our broader REVOLUTION clinical program, and including statements regarding initiation or completion of studies or trials and related preparatory work, the period during which results of any studies or trials will become available, and potential regulatory submissions;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devotion to delivering protection from serious viral infectious diseases, and our aim to develop mAbs that could be used in prevention or treatment of serious viral diseases, starting with COVID-19 and potentially expanding into other high-need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discovery efforts to assess pipeline expansion beyond SARS-CoV-2, including potential targets such as respiratory syncytial virus and measles;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goal of establishing streamlined development pathways to efficiently introduce new mAb candidates targeting SARS-CoV-2;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regulatory pathway for our product candidates, including the anticipated timing of any submission of filings for regulatory authorization or approval of, and our ability to obtain and maintain regulatory authorizations or approvals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regarding SARS-CoV-2 variant monitoring of antiviral activity as part of our ongoing industrial virology effort;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size of the patient populations, market acceptance and opportunity for and clinical utility of our product candidates, if authorized or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capabilities and strategy, and our expectations regarding supply and demand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our product candidates, if authorized or approved, including our distribution capabilities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and develop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SPEAR Study Group, including its anticipated focus, goals and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our expenses, ongoing losses, future potential revenue, capital requirements and our need for or ability to obtain additional funding;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the development of and projections relating to our competitors or our industry;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intended use of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guarantee that the results and other expectations expressed, anticipated or implied in any forward- looking statement will be realized. The risks set forth under Item 1A of our Annual Report on Form 10-K for the fiscal year ended December 31, 2024 and any supplementary risks set forth under Item 1A of our Quarterly Reports on Form 10-Q and other documents we file with the SEC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You should read and interpret any forward-looking statements in light of these risks.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documents that we incorporate by reference herein and therein completely and with the understanding that our actual future results may be materially different from what we expect. The forward-looking statements contained in this prospectus supplement are made as of the date of this prospectus supplement and we do not assume any obligation to update any forward-looking statements, whether as a result of new information, future events or otherwise,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when made,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835559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after deducting the underwriting discounts and commissions and the estimated offering expenses payable by us, will be approximately $     million (or approximately $    million if the underwriters exercise their option to purchase additional shares in full).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together with our existing cash and cash equivalents, for commercial preparedness for the potential launch of VYD2311, continued research and development related to our pipeline programs such as RSV and measles, continued advancement of the SPEAR Study Group efforts related to assessing the effects of mAb therapy for Long COVID and COVID-19 PVS, and for working capital and other general corporate purposes. We may also use a portion of the net proceeds from this offering to acquire or invest in complementary businesses, technologies, additional product candidates or other intellectual property, although we have no present commitments or agreements to do so.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timing of our use of the net proceeds from this offering will depend on a number of factors, such as the timing and progress of our commercialization efforts, the timing and progress of our research and development efforts, the timing and progress of any partnering efforts, and the competitive environment for our product and product candidates. As of the date of this prospectus supplement, we cannot specify with certainty all of the particular uses for the net proceeds to us from the sale of the common stock offered by us hereunder. Accordingly, our management will have broad discretion in the timing and application of these proceeds. Pending application of the net proceeds as described above, we intend to temporarily invest the proceeds in short-term, interest-bearing instruments. As the net proceeds from this offering, together with our existing cash and cash equivalents and cash collected on future revenues, may not be sufficient to fund our clinical programs, we may raise additional capital to achieve our business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835559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Purchasers of common stock in this offering will experience immediate dilution to the extent of the difference between the public offering price per share of common stock and the pro forma as-adjusted net tangible book value per share of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September 30, 2025 was approximately $93.1 million, or $0.43 per share of common stock. Net tangible book value per share is determined by dividing total tangible assets less total liabilities, excluding items such as intangibles, by the aggregate number of shares of common stock outstanding as of September 30, 2025. </w:t>
      </w:r>
    </w:p>
    <w:p>
      <w:pPr>
        <w:pStyle w:val="TextBody"/>
        <w:bidi w:val="0"/>
        <w:spacing w:before="240" w:after="0"/>
        <w:jc w:val="left"/>
        <w:rPr>
          <w:rFonts w:ascii="Times New Roman" w:hAnsi="Times New Roman"/>
          <w:sz w:val="20"/>
        </w:rPr>
      </w:pPr>
      <w:r>
        <w:rPr>
          <w:rFonts w:ascii="Times New Roman" w:hAnsi="Times New Roman"/>
          <w:sz w:val="20"/>
        </w:rPr>
        <w:t xml:space="preserve">Our pro forma net tangible book value as of September 30, 2025 was approximately $122.0 million, or $0.52 per share of common stock. Pro forma net tangible book value per share represents net tangible book value divided by the number of shares of our common stock outstanding, after giving effect to our issuance of 18,655,402 shares of common stock issued pursuant to the Sales Agreement subsequent to September 30, 2025 through November 13, 2025.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represents the difference between the amount per share paid by purchasers of our common stock in this offering and the pro forma as-adjusted net tangible book value per share of our common stock immediately following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of   shares of common stock in this offering at the public offering price of $   per share, and after deducting the underwriting discounts and commissions and the estimated offering expenses payable by us, our pro forma as-adjusted net tangible book value as of September 30, 2025 would have been approximately $    million, or approximately $    per share of our common stock. This represents an immediate increase in pro forma net tangible book value of $    per share of common stock to our existing stockholders and an immediate dilution in pro forma net tangible book value of $    per share of common stock issued to the new investors purchasing shares of common stock in this offering, as illustrated by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59"/>
        <w:gridCol w:w="321"/>
        <w:gridCol w:w="140"/>
        <w:gridCol w:w="801"/>
        <w:gridCol w:w="60"/>
        <w:gridCol w:w="321"/>
        <w:gridCol w:w="140"/>
        <w:gridCol w:w="801"/>
        <w:gridCol w:w="62"/>
      </w:tblGrid>
      <w:tr>
        <w:trPr/>
        <w:tc>
          <w:tcPr>
            <w:tcW w:w="7559"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 per share of common stock</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7559"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September 30, 2025</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0.43</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shares issued pursuant to the Sales Agreement</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0.09</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7559"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559"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September 30, 2025</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0.52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attributable to new investors in this offering</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7559"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559"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as-adjusted net tangible book value per share immediately after giving effect to this offering</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7559"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in this offering</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7559"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in full to purchase additional shares of our common stock in this offering at the public offering price of $    per share, the pro forma as-adjusted net tangible book value per share after the offering would be $    per share, the increase in the pro forma net tangible book value per share to existing stockholders would be $ per share and the dilution to purchasers in this offering would be $    per share. </w:t>
      </w:r>
    </w:p>
    <w:p>
      <w:pPr>
        <w:pStyle w:val="TextBody"/>
        <w:bidi w:val="0"/>
        <w:spacing w:before="240" w:after="0"/>
        <w:jc w:val="left"/>
        <w:rPr>
          <w:rFonts w:ascii="Times New Roman" w:hAnsi="Times New Roman"/>
          <w:sz w:val="20"/>
        </w:rPr>
      </w:pPr>
      <w:r>
        <w:rPr>
          <w:rFonts w:ascii="Times New Roman" w:hAnsi="Times New Roman"/>
          <w:sz w:val="20"/>
        </w:rPr>
        <w:t xml:space="preserve">The above table is based on 214,409,450 shares of our common stock outstanding as of September 30, 2025, plus 18,655,402 shares of common stock issued pursuant to the Sales Agreement subsequent to September 30, 2025 through November 13, 2025. Unless specifically stated otherwise, the information in this prospectus supplement is as of September 30, 2025,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21,316,902 shares of our common stock issuable upon the exercise of stock options outstanding as of September 30, 2025 at a weighted-average exercise price of $3.01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1,539,000 shares of our common stock issuable upon the vesting and settlement of restricted stock units outstanding as of September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12,941,157 shares of our common stock reserved for future issuance under the 2021 Plan as of September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6,824,712 shares of our common stock issuable upon exercise of warrants outstanding as of September 30, 2025, which had a weighted average exercise price of $3.48 per share at that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589,957 shares of our common stock reserved for future issuance under the ESPP as of September 30,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21,342,442 shares of our common stock issuable upon exercise of pre-funded warrants outstanding as of September 30, 2025 at an exercise price of $0.0001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options or warrants are exercised or restricted stock units settle, or if we issue additional options, restricted stock units, warrants or other securities to purchase or acquire our common stock in the future and those options, restricted stock units, warrants or other securities are exercised, converted or settled, you may experience further dilution.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835559_8"/>
      <w:bookmarkEnd w:id="10"/>
      <w:r>
        <w:rPr>
          <w:rFonts w:ascii="Times New Roman" w:hAnsi="Times New Roman"/>
          <w:b/>
          <w:sz w:val="20"/>
        </w:rPr>
        <w:t xml:space="preserve">MATERIAL U.S.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of the purchase, ownership and disposition of shares of our common stock issued pursuant to this offering, but does not purport to be a complete analysis of all potential tax consequences. The effects of other U.S. federal tax laws, such as estate and gift tax laws, and any applicable state, local or non-U.S. tax laws are not discussed. This discussion is based on the Internal Revenue Code of 1986, as amended (the “Code”), Treasury Regulations promulgated thereunder, judicial decisions, and published rulings and administrative pronouncements of the U.S. Internal Revenue Service (the “IRS”) in effect as of the date of this offering. These authorities may change or be subject to differing interpretations. Any such change or differing interpretation may be applied retroactively in a manner that could adversely affect a holder of our common stock. We have not sought and will not seek any rulings from the IRS regarding the matters discussed below. There can be no assurance the IRS or a court will not take a contrary position regarding the tax consequences of the purchase, ownership and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that hold our common stock as a “capital asset” within the meaning of Section 1221 of the Code (generally, property held for investment). This discussion does not address all U.S. federal income tax consequences relevant to a holder’s particular circumstances, including the impact of the alternative minimum tax, the Medicare contribution tax on net investment income, or the special tax accounting rules under Section 451(b) of the Code. In addition, it does not address consequences relevant to holders subject to particular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mutual funds,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 corporations,” partnerships or other entities or arrangements treated as partnerships for U.S. federal income tax purposes, or other pass-through entities (and, in each case,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for whom our stock constitutes “qualified small business stock” within the meaning of Section 1202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persons the functional currency of which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897(1)(2) of the Code and “withholding qualified holders” as defined in Treasury Regulation Section 1.1445-1(g)(11).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DISCUSSION IS FOR INFORMATION PURPOSES ONLY AND IS NOT INTENDED AS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our common stock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under the laws of the U.S.,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the control of one or more U.S. persons (within the meaning of Section 7701(a)(30) of the Code), or (2) has made a valid election under applicable Treasury Regulations to continue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“non-U.S. holder” is a beneficial owner of our common stock that is neither a U.S. holder nor an entity treated as a partnership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declaring or paying distributions to holders of our common stock in the foreseeable future. However, if we do make distributions on our common stock, such distributions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a U.S. holder’s basis in our common stock, but not below zero, and then will be treated as gain from the sale of stock as described below under the section entitled “Tax Considerations Applicable to U.S. Holders—Gain on Disposition of Common Stock.” Preferential U.S. federal income tax rates may apply to any dividends paid to noncorporate U.S. holders meeting certain holding period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or Loss on Disposition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a sale or other taxable disposition of our common stock, a U.S. holder generally will recognize capital gain or loss in an amount equal to the difference between the amount realized and the U.S. holder’s adjusted tax basis in the common stock. Capital gain or loss will constitute long-term capital gain or loss if such U.S. holder’s holding period for the common stock exceeds one year. Long-term capital gains derived by certain noncorporate U.S. holders, including individuals, are generally subject to taxation at preferential rates. The deductibility of capital losses is subject to certain limitations. U.S. holders who recognize losses with respect to a disposition of our common stock should consult their own tax advisors regarding the tax treatment of such losses.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generally will apply to payments of distributions (including constructive distributions) on the common stock and to the proceeds of a sale or other disposition of common stock paid by us to you unless you are an exempt recipient, such as certain corporations. Backup withholding will apply to those payments if a U.S. holder fails to provide their taxpayer identification number, or certification of exempt status, or if a U.S. holder otherwise fails to comply with applicable requirements to establish an exemption.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Backup withholding is not an additional tax. Rather, any amounts withheld under the backup withholding rules may be allowed as a refund or a credit against a U.S. holder’s U.S. federal income tax liability, if any, provided the required information is timely furnished to the IRS. Investors should consult their own tax advisors regarding their qualification for exemption from information reporting and backup withholding and the procedure for obtaining such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Applicable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declaring or paying distributions to holders of our common stock in the foreseeable future. However, if we do make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the section entitled “Sale or Other Disposition of Common Stock.” Because we may not know the extent to which a distribution is a dividend for U.S. federal income tax purposes at the time it is made, for purposes of the withholding rules discussed below, we or the applicable withholding agent may treat the entire distribution as a dividend.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on backup withholding and FATCA (as defined below), dividends paid to a non-U.S. holder of our common stock that are not effectively connected with the non-U.S. holder’s conduct of a trade or business within the U.S. will be subject to U.S. federal withholding tax at a rate of 30% of the gross amount of the dividends (or such lower rate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Non-U.S. holders may be entitled to a reduction in or an exemption from withholding on dividends as a result of (i) an applicable income tax treaty or (ii) the non-U.S. holder holding our common stock in connection with the conduct of a trade or business within the U.S. and dividends being effectively connected with that trade or business. To claim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U.S. and the country in which the non-U.S. holder resides or is established, or (b) IRS Form W-8ECI stating that the dividends are not subject to withholding tax because they are effectively connected with the conduct by the non-U.S. holder of a trade or business within the U.S., as may be applicable. These certifications must be provided to the applicable withholding agent prior to the payment of dividends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U.S. (and, if required by an applicable income tax treaty, the non-U.S. holder maintains a permanent establishment in the U.S. to which such dividends are attributable), then, although exempt from U.S. federal withholding tax (provided the non-U.S. holder provides appropriate certification, as described above), the non-U.S. holder will be subject to U.S. federal income tax on such dividends on a net income basis at the regular graduated U.S. federal income tax rates. In addition, a non-U.S.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income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 or Other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on backup withholding and FATCA, a non-U.S. holder will not be subject to U.S. federal income tax on any gain realized upon the sale or other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U.S. (and, if required by an applicable income tax treaty, the non-U.S. holder maintains a permanent establishment in the U.S.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U.S. real property interests (“USRPIs”) by reason of our status as a U.S. real property holding corporation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graduated U.S. federal income tax rates. A non-U.S. holder that is a foreign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such as The Nasdaq Global Market, and such non-U.S. holder owned, actually and constructively, 5% or less of our common stock throughout the shorter of the five-year period ending on the date of the sale or other taxable disposition or the non-U.S. Holder’s holding period. There can be no assurance that our common stock will be regularly traded on an established securities market for purposes of the rules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than those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on FATCA, a non-U.S. holder will not be subject to backup withholding with respect to distributions we make on our common stock to the non-U.S. holder, provided the applicable withholding agent does not have actual knowledge or reason to know such holder is a U.S. person and the holder certifies its non-U.S. status, such as by providing a valid IRS Form W-8BEN, W-8BEN-E or W-8ECI, or other applicable certification. However, information returns generally will be filed with the IRS in connection with any distributions (including deemed distributions) made on our common stock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reporting and backup withholding may apply to the proceeds of a sale or other taxable disposition of our common stock within the U.S., and information reporting may (although backup withholding generally will not) apply to the proceeds of a sale or other taxable disposition of our common stock outside the U.S. conducted through certain U.S.-related financial intermediaries, in each case, unless the beneficial owner certifies under penalty of perjury that it is a non-U.S. holder on IRS Form W-8BEN or W-8BEN-E, or other applicable form (and the payor does not have actual knowledge or reason to know that the beneficial owner is a U.S. person) or such owner otherwise establishes an exemption. Proceeds of a disposition of our common stock conducted through a non-U.S. office of a non-U.S. broker generally will not be subject to backup withholding or information reporting. Non-U.S. holders should consult their tax advisors regarding the application of the information reporting and backup withholding rules to them.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(“FATCA”) on certain payments made to non-U.S. financial institutions and certain other non-U.S. entities. Specifically, a 30% withholding tax may be imposed on dividends (including deemed dividends) paid on our common stock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in each case subject to the proposed Treasury Regulations discussed below.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Because we may not know the extent to which a distribution is a dividend for U.S. federal income tax purposes at the time it is made, for purposes of these withholding rules we or the applicable withholding agent may treat the entire distribution as a dividend.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 Prospective investors should consult their tax advisors regarding the potential application of these withholding provisions. Foreign financial institutions located in jurisdictions that have an intergovernmental agreement with the U.S. governing FATCA may be subject to different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835559_9"/>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dated    , 2025, between us and Cantor Fitzgerald &amp; Co., as representative of the underwriters named below (the “Representative”) and the sole book-running manager of this offering, we have agreed to sell to the underwriters, and each of the underwriters has agreed, severally and not jointly, to purchase from us, the shares of common stock shown opposite its name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2"/>
        <w:gridCol w:w="834"/>
        <w:gridCol w:w="99"/>
        <w:gridCol w:w="1242"/>
        <w:gridCol w:w="62"/>
      </w:tblGrid>
      <w:tr>
        <w:trPr/>
        <w:tc>
          <w:tcPr>
            <w:tcW w:w="4702" w:type="dxa"/>
            <w:tcBorders/>
            <w:vAlign w:val="center"/>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7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834" w:type="dxa"/>
            <w:tcBorders/>
            <w:vAlign w:val="bottom"/>
          </w:tcPr>
          <w:p>
            <w:pPr>
              <w:pStyle w:val="TableContents"/>
              <w:bidi w:val="0"/>
              <w:spacing w:before="0" w:after="283"/>
              <w:jc w:val="left"/>
              <w:rPr/>
            </w:pPr>
            <w:r>
              <w:rPr/>
              <w:t>  </w:t>
            </w:r>
          </w:p>
        </w:tc>
        <w:tc>
          <w:tcPr>
            <w:tcW w:w="1341"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r>
          </w:p>
        </w:tc>
        <w:tc>
          <w:tcPr>
            <w:tcW w:w="62" w:type="dxa"/>
            <w:tcBorders/>
            <w:vAlign w:val="bottom"/>
          </w:tcPr>
          <w:p>
            <w:pPr>
              <w:pStyle w:val="TableContents"/>
              <w:bidi w:val="0"/>
              <w:spacing w:before="0" w:after="283"/>
              <w:jc w:val="left"/>
              <w:rPr/>
            </w:pPr>
            <w:r>
              <w:rPr/>
              <w:t> </w:t>
            </w:r>
          </w:p>
        </w:tc>
      </w:tr>
      <w:tr>
        <w:trPr/>
        <w:tc>
          <w:tcPr>
            <w:tcW w:w="4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834"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702"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0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834"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702"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We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Purchase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to the underwriters an option, exercisable 30 days from the date of this prospectus supplement, to purchase, from time to time, in whole or in part, up to an aggregate of   shares from us at the public offering price set forth on the cover page of this prospectus supplement, less underwriting discounts and commissions. If the underwriters exercise this option, each underwriter will be obligated, subject to certain conditions, to purchase a number of additional shares approximately proportionate to that underwriter’s initial purchase commitment as indicated in the table above.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advised us that they propose to offer the shares of common stock to the public at the public offering price set forth on the cover page of this prospectus supplement and to certain dealers, which may include the underwriters, at that price less a concession not in excess of $   per share of common stock. After the initial offering, the Representative may change the offering price and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93"/>
        <w:gridCol w:w="287"/>
        <w:gridCol w:w="163"/>
        <w:gridCol w:w="938"/>
        <w:gridCol w:w="60"/>
        <w:gridCol w:w="287"/>
        <w:gridCol w:w="163"/>
        <w:gridCol w:w="938"/>
        <w:gridCol w:w="60"/>
        <w:gridCol w:w="287"/>
        <w:gridCol w:w="163"/>
        <w:gridCol w:w="938"/>
        <w:gridCol w:w="60"/>
        <w:gridCol w:w="287"/>
        <w:gridCol w:w="163"/>
        <w:gridCol w:w="937"/>
        <w:gridCol w:w="64"/>
      </w:tblGrid>
      <w:tr>
        <w:trPr/>
        <w:tc>
          <w:tcPr>
            <w:tcW w:w="3593"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593"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25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25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w:t>
              <w:br/>
              <w:t>Option to</w:t>
              <w:br/>
              <w:t>Purchase</w:t>
              <w:br/>
              <w:t>Additional</w:t>
              <w:br/>
              <w:t>Shares</w:t>
            </w:r>
          </w:p>
        </w:tc>
        <w:tc>
          <w:tcPr>
            <w:tcW w:w="64"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w:t>
            </w:r>
          </w:p>
        </w:tc>
        <w:tc>
          <w:tcPr>
            <w:tcW w:w="2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2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estimate expenses payable by us in connection with this offering, other than the underwriting discounts and commissions referred to above, will be approximately $      . We have also agreed to reimburse the underwriters up to $75,000 for certain of their counsel’s fees and expenses, which reimbursed fee is deemed underwriting compensation for this offering by the Financial Industry Regulatory Authority. Additionally, the underwriters have agreed to reimburse us for certain expenses payable by us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trading symbol “IVVD.”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our officers and our directors have agreed, subject to certain specified exceptions, not to directly or indirectly, through and including the 60th day after the date of the underwriting agreement (the “Lock-Up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offer to sell, contract to sell or lend, effect any short sale or establish or increase a “put equivalent position” within the meaning of Rule 16a-l(h) under the Exchange Act, or liquidate or decrease any “call equivalent position” (as defined in Rule 16a-1(b) under the Exchange Act), pledge, hypothecate or grant any security interest in, or in any other way transfer or dispose of, any common stock or any securities convertible into or exchangeable or exercisable for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of any shares of common stock or the filing of any registration statement, prospectus or prospectus supplement (or an amendment or supplement thereto) in connection therewith,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hedge or any other agreement or transaction that transfers, in whole or in part, the economic consequence of ownership of common stock, whether any such swap or transaction is to be settled by delivery of common stock or other securities, in cash or otherwise;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announce an intention to do any of the foregoing during the Lock-Up Period without the prior written consent of the Representative.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Representative may, in its sole discretion and at any time or from time to time before the termination of the 60-day period, release all or any portion of the securities subject to 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in the preceding paragraph do not apply in certain circumstances, including, with respect to our officers and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as a bona fide gift or gifts, charitable contribution or for bona fide estate planning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any immediate family member or to any trust for the direct or indirect benefit of the lock-up signatory or the immediate family of the lock-up signatory (for purposes of these restrictions, “immediate family” shall mean the spouse, domestic partner, lineal descendant, father, mother, brother, sister, or any other person with whom the lock-up signatory has a relationship by blood, marriage or adoption not more remote than first cousin);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qualified domestic order or in connection with a divorce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will or intestate succession to the legal representative, heir, beneficiary or immediate family of the lock-up signatory upon the death of the lock-up signatory;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the exercise or exchange by the lock-up signatory of any options to purchase shares of our common stock, including the sales or transfers of shares of common stock or any security convertible into or exercisable or exchangeable for common stock upon the exercise of options to purchase our securities for cash or on a “cashless” or “net exercise” basis to cover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 xml:space="preserve">exercise price and/or tax withholding obligations of the lock-up signatory in connection with such exercise, pursuant to our stock option, stock bonus or other stock plan or arrangement; provided, however, that the underlying shares of common stock shall continue to be subject to the restrictions on transfer in the lock-up agreement and that any filing under Section 16 of the Exchange Act made in connection with such exercise or exchange shall clearly indicate in the footnotes thereto that (i) the filing relates to the circumstances described herein and (ii) the purpose of such sale or transfer was to cover the exercise price and/or tax withholding obligations, as applicable, of the lock-up signatory in connection with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bona fide third-party tender offer, merger, consolidation or other similar transaction, that is approved by our board of directors and made to all holders of our securities involving a change of control (as defined in the lock-up agreement) of our company, provided that in the event that such tender offer, merger, consolidation or other such transaction is not completed, such securities held by such lock-up party shall remain subject to the provisions of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 10b5-1 trading plan that complies with Rule 10b5-1 under the Exchange Act (a “10b5-1 Trading Plan”) or from amending an existing 10b5-1 Trading Plan so long as there are no sales of our common stock under any such 10b5-1 Trading Plan during the Lock-Up Period; and provided that, the establishment of a 10b5-1 Trading Plan or the amendment of a 10b5-1 Trading Plan shall only be permitted if (1) the establishment or amendment of such plan is not required to be reported in any public report or filing with the SEC or otherwise, during the Lock-Up Period and (2) the lock-up signatory does not otherwise voluntarily effect any public filing or report regarding the establishment or amendment of such plan during the Lock-Up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of our common stock, at any time on or after the date of the underwriting agreement, pursuant to an existing trading plan that was established prior to the execution of the lock-up agreement (an “Existing 10b5-1 Trading Plan”), providing for the sale of our common stock by the lock-up signatory, which trading plan meets the requirements of Rule 10b5-1(c) under the Exchange Act (including sell-to-cover transactions effected to satisfy the payment of withholding tax liability incurred upon the vesting of restricted stock units), provided the existence and details of such Existing 10b5-1 Trading Plan were communicated to the Representative and such Existing 10b5-1 Trading Plan will not be amended or otherwise modified during the Lock-Up Period; provided, further, that if the lock-up signatory reports any such sale on a Form 4 filed with the SEC, the lock-up signatory shall cause such Form 4 to include a statement that such sale was effected pursuant to such Existing 10b5-1 Trading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with respect to (i) through (iv) above, (1) prior to any such transfer, the Representative receives a signed lock-up agreement for the balance of the Lock-Up Period from each donee, trustee, distributee or transferee, as the case may be, (2) any such transfer shall not involve a disposition for value, (3) in the case of clauses (i) through (iii), such transfers are not required to be reported with the SEC under the Exchange Act, and (4) each such person does not otherwise voluntarily effect any public filing or report regarding such transfers.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in the preceding paragraph do not apply in certain circumstances, including, with respect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shares of common stock or any security convertible into or exercisable or exchangeable for common stock pursuant to any director or employee equity incentive plan, stock ownership plan, employee stock purchase plan, or dividend reinvestment plan in effect on the date of the underwriting agreement, which are described in the registration statement of which this prospectus supplement forms a part, or pursuant to inducement grants within the meaning of Nasdaq Listing Rule 5635(c)(4), provided that we cause each newly appointed director or executive officer that is a recipient of such shares or options to enter into a lock-up agreement with the Representative for the remainder of the Lock-Up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shares of common stock pursuant to the vesting or exercise (including net exercise) of any security convertible into or exercisable or exchangeable for common stock, which are described in the registration statement of which this prospectus supplement forms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shares of common stock or any security convertible into or exercisable or exchangeable for common stock in connection with a transaction with a third party that includes a bona fide commercial relationship (including joint ventures, marketing or distribution arrangements, collaboration agreements or intellectual property license agreements) or any acquisition of assets of not less than a majority or controlling portion of the equity of another entity, provided that (x) the aggregate number of shares of common stock or any security convertible into or exercisable or exchangeable for common stock shall not exceed 5% of the total number of shares of common stock issued and outstanding as of the date of the underwriting agreement and (y) each recipient of shares or related securities shall execute a lock-up agreement with the Representative;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of a registration statement on Form S-8 relating to shares of common stock or any security convertible into or exercisable or exchangeable for common stock granted (x) pursuant to our benefit plans, which are described in the registration statement of which this prospectus supplement forms a part, or (y) pursuant to inducement grants within the meaning of Nasdaq Listing Rule 5635(c)(4);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shares of common stock in connection with sales under the Sales Agreement, provided no sales shall be made under the Sales Agreement until the earlier of (i) the exercise in full by the underwriters of their option to purchase additional shares of common stock or (ii) 30 days after the date of the underwriting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of one or more pre-effective amendments to our registration statement on Form S-3 filed with the Commission on October 2, 2025 with the SEC (File No. 333-290685) relating to shares of common stock and any security convertible into or exercisable or exchangeable for common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Market Making, Stabilization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 may make a market in the common stock as permitted by applicable laws and regulations. However, the Representative is not obligated to do so, and the Representative may discontinue any market-making activities at any time without notice in its sole discretion. Accordingly, no assurance can be given as to the liquidity of the trading market for the common stock, that you will be able to sell any of the common stock held by you at a particular time or that the prices that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they, pursuant to Regulation M under the Exchange Act,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 </w:t>
      </w:r>
    </w:p>
    <w:p>
      <w:pPr>
        <w:pStyle w:val="TextBody"/>
        <w:bidi w:val="0"/>
        <w:spacing w:before="240" w:after="0"/>
        <w:jc w:val="left"/>
        <w:rPr/>
      </w:pPr>
      <w:r>
        <w:rPr/>
        <w:t>“</w:t>
      </w:r>
      <w:r>
        <w:rPr>
          <w:rFonts w:ascii="Times New Roman" w:hAnsi="Times New Roman"/>
          <w:sz w:val="20"/>
        </w:rPr>
        <w:t xml:space="preserve">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w:t>
      </w:r>
    </w:p>
    <w:p>
      <w:pPr>
        <w:pStyle w:val="TextBody"/>
        <w:bidi w:val="0"/>
        <w:spacing w:before="240" w:after="0"/>
        <w:jc w:val="left"/>
        <w:rPr/>
      </w:pPr>
      <w:r>
        <w:rPr/>
        <w:t>“</w:t>
      </w:r>
      <w:r>
        <w:rPr>
          <w:rFonts w:ascii="Times New Roman" w:hAnsi="Times New Roman"/>
          <w:sz w:val="20"/>
        </w:rPr>
        <w:t xml:space="preserve">Naked” short sales are sales in excess of the option to purchase additional shares of our common stock. The underwriters must close out any naked short position by purchasing shares in the open market. A naked short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position is more likely to be created if the underwriters are concerned that there may be downward pressure on the price of the shares of our common stock in the open market after pricing that could adversely affect investors who purchase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may end any of these activities at any time. These transactions may be effected on Nasdaq in the over-the-counter market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Passive Market Making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may also engage in passive market making transactions in our common stock on Nasdaq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if commenced, may end passive market making activities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prospectus in electronic format may be made available by e-mail or on the web sites or through online services maintained by one or more of the underwriters, selling group members (if any) or their affiliates.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 </w:t>
      </w:r>
    </w:p>
    <w:p>
      <w:pPr>
        <w:pStyle w:val="TextBody"/>
        <w:bidi w:val="0"/>
        <w:spacing w:before="360" w:after="0"/>
        <w:jc w:val="left"/>
        <w:rPr>
          <w:rFonts w:ascii="Times New Roman" w:hAnsi="Times New Roman"/>
          <w:b/>
          <w:sz w:val="20"/>
        </w:rPr>
      </w:pPr>
      <w:r>
        <w:rPr>
          <w:rFonts w:ascii="Times New Roman" w:hAnsi="Times New Roman"/>
          <w:b/>
          <w:sz w:val="20"/>
        </w:rPr>
        <w:t xml:space="preserve">Other Activities and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respective affiliates are full service financial institutions engaged in a wide range of activities for their own accounts and the accounts of customers, which may include, among other things, corporate finance, mergers and acquisitions, merchant banking, equity and fixed income sales, trading and research, derivatives, foreign exchange, futures, asset management, custody, clearance and securities lending. The underwriters and certain of their affiliates have, from time to time, performed, and may in the future perform, various investment banking and financial advisory services for us and our affiliates, for which they received or will receive customary fees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in the ordinary course of its business, the underwriters and their respective affiliates may, directly or indirectly, hold long or short positions, trade and otherwise conduct such activities in or with respect to debt or equity securities and/or bank debt of, and/or derivative products.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Additionally, the Representative is a party to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the Representative a right of first refusal, for a period of 12 months from the closing of our August 2025 offering to act as a lead underwriter or in a similar capacity and receive a percentage of the aggregate gross spread of fees in connection with a subsequent equity financing. </w:t>
      </w:r>
    </w:p>
    <w:p>
      <w:pPr>
        <w:pStyle w:val="TextBody"/>
        <w:bidi w:val="0"/>
        <w:spacing w:before="360" w:after="0"/>
        <w:jc w:val="left"/>
        <w:rPr>
          <w:rFonts w:ascii="Times New Roman" w:hAnsi="Times New Roman"/>
          <w:b/>
          <w:sz w:val="20"/>
        </w:rPr>
      </w:pPr>
      <w:r>
        <w:rPr>
          <w:rFonts w:ascii="Times New Roman" w:hAnsi="Times New Roman"/>
          <w:b/>
          <w:sz w:val="20"/>
        </w:rPr>
        <w:t xml:space="preserve">Stamp Taxes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shares of common stock offered in this prospectus supplement, you may be required to pay stamp taxes and other charges under the laws and practices of the country of purchase, in addition to the offering price listed on the cover page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NOTICE TO INVESTORS </w:t>
      </w:r>
    </w:p>
    <w:p>
      <w:pPr>
        <w:pStyle w:val="TextBody"/>
        <w:bidi w:val="0"/>
        <w:spacing w:before="240" w:after="0"/>
        <w:jc w:val="left"/>
        <w:rPr>
          <w:rFonts w:ascii="Times New Roman" w:hAnsi="Times New Roman"/>
          <w:b/>
          <w:sz w:val="20"/>
        </w:rPr>
      </w:pPr>
      <w:r>
        <w:rPr>
          <w:rFonts w:ascii="Times New Roman" w:hAnsi="Times New Roman"/>
          <w:b/>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securities. No securities commission or similar regulatory authority in Canada has reviewed or in any way passed upon this prospectus supplement or on the merits of the securities and any representation to the contrary is an offence. </w:t>
      </w:r>
    </w:p>
    <w:p>
      <w:pPr>
        <w:pStyle w:val="TextBody"/>
        <w:bidi w:val="0"/>
        <w:spacing w:before="240" w:after="0"/>
        <w:jc w:val="left"/>
        <w:rPr>
          <w:rFonts w:ascii="Times New Roman" w:hAnsi="Times New Roman"/>
          <w:sz w:val="20"/>
        </w:rPr>
      </w:pPr>
      <w:r>
        <w:rPr>
          <w:rFonts w:ascii="Times New Roman" w:hAnsi="Times New Roman"/>
          <w:b/>
          <w:sz w:val="20"/>
        </w:rPr>
        <w:t xml:space="preserve">Canadian investors are advised that this prospectus supplement has been prepared in reliance on section 3A.3 of National Instrument 33-105 </w:t>
      </w:r>
      <w:r>
        <w:rPr>
          <w:rFonts w:ascii="Times New Roman" w:hAnsi="Times New Roman"/>
          <w:b/>
          <w:i/>
          <w:sz w:val="20"/>
        </w:rPr>
        <w:t>Underwriting Conflicts</w:t>
      </w:r>
      <w:r>
        <w:rPr>
          <w:rFonts w:ascii="Times New Roman" w:hAnsi="Times New Roman"/>
          <w:sz w:val="20"/>
        </w:rPr>
        <w:t xml:space="preserve"> </w:t>
      </w:r>
      <w:r>
        <w:rPr>
          <w:rFonts w:ascii="Times New Roman" w:hAnsi="Times New Roman"/>
          <w:b/>
          <w:sz w:val="20"/>
        </w:rPr>
        <w:t xml:space="preserve">(“NI 33-105”). Pursuant to section 3A.3 of NI 33-105, this prospectus supplement is exempt from the requirement that the issuer and the underwriter(s) provide investors with certain conflicts of interest disclosure pertaining to “connected issuer” and/or “related issuer” relationships that may exist between the issuer and the underwriter(s) as would otherwise be required pursuant to subsection 2.1(1) of NI 33-105. </w:t>
      </w:r>
    </w:p>
    <w:p>
      <w:pPr>
        <w:pStyle w:val="TextBody"/>
        <w:bidi w:val="0"/>
        <w:spacing w:before="360" w:after="0"/>
        <w:jc w:val="left"/>
        <w:rPr>
          <w:rFonts w:ascii="Times New Roman" w:hAnsi="Times New Roman"/>
          <w:b/>
          <w:sz w:val="20"/>
        </w:rPr>
      </w:pPr>
      <w:r>
        <w:rPr>
          <w:rFonts w:ascii="Times New Roman" w:hAnsi="Times New Roman"/>
          <w:b/>
          <w:sz w:val="20"/>
        </w:rPr>
        <w:t xml:space="preserve">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offer and sale of the securities in Canada is being made on a private placement basis only and is exempt from the requirement that the issuer prepares and files a prospectus under applicable Canadian securities laws. Any resale of the securities acquired by a Canadian investor in this offering must be made in accordance with applicable Canadian securities laws, which may vary depending on the relevant jurisdiction, and which may require resales to be made in accordance with Canadian prospectus requirements, pursuant to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securities outside of Canada.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of Purchasers </w:t>
      </w:r>
    </w:p>
    <w:p>
      <w:pPr>
        <w:pStyle w:val="TextBody"/>
        <w:bidi w:val="0"/>
        <w:spacing w:before="120" w:after="0"/>
        <w:jc w:val="left"/>
        <w:rPr>
          <w:rFonts w:ascii="Times New Roman" w:hAnsi="Times New Roman"/>
          <w:sz w:val="20"/>
        </w:rPr>
      </w:pPr>
      <w:r>
        <w:rPr>
          <w:rFonts w:ascii="Times New Roman" w:hAnsi="Times New Roman"/>
          <w:sz w:val="20"/>
        </w:rPr>
        <w:t xml:space="preserve">Each Canadian investor who purchases the securities will be deemed to have represented to the issuer and the underwriter(s) that the investor (i) is purchasing the securities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Times New Roman" w:hAnsi="Times New Roman"/>
          <w:i/>
          <w:sz w:val="20"/>
        </w:rPr>
        <w:t xml:space="preserve">Prospectus Exemptions </w:t>
      </w:r>
      <w:r>
        <w:rPr>
          <w:rFonts w:ascii="Times New Roman" w:hAnsi="Times New Roman"/>
          <w:sz w:val="20"/>
        </w:rPr>
        <w:t xml:space="preserve">(“NI 45-106”) or, in Ontario, as such term is defined in section 73.3(1) of the </w:t>
      </w:r>
      <w:r>
        <w:rPr>
          <w:rFonts w:ascii="Times New Roman" w:hAnsi="Times New Roman"/>
          <w:i/>
          <w:sz w:val="20"/>
        </w:rPr>
        <w:t xml:space="preserve">Securities Act </w:t>
      </w:r>
      <w:r>
        <w:rPr>
          <w:rFonts w:ascii="Times New Roman" w:hAnsi="Times New Roman"/>
          <w:sz w:val="20"/>
        </w:rPr>
        <w:t xml:space="preserve">(Ontario); and (iii) is a “permitted client” as such term is defined in section 1.1 of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and Eligibility for Investment </w:t>
      </w:r>
    </w:p>
    <w:p>
      <w:pPr>
        <w:pStyle w:val="TextBody"/>
        <w:bidi w:val="0"/>
        <w:spacing w:before="120" w:after="0"/>
        <w:jc w:val="left"/>
        <w:rPr>
          <w:rFonts w:ascii="Times New Roman" w:hAnsi="Times New Roman"/>
          <w:sz w:val="20"/>
        </w:rPr>
      </w:pPr>
      <w:r>
        <w:rPr>
          <w:rFonts w:ascii="Times New Roman" w:hAnsi="Times New Roman"/>
          <w:sz w:val="20"/>
        </w:rPr>
        <w:t xml:space="preserve">Any discussion of taxation and related matters contained in this prospectus supplement does not purport to be a comprehensive description of all of the tax considerations that may be relevant to a Canadian investor when deciding to purchase the securities and, in particular, does not address any Canadian tax considerations. No representation or warranty is hereby made as to the tax consequences to a resident, or deemed resident, of Canada of an investment in the securities or with respect to the eligibility of the securities for investment by such investor under relevant Canadian federal and provincial legislation and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 Action for Damages or Rescission </w:t>
      </w:r>
    </w:p>
    <w:p>
      <w:pPr>
        <w:pStyle w:val="TextBody"/>
        <w:bidi w:val="0"/>
        <w:spacing w:before="120" w:after="0"/>
        <w:jc w:val="left"/>
        <w:rPr>
          <w:rFonts w:ascii="Times New Roman" w:hAnsi="Times New Roman"/>
          <w:sz w:val="20"/>
        </w:rPr>
      </w:pPr>
      <w:r>
        <w:rPr>
          <w:rFonts w:ascii="Times New Roman" w:hAnsi="Times New Roman"/>
          <w:sz w:val="20"/>
        </w:rPr>
        <w:t xml:space="preserve">Securities legislation in certain of the Canadian jurisdictions provides certain purchasers of securities pursuant to an offering memorandum (such as this prospectus supplement), including where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involves an “eligible foreign security” as such term is defined in Ontario Securities Commission Rule 45-501 </w:t>
      </w:r>
      <w:r>
        <w:rPr>
          <w:rFonts w:ascii="Times New Roman" w:hAnsi="Times New Roman"/>
          <w:i/>
          <w:sz w:val="20"/>
        </w:rPr>
        <w:t>Ontario Prospectus and Registration Exemptions</w:t>
      </w:r>
      <w:r>
        <w:rPr>
          <w:rFonts w:ascii="Times New Roman" w:hAnsi="Times New Roman"/>
          <w:sz w:val="20"/>
        </w:rPr>
        <w:t xml:space="preserve"> and in Multilateral Instrument 45-107 </w:t>
      </w:r>
      <w:r>
        <w:rPr>
          <w:rFonts w:ascii="Times New Roman" w:hAnsi="Times New Roman"/>
          <w:i/>
          <w:sz w:val="20"/>
        </w:rPr>
        <w:t>Listing Representation and Statutory Rights of Action Disclosure Exemptions</w:t>
      </w:r>
      <w:r>
        <w:rPr>
          <w:rFonts w:ascii="Times New Roman" w:hAnsi="Times New Roman"/>
          <w:sz w:val="20"/>
        </w:rPr>
        <w:t xml:space="preserve">,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 </w:t>
      </w:r>
    </w:p>
    <w:p>
      <w:pPr>
        <w:pStyle w:val="TextBody"/>
        <w:bidi w:val="0"/>
        <w:spacing w:before="360" w:after="0"/>
        <w:jc w:val="left"/>
        <w:rPr>
          <w:rFonts w:ascii="Times New Roman" w:hAnsi="Times New Roman"/>
          <w:b/>
          <w:sz w:val="20"/>
        </w:rPr>
      </w:pPr>
      <w:r>
        <w:rPr>
          <w:rFonts w:ascii="Times New Roman" w:hAnsi="Times New Roman"/>
          <w:b/>
          <w:sz w:val="20"/>
        </w:rPr>
        <w:t xml:space="preserve">Language of Documents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hAnsi="Times New Roman"/>
          <w:i/>
          <w:sz w:val="20"/>
        </w:rPr>
        <w:t>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This document does not constitute a prospectus, product disclosure statement or other disclosure document under the Australia’s Corporations Act 2001 (Cth) (the “Corporations Act”) of Australia. This document has not been lodged with the Australian Securities &amp; Investments Commission and is only directed to the categories of exempt persons set out below. Accordingly, if you receive this document in Australia: </w:t>
      </w:r>
    </w:p>
    <w:p>
      <w:pPr>
        <w:pStyle w:val="TextBody"/>
        <w:bidi w:val="0"/>
        <w:spacing w:before="120" w:after="0"/>
        <w:jc w:val="left"/>
        <w:rPr>
          <w:rFonts w:ascii="Times New Roman" w:hAnsi="Times New Roman"/>
          <w:sz w:val="20"/>
        </w:rPr>
      </w:pPr>
      <w:r>
        <w:rPr>
          <w:rFonts w:ascii="Times New Roman" w:hAnsi="Times New Roman"/>
          <w:sz w:val="20"/>
        </w:rPr>
        <w:t xml:space="preserve">You confirm and warrant that you are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708(8)(a) or (b)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“professional investor” within the meaning of section 708(11)(a) or (b) of the Corporations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you are unable to confirm or warrant that you are an exempt sophisticated investor or professional investor under the Corporations Act any offer made to you under this document is void and incapable of acceptance. </w:t>
      </w:r>
    </w:p>
    <w:p>
      <w:pPr>
        <w:pStyle w:val="TextBody"/>
        <w:bidi w:val="0"/>
        <w:spacing w:before="240" w:after="0"/>
        <w:jc w:val="left"/>
        <w:rPr>
          <w:rFonts w:ascii="Times New Roman" w:hAnsi="Times New Roman"/>
          <w:sz w:val="20"/>
        </w:rPr>
      </w:pPr>
      <w:r>
        <w:rPr>
          <w:rFonts w:ascii="Times New Roman" w:hAnsi="Times New Roman"/>
          <w:sz w:val="20"/>
        </w:rPr>
        <w:t xml:space="preserve">You warrant and agree that you will not offer any of the shares issued to you pursuant to this document for resale in Australia within 12 months of those securities being issued unless any such resale offer is exempt from the requirement to issue a disclosure document under section 708 of the Corporations Act. </w:t>
      </w:r>
    </w:p>
    <w:p>
      <w:pPr>
        <w:pStyle w:val="TextBody"/>
        <w:bidi w:val="0"/>
        <w:spacing w:before="360" w:after="0"/>
        <w:jc w:val="left"/>
        <w:rPr>
          <w:rFonts w:ascii="Times New Roman" w:hAnsi="Times New Roman"/>
          <w:b/>
          <w:sz w:val="20"/>
        </w:rPr>
      </w:pPr>
      <w:r>
        <w:rPr>
          <w:rFonts w:ascii="Times New Roman" w:hAnsi="Times New Roman"/>
          <w:b/>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“Member State”), no securities have been offered or will be offered pursuant to the offer described herein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the securities may be offered to the public in that Member State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to any legal entity which is a qualified investor as defined under Article 2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(ii) to fewer than 150 natural or legal persons (other than qualified investors as defined under Article 2 of the Prospectus Regulation), subject to obtaining the prior consent of the underwriters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(iii) in any other circumstances falling within Article 1(4)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securities shall require the issuer or any underwriter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a Member State who acquires any securities in the offer or to whom any offer is made will be deemed to have represented, acknowledged and agreed to and with the issuer and the underwriters that it is a qualified investor within the meaning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securities being offered to a financial intermediary as that term is used in Article 5(1) of the Prospectus Regulation, each such financial intermediary will be deemed to have represented, acknowledged and agreed to and with the issuer and the underwriters that the securities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consent of the underwriters has been obtained to each such proposed offer or resale. Neither the issuer nor the underwriters have authorised, nor do they authorise, the making of any offer of securities through any financial intermediary, other than offers made by the underwriters which constitute the final placement of securities contemplated in this document.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underwriters and their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before="240" w:after="0"/>
        <w:jc w:val="left"/>
        <w:rPr>
          <w:rFonts w:ascii="Times New Roman" w:hAnsi="Times New Roman"/>
          <w:sz w:val="20"/>
        </w:rPr>
      </w:pPr>
      <w:r>
        <w:rPr>
          <w:rFonts w:ascii="Times New Roman" w:hAnsi="Times New Roman"/>
          <w:sz w:val="20"/>
        </w:rPr>
        <w:t xml:space="preserve">In Member States, this document is being distributed only to, and is directed only at, persons who are “qualified investors” within the meaning of Article 2(e) of the Prospectus Regulation (“Qualified Investors”). This document must not be acted on or relied on in any Member State by persons who are not Qualified Investors. Any investment or investment activity to which this document relates is available in any Member State only to Qualified Investors and will be engaged in only with such persons. </w:t>
      </w:r>
    </w:p>
    <w:p>
      <w:pPr>
        <w:pStyle w:val="TextBody"/>
        <w:bidi w:val="0"/>
        <w:spacing w:before="360" w:after="0"/>
        <w:jc w:val="left"/>
        <w:rPr>
          <w:rFonts w:ascii="Times New Roman" w:hAnsi="Times New Roman"/>
          <w:b/>
          <w:sz w:val="20"/>
        </w:rPr>
      </w:pPr>
      <w:r>
        <w:rPr>
          <w:rFonts w:ascii="Times New Roman" w:hAnsi="Times New Roman"/>
          <w:b/>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No securities have been, may be or will be offered or sold in Hong Kong, by means of any document, other than to persons whose ordinary business is to buy or sell shares or debentures, whether as principal or agent; or to “professional investors” as defined in the Securities and Futures Ordinance (Cap. 571) of Hong Kong (the “SFO”) and any rules made thereunder; or in other circumstances which do not result in the document being a “prospectus” as defined in the Companies (Winding UP and Miscellaneous Provisions) Ordinance (Cap. 32) of Hong Kong (the “C(WUMP)O”), or which do not constitute an offer to the public within the meaning of the C(WUMP)O. No document, invitation or advertisement relating to the securities has been issued or may be issued or will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document has not been and will not be registered with the Registrar of Companies in Hong Kong. Accordingly, this document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document and the relevant offering documents and that he is not acquiring, and has not been offered any securities in circumstances that contravene any such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offering has not been and will not be registered under the Financial Instruments and Exchange Act of Japan (Act No. 25 of 1948 of Japan, as amended) (the “FIEA”), and the Initial Purchaser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FIEA and any other applicable laws, regulations and ministerial guidelines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document has not been and will not be lodged or registered with the Monetary Authority of Singapore. Accordingly, this document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any person in Singapore other than (i) to an institutional investor under Section 274 of the Securities and Futures Act, Chapter 289 of Singapore (the “SFA”), (ii) to a relevant person as defined under Section 275(2) of the SFA, or any person pursuant to Section 275(1A) of the SFA, and in accordance with the conditions, specified in Section 275 of the SFA and where (where applicable) Regulation 3 of the Securities and Futures (Classes of Investors) Regulations 2018 , or (iii) otherwise pursuant to, and in accordance with the conditions of any other applicable provision of the SFA. </w:t>
      </w:r>
      <w:r>
        <w:rPr>
          <w:rFonts w:ascii="Times New Roman" w:hAnsi="Times New Roman"/>
          <w:b/>
          <w:sz w:val="20"/>
        </w:rPr>
        <w:t>In the event that you are not an investor falling within any of the categories set out above, please return this document immediately.</w:t>
      </w:r>
      <w:r>
        <w:rPr>
          <w:rFonts w:ascii="Times New Roman" w:hAnsi="Times New Roman"/>
          <w:sz w:val="20"/>
        </w:rPr>
        <w:t> </w:t>
      </w:r>
      <w:r>
        <w:rPr>
          <w:rFonts w:ascii="Times New Roman" w:hAnsi="Times New Roman"/>
          <w:b/>
          <w:sz w:val="20"/>
        </w:rPr>
        <w:t>You may not forward or circulate this document to any other person in Singapore.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offer is made to you with a view to the securities being subsequently offered for sale to any other party. There are on-sale restrictions that may be applicable to investors who acquire securities. As such, investors are advised to acquaint themselves with the provisions of the SFA relating to resale restrictions and comply accordingly. </w:t>
      </w:r>
    </w:p>
    <w:p>
      <w:pPr>
        <w:pStyle w:val="TextBody"/>
        <w:bidi w:val="0"/>
        <w:spacing w:before="240" w:after="0"/>
        <w:jc w:val="left"/>
        <w:rPr>
          <w:rFonts w:ascii="Times New Roman" w:hAnsi="Times New Roman"/>
          <w:sz w:val="20"/>
        </w:rPr>
      </w:pPr>
      <w:r>
        <w:rPr>
          <w:rFonts w:ascii="Times New Roman" w:hAnsi="Times New Roman"/>
          <w:sz w:val="20"/>
        </w:rPr>
        <w:t xml:space="preserve">Where the securities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under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is an accredited investor,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transferable within six months after that corporation or that trust has acquired the securities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under Section 274 of the SFA or to a relevant person defined in Section 275(2) of the SFA, or to any person pursuant to an offer referred to in Section 275(1A) or Section 276(4)(i)(B) of the SFA;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of Singapore.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the issuer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This document does not constitute a prospectus under the Israeli Securities Law, 5728-1968 (the “Securities Law”), and has not been filed with or approved by the Israel Securities Authority. In the State of Israel, this document is being distributed only to, and is directed only at, and any offer of the shares is directed only at,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 </w:t>
      </w:r>
    </w:p>
    <w:p>
      <w:pPr>
        <w:pStyle w:val="TextBody"/>
        <w:bidi w:val="0"/>
        <w:spacing w:before="360" w:after="0"/>
        <w:jc w:val="left"/>
        <w:rPr>
          <w:rFonts w:ascii="Times New Roman" w:hAnsi="Times New Roman"/>
          <w:b/>
          <w:sz w:val="20"/>
        </w:rPr>
      </w:pPr>
      <w:r>
        <w:rPr>
          <w:rFonts w:ascii="Times New Roman" w:hAnsi="Times New Roman"/>
          <w:b/>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the United Kingdom, no securities have been offered or will be offered pursuant to the offer described herein to the public in the United Kingdom prior to the publication of a prospectus in relation to the securities which has been approved by the UK Financial Conduct Authority, except that the securities may be offered to the public in the United Kingdom at any time: </w:t>
      </w:r>
    </w:p>
    <w:p>
      <w:pPr>
        <w:pStyle w:val="TextBody"/>
        <w:bidi w:val="0"/>
        <w:spacing w:before="120" w:after="0"/>
        <w:jc w:val="left"/>
        <w:rPr>
          <w:rFonts w:ascii="Times New Roman" w:hAnsi="Times New Roman"/>
          <w:sz w:val="20"/>
        </w:rPr>
      </w:pPr>
      <w:r>
        <w:rPr>
          <w:rFonts w:ascii="Times New Roman" w:hAnsi="Times New Roman"/>
          <w:sz w:val="20"/>
        </w:rPr>
        <w:t xml:space="preserve">(i) to any legal entity which is a qualified investor as defined under Article 2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(ii) to fewer than 150 natural or legal persons (other than qualified investors as defined under Article 2 of the UK Prospectus Regulation), subject to obtaining the prior consent of the underwriters for any such offer;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in any other circumstances falling within Section 86 of the Financial Services and Markets Act 2000 (as amended) (the “FSMA”), </w:t>
      </w:r>
    </w:p>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securities shall require the issuer or any underwriter to publish a prospectus pursuant to Section 85 of the FSMA or supplement a prospectus pursuant to Article 23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the United Kingdom who acquires any securities in the offer or to whom any offer is made will be deemed to have represented, acknowledged and agreed to and with the issuer and the underwriters that it is a qualified investor within the meaning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securities being offered to a financial intermediary as that term is used in Article 5(1) of the UK Prospectus Regulation, each such financial intermediary will be deemed to have represented, acknowledged and agreed to and with the issuer and the underwriters that the securities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underwriters has been obtained to each such proposed offer or resale. Neither the issuer nor the underwriters have authorised, nor do they authorise, the making of any offer of securities through any financial intermediary, other than offers made by the underwriters which constitute the final placement of securities contemplated in this document.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underwriters and their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United Kingdom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In the United Kingdom, this document is being distributed only to, and is directed only at, persons who are “qualified investors” within the meaning of Article 2(e) of the UK Prospectus Regulation who are also: (i) persons who fall within the definition of “investment professionals” in Article 19(5) of the Financial Services and Markets Act 2000 (Financial Promotion) Order 2005, as amended (the “Order”); (ii) persons falling within Article 49(2) of the Order; or (iii) persons to whom it may otherwise lawfully be communicated (all such persons together being referred to as “relevant persons”). This document must not be acted on or relied on in the United Kingdom by persons who are not relevant persons. Any investment or investment activity to which this document relates is available in the United Kingdom only to relevant persons and will be engaged in only with such persons. </w:t>
      </w:r>
    </w:p>
    <w:p>
      <w:pPr>
        <w:pStyle w:val="TextBody"/>
        <w:bidi w:val="0"/>
        <w:spacing w:before="240" w:after="0"/>
        <w:jc w:val="left"/>
        <w:rPr>
          <w:rFonts w:ascii="Times New Roman" w:hAnsi="Times New Roman"/>
          <w:sz w:val="20"/>
        </w:rPr>
      </w:pPr>
      <w:r>
        <w:rPr>
          <w:rFonts w:ascii="Times New Roman" w:hAnsi="Times New Roman"/>
          <w:sz w:val="20"/>
        </w:rPr>
        <w:t xml:space="preserve">Any invitation or inducement to engage in investment activity (within the meaning of Section 21 of the FSMA) may only be communicated or caused to be communicated in connection with the issue or sale of the securities in circumstances in which Section 21(1) of the FSMA does not apply. All applicable provisions of the FSMA and the Order must be complied with in respect of anything done by any person in relation to the securities in, from or otherwise involving the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835559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Hogan Lovells US LLP. The underwriters are being represented in connection with this offering by Cooley LLP, New York, New York. </w:t>
      </w:r>
    </w:p>
    <w:p>
      <w:pPr>
        <w:pStyle w:val="TextBody"/>
        <w:bidi w:val="0"/>
        <w:spacing w:before="480" w:after="0"/>
        <w:jc w:val="center"/>
        <w:rPr>
          <w:rFonts w:ascii="Times New Roman" w:hAnsi="Times New Roman"/>
          <w:b/>
          <w:sz w:val="20"/>
        </w:rPr>
      </w:pPr>
      <w:bookmarkStart w:id="13" w:name="supptx835559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supplement by reference to the Annual Report on Form 10-K for the year ended December 31, 2024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835559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statements contained in this prospectus supplement regarding the contents of any agreement or any other document, in each instance, the statement is qualified in all respects by the complete text of the agreement or document, a copy of which has been filed as an exhibit to, or incorporated by reference into,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free of charge on our website our annual, quarterly and current reports, including amendments to such reports, as soon as reasonably practicable after we electronically file such material with, or furnish such material to, the SEC. Please note, however, that we have not incorporated any other information by reference from our website, other than the documents listed below under the heading “Incorporation of Certain Information by Reference.” In addition, you may request copies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Invivyd, Inc. </w:t>
      </w:r>
    </w:p>
    <w:p>
      <w:pPr>
        <w:pStyle w:val="TextBody"/>
        <w:bidi w:val="0"/>
        <w:spacing w:before="0" w:after="0"/>
        <w:jc w:val="center"/>
        <w:rPr>
          <w:rFonts w:ascii="Times New Roman" w:hAnsi="Times New Roman"/>
          <w:sz w:val="20"/>
        </w:rPr>
      </w:pPr>
      <w:r>
        <w:rPr>
          <w:rFonts w:ascii="Times New Roman" w:hAnsi="Times New Roman"/>
          <w:sz w:val="20"/>
        </w:rPr>
        <w:t xml:space="preserve">209 Church Street </w:t>
      </w:r>
    </w:p>
    <w:p>
      <w:pPr>
        <w:pStyle w:val="TextBody"/>
        <w:bidi w:val="0"/>
        <w:spacing w:before="0" w:after="0"/>
        <w:jc w:val="center"/>
        <w:rPr>
          <w:rFonts w:ascii="Times New Roman" w:hAnsi="Times New Roman"/>
          <w:sz w:val="20"/>
        </w:rPr>
      </w:pPr>
      <w:r>
        <w:rPr>
          <w:rFonts w:ascii="Times New Roman" w:hAnsi="Times New Roman"/>
          <w:sz w:val="20"/>
        </w:rPr>
        <w:t xml:space="preserve">New Haven, Connecticut 06510 </w:t>
      </w:r>
    </w:p>
    <w:p>
      <w:pPr>
        <w:pStyle w:val="TextBody"/>
        <w:bidi w:val="0"/>
        <w:spacing w:before="0" w:after="0"/>
        <w:jc w:val="center"/>
        <w:rPr>
          <w:rFonts w:ascii="Times New Roman" w:hAnsi="Times New Roman"/>
          <w:sz w:val="20"/>
        </w:rPr>
      </w:pPr>
      <w:r>
        <w:rPr>
          <w:rFonts w:ascii="Times New Roman" w:hAnsi="Times New Roman"/>
          <w:sz w:val="20"/>
        </w:rPr>
        <w:t xml:space="preserve">Telephone: (781) 819-0080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x835559_13"/>
      <w:bookmarkEnd w:id="15"/>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of which this prospectus supplement forms a part. The rules and regulations of the SEC allow us to omit from this prospectus supplement certain information included in the registration statement. For further information about us and the securities offered under this prospectus supplement, you should refer to the registration statement and the exhibits and schedules filed with the registration statement. The SEC allows us to “incorporate by reference” information into this prospectus supplement. This means that we can disclose important information to you by referring you to documents we have filed separately with the SEC, without actually including the specific information in this prospectus supplement. The information incorporated by reference is considered to be a part of this prospectus supplement, and information in documents that we file later with the SEC will automatically update and supersede information contained in documents filed earlier with the SEC or contained in this prospectus supplement. We incorporate by reference in this prospectus supplement the documents listed below and any future filings that we may make with the SEC under Sections 13(a), 13(c), 14, or 15(d) of the Exchange Act prior to the termination of the offering under this prospectus supplement; provided, however, that we are not incorporating, in each case, any documents or information deemed to have been furnished and not filed, including any information that we disclose under Items 2.02 or 7.01 of any Current Report on Form 8-K,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March  20, 2025 (including those portions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7, 2025, that are incorporated by reference into Part III of such Annual Report on Form 10-K);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w:t>
            </w:r>
            <w:hyperlink r:id="rId5">
              <w:r>
                <w:rPr>
                  <w:rStyle w:val="InternetLink"/>
                  <w:rFonts w:ascii="Times New Roman" w:hAnsi="Times New Roman"/>
                  <w:sz w:val="20"/>
                </w:rPr>
                <w:t>March  31, 2025</w:t>
              </w:r>
            </w:hyperlink>
            <w:r>
              <w:rPr>
                <w:rFonts w:ascii="Times New Roman" w:hAnsi="Times New Roman"/>
                <w:sz w:val="20"/>
              </w:rPr>
              <w:t xml:space="preserve">, </w:t>
            </w:r>
            <w:hyperlink r:id="rId6">
              <w:r>
                <w:rPr>
                  <w:rStyle w:val="InternetLink"/>
                  <w:rFonts w:ascii="Times New Roman" w:hAnsi="Times New Roman"/>
                  <w:sz w:val="20"/>
                </w:rPr>
                <w:t>June  30, 2025</w:t>
              </w:r>
            </w:hyperlink>
            <w:r>
              <w:rPr>
                <w:rFonts w:ascii="Times New Roman" w:hAnsi="Times New Roman"/>
                <w:sz w:val="20"/>
              </w:rPr>
              <w:t xml:space="preserve"> and </w:t>
            </w:r>
            <w:r>
              <w:fldChar w:fldCharType="begin"/>
            </w:r>
            <w:r>
              <w:rPr>
                <w:rStyle w:val="InternetLink"/>
                <w:sz w:val="20"/>
                <w:rFonts w:ascii="Times New Roman" w:hAnsi="Times New Roman"/>
              </w:rPr>
              <w:instrText xml:space="preserve"> HYPERLINK "http://www.sec.gov/Archives/edgar/data/../../../ix?doc=/Archives/edgar/data/0001832038/000119312525268076/ivvd-20250930.htm" \l "ii_item1a"</w:instrText>
            </w:r>
            <w:r>
              <w:rPr>
                <w:rStyle w:val="InternetLink"/>
                <w:sz w:val="20"/>
                <w:rFonts w:ascii="Times New Roman" w:hAnsi="Times New Roman"/>
              </w:rPr>
              <w:fldChar w:fldCharType="separate"/>
            </w:r>
            <w:r>
              <w:rPr>
                <w:rStyle w:val="InternetLink"/>
                <w:rFonts w:ascii="Times New Roman" w:hAnsi="Times New Roman"/>
                <w:sz w:val="20"/>
              </w:rPr>
              <w:t>September 30, 2025</w:t>
            </w:r>
            <w:r>
              <w:rPr>
                <w:rStyle w:val="InternetLink"/>
                <w:sz w:val="20"/>
                <w:rFonts w:ascii="Times New Roman" w:hAnsi="Times New Roman"/>
              </w:rPr>
              <w:fldChar w:fldCharType="end"/>
            </w:r>
            <w:r>
              <w:rPr>
                <w:rFonts w:ascii="Times New Roman" w:hAnsi="Times New Roman"/>
                <w:sz w:val="20"/>
              </w:rPr>
              <w:t xml:space="preserve">, filed with the SEC on May 15, 2025, August 14, 2025 and November 6, 2025,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(other than the portions thereof that are furnished and not filed) as filed with the SEC on </w:t>
            </w:r>
            <w:hyperlink r:id="rId7">
              <w:r>
                <w:rPr>
                  <w:rStyle w:val="InternetLink"/>
                  <w:rFonts w:ascii="Times New Roman" w:hAnsi="Times New Roman"/>
                  <w:sz w:val="20"/>
                </w:rPr>
                <w:t>January 10,  2025</w:t>
              </w:r>
            </w:hyperlink>
            <w:r>
              <w:rPr>
                <w:rFonts w:ascii="Times New Roman" w:hAnsi="Times New Roman"/>
                <w:sz w:val="20"/>
              </w:rPr>
              <w:t xml:space="preserve">, </w:t>
            </w:r>
            <w:hyperlink r:id="rId8">
              <w:r>
                <w:rPr>
                  <w:rStyle w:val="InternetLink"/>
                  <w:rFonts w:ascii="Times New Roman" w:hAnsi="Times New Roman"/>
                  <w:sz w:val="20"/>
                </w:rPr>
                <w:t>January 27,  2025</w:t>
              </w:r>
            </w:hyperlink>
            <w:r>
              <w:rPr>
                <w:rFonts w:ascii="Times New Roman" w:hAnsi="Times New Roman"/>
                <w:sz w:val="20"/>
              </w:rPr>
              <w:t xml:space="preserve">, </w:t>
            </w:r>
            <w:hyperlink r:id="rId9">
              <w:r>
                <w:rPr>
                  <w:rStyle w:val="InternetLink"/>
                  <w:rFonts w:ascii="Times New Roman" w:hAnsi="Times New Roman"/>
                  <w:sz w:val="20"/>
                </w:rPr>
                <w:t>February 3,  2025</w:t>
              </w:r>
            </w:hyperlink>
            <w:r>
              <w:rPr>
                <w:rFonts w:ascii="Times New Roman" w:hAnsi="Times New Roman"/>
                <w:sz w:val="20"/>
              </w:rPr>
              <w:t xml:space="preserve">, </w:t>
            </w:r>
            <w:hyperlink r:id="rId10">
              <w:r>
                <w:rPr>
                  <w:rStyle w:val="InternetLink"/>
                  <w:rFonts w:ascii="Times New Roman" w:hAnsi="Times New Roman"/>
                  <w:sz w:val="20"/>
                </w:rPr>
                <w:t>February 24,  2025</w:t>
              </w:r>
            </w:hyperlink>
            <w:r>
              <w:rPr>
                <w:rFonts w:ascii="Times New Roman" w:hAnsi="Times New Roman"/>
                <w:sz w:val="20"/>
              </w:rPr>
              <w:t xml:space="preserve"> ,</w:t>
            </w:r>
            <w:hyperlink r:id="rId11">
              <w:r>
                <w:rPr>
                  <w:rStyle w:val="InternetLink"/>
                  <w:rFonts w:ascii="Times New Roman" w:hAnsi="Times New Roman"/>
                  <w:sz w:val="20"/>
                </w:rPr>
                <w:t>March  5, 2025</w:t>
              </w:r>
            </w:hyperlink>
            <w:r>
              <w:rPr>
                <w:rFonts w:ascii="Times New Roman" w:hAnsi="Times New Roman"/>
                <w:sz w:val="20"/>
              </w:rPr>
              <w:t xml:space="preserve">, </w:t>
            </w:r>
            <w:hyperlink r:id="rId12">
              <w:r>
                <w:rPr>
                  <w:rStyle w:val="InternetLink"/>
                  <w:rFonts w:ascii="Times New Roman" w:hAnsi="Times New Roman"/>
                  <w:sz w:val="20"/>
                </w:rPr>
                <w:t>March  26, 2025</w:t>
              </w:r>
            </w:hyperlink>
            <w:r>
              <w:rPr>
                <w:rFonts w:ascii="Times New Roman" w:hAnsi="Times New Roman"/>
                <w:sz w:val="20"/>
              </w:rPr>
              <w:t xml:space="preserve">, </w:t>
            </w:r>
            <w:hyperlink r:id="rId13">
              <w:r>
                <w:rPr>
                  <w:rStyle w:val="InternetLink"/>
                  <w:rFonts w:ascii="Times New Roman" w:hAnsi="Times New Roman"/>
                  <w:sz w:val="20"/>
                </w:rPr>
                <w:t>April  21, 2025</w:t>
              </w:r>
            </w:hyperlink>
            <w:r>
              <w:rPr>
                <w:rFonts w:ascii="Times New Roman" w:hAnsi="Times New Roman"/>
                <w:sz w:val="20"/>
              </w:rPr>
              <w:t xml:space="preserve">, </w:t>
            </w:r>
            <w:hyperlink r:id="rId14">
              <w:r>
                <w:rPr>
                  <w:rStyle w:val="InternetLink"/>
                  <w:rFonts w:ascii="Times New Roman" w:hAnsi="Times New Roman"/>
                  <w:sz w:val="20"/>
                </w:rPr>
                <w:t>April 25,  2025</w:t>
              </w:r>
            </w:hyperlink>
            <w:r>
              <w:rPr>
                <w:rFonts w:ascii="Times New Roman" w:hAnsi="Times New Roman"/>
                <w:sz w:val="20"/>
              </w:rPr>
              <w:t xml:space="preserve">, </w:t>
            </w:r>
            <w:hyperlink r:id="rId15">
              <w:r>
                <w:rPr>
                  <w:rStyle w:val="InternetLink"/>
                  <w:rFonts w:ascii="Times New Roman" w:hAnsi="Times New Roman"/>
                  <w:sz w:val="20"/>
                </w:rPr>
                <w:t>May 12,  2025</w:t>
              </w:r>
            </w:hyperlink>
            <w:r>
              <w:rPr>
                <w:rFonts w:ascii="Times New Roman" w:hAnsi="Times New Roman"/>
                <w:sz w:val="20"/>
              </w:rPr>
              <w:t>,</w:t>
            </w:r>
            <w:hyperlink r:id="rId16">
              <w:r>
                <w:rPr>
                  <w:rStyle w:val="InternetLink"/>
                  <w:rFonts w:ascii="Times New Roman" w:hAnsi="Times New Roman"/>
                  <w:sz w:val="20"/>
                </w:rPr>
                <w:t xml:space="preserve"> May 15,  2025</w:t>
              </w:r>
            </w:hyperlink>
            <w:r>
              <w:rPr>
                <w:rFonts w:ascii="Times New Roman" w:hAnsi="Times New Roman"/>
                <w:sz w:val="20"/>
              </w:rPr>
              <w:t>,</w:t>
            </w:r>
            <w:hyperlink r:id="rId17">
              <w:r>
                <w:rPr>
                  <w:rStyle w:val="InternetLink"/>
                  <w:rFonts w:ascii="Times New Roman" w:hAnsi="Times New Roman"/>
                  <w:sz w:val="20"/>
                </w:rPr>
                <w:t xml:space="preserve"> May  20, 2025</w:t>
              </w:r>
            </w:hyperlink>
            <w:r>
              <w:rPr>
                <w:rFonts w:ascii="Times New Roman" w:hAnsi="Times New Roman"/>
                <w:sz w:val="20"/>
              </w:rPr>
              <w:t xml:space="preserve">, </w:t>
            </w:r>
            <w:hyperlink r:id="rId18">
              <w:r>
                <w:rPr>
                  <w:rStyle w:val="InternetLink"/>
                  <w:rFonts w:ascii="Times New Roman" w:hAnsi="Times New Roman"/>
                  <w:sz w:val="20"/>
                </w:rPr>
                <w:t>June  26, 2025</w:t>
              </w:r>
            </w:hyperlink>
            <w:r>
              <w:rPr>
                <w:rFonts w:ascii="Times New Roman" w:hAnsi="Times New Roman"/>
                <w:sz w:val="20"/>
              </w:rPr>
              <w:t xml:space="preserve">, </w:t>
            </w:r>
            <w:hyperlink r:id="rId19">
              <w:r>
                <w:rPr>
                  <w:rStyle w:val="InternetLink"/>
                  <w:rFonts w:ascii="Times New Roman" w:hAnsi="Times New Roman"/>
                  <w:sz w:val="20"/>
                </w:rPr>
                <w:t>July  2, 2025</w:t>
              </w:r>
            </w:hyperlink>
            <w:r>
              <w:rPr>
                <w:rFonts w:ascii="Times New Roman" w:hAnsi="Times New Roman"/>
                <w:sz w:val="20"/>
              </w:rPr>
              <w:t xml:space="preserve">, </w:t>
            </w:r>
            <w:hyperlink r:id="rId20">
              <w:r>
                <w:rPr>
                  <w:rStyle w:val="InternetLink"/>
                  <w:rFonts w:ascii="Times New Roman" w:hAnsi="Times New Roman"/>
                  <w:sz w:val="20"/>
                </w:rPr>
                <w:t>August  14, 2025</w:t>
              </w:r>
            </w:hyperlink>
            <w:r>
              <w:rPr>
                <w:rFonts w:ascii="Times New Roman" w:hAnsi="Times New Roman"/>
                <w:sz w:val="20"/>
              </w:rPr>
              <w:t xml:space="preserve">, </w:t>
            </w:r>
            <w:hyperlink r:id="rId21">
              <w:r>
                <w:rPr>
                  <w:rStyle w:val="InternetLink"/>
                  <w:rFonts w:ascii="Times New Roman" w:hAnsi="Times New Roman"/>
                  <w:sz w:val="20"/>
                </w:rPr>
                <w:t>August  22, 2025</w:t>
              </w:r>
            </w:hyperlink>
            <w:r>
              <w:rPr>
                <w:rFonts w:ascii="Times New Roman" w:hAnsi="Times New Roman"/>
                <w:sz w:val="20"/>
              </w:rPr>
              <w:t xml:space="preserve">, </w:t>
            </w:r>
            <w:hyperlink r:id="rId22">
              <w:r>
                <w:rPr>
                  <w:rStyle w:val="InternetLink"/>
                  <w:rFonts w:ascii="Times New Roman" w:hAnsi="Times New Roman"/>
                  <w:sz w:val="20"/>
                </w:rPr>
                <w:t>September  24, 2025</w:t>
              </w:r>
            </w:hyperlink>
            <w:r>
              <w:rPr>
                <w:rFonts w:ascii="Times New Roman" w:hAnsi="Times New Roman"/>
                <w:sz w:val="20"/>
              </w:rPr>
              <w:t xml:space="preserve">, </w:t>
            </w:r>
            <w:hyperlink r:id="rId23">
              <w:r>
                <w:rPr>
                  <w:rStyle w:val="InternetLink"/>
                  <w:rFonts w:ascii="Times New Roman" w:hAnsi="Times New Roman"/>
                  <w:sz w:val="20"/>
                </w:rPr>
                <w:t>October  6, 2025</w:t>
              </w:r>
            </w:hyperlink>
            <w:r>
              <w:rPr>
                <w:rFonts w:ascii="Times New Roman" w:hAnsi="Times New Roman"/>
                <w:sz w:val="20"/>
              </w:rPr>
              <w:t xml:space="preserve">, </w:t>
            </w:r>
            <w:hyperlink r:id="rId24">
              <w:r>
                <w:rPr>
                  <w:rStyle w:val="InternetLink"/>
                  <w:rFonts w:ascii="Times New Roman" w:hAnsi="Times New Roman"/>
                  <w:sz w:val="20"/>
                </w:rPr>
                <w:t>October  30, 2025</w:t>
              </w:r>
            </w:hyperlink>
            <w:r>
              <w:rPr>
                <w:rFonts w:ascii="Times New Roman" w:hAnsi="Times New Roman"/>
                <w:sz w:val="20"/>
              </w:rPr>
              <w:t xml:space="preserve"> and </w:t>
            </w:r>
            <w:hyperlink r:id="rId25">
              <w:r>
                <w:rPr>
                  <w:rStyle w:val="InternetLink"/>
                  <w:rFonts w:ascii="Times New Roman" w:hAnsi="Times New Roman"/>
                  <w:sz w:val="20"/>
                </w:rPr>
                <w:t>November 6,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6">
              <w:r>
                <w:rPr>
                  <w:rStyle w:val="InternetLink"/>
                  <w:rFonts w:ascii="Times New Roman" w:hAnsi="Times New Roman"/>
                  <w:sz w:val="20"/>
                </w:rPr>
                <w:t>Form 8-A</w:t>
              </w:r>
            </w:hyperlink>
            <w:r>
              <w:rPr>
                <w:rFonts w:ascii="Times New Roman" w:hAnsi="Times New Roman"/>
                <w:sz w:val="20"/>
              </w:rPr>
              <w:t xml:space="preserve"> filed on August 3, 2021, as updated by </w:t>
            </w:r>
            <w:hyperlink r:id="rId27">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2023,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obtain copies of these filings, see the section entitled “Where You Can Find More Information” on page S-34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5429885" cy="8045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8"/>
                    <a:stretch>
                      <a:fillRect/>
                    </a:stretch>
                  </pic:blipFill>
                  <pic:spPr bwMode="auto">
                    <a:xfrm>
                      <a:off x="0" y="0"/>
                      <a:ext cx="5429885" cy="8045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$400,000,000 </w:t>
      </w:r>
    </w:p>
    <w:p>
      <w:pPr>
        <w:pStyle w:val="TextBody"/>
        <w:bidi w:val="0"/>
        <w:spacing w:before="1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We may offer to the public from time to time in one or more series or issuances and on terms that we will determine at the time of the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203"/>
        <w:gridCol w:w="100"/>
        <w:gridCol w:w="9392"/>
      </w:tblGrid>
      <w:tr>
        <w:trPr/>
        <w:tc>
          <w:tcPr>
            <w:tcW w:w="51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203"/>
        <w:gridCol w:w="102"/>
        <w:gridCol w:w="9391"/>
      </w:tblGrid>
      <w:tr>
        <w:trPr/>
        <w:tc>
          <w:tcPr>
            <w:tcW w:w="50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203"/>
        <w:gridCol w:w="102"/>
        <w:gridCol w:w="9391"/>
      </w:tblGrid>
      <w:tr>
        <w:trPr/>
        <w:tc>
          <w:tcPr>
            <w:tcW w:w="50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warrants to purchase shares of our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203"/>
        <w:gridCol w:w="101"/>
        <w:gridCol w:w="9391"/>
      </w:tblGrid>
      <w:tr>
        <w:trPr/>
        <w:tc>
          <w:tcPr>
            <w:tcW w:w="51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debt securities consisting of debentures, notes or other evidences of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203"/>
        <w:gridCol w:w="101"/>
        <w:gridCol w:w="9392"/>
      </w:tblGrid>
      <w:tr>
        <w:trPr/>
        <w:tc>
          <w:tcPr>
            <w:tcW w:w="50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units consisting of a combination of the foregoing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203"/>
        <w:gridCol w:w="101"/>
        <w:gridCol w:w="9392"/>
      </w:tblGrid>
      <w:tr>
        <w:trPr/>
        <w:tc>
          <w:tcPr>
            <w:tcW w:w="50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any combination of these securities. </w:t>
            </w:r>
          </w:p>
        </w:tc>
      </w:tr>
    </w:tbl>
    <w:p>
      <w:pPr>
        <w:pStyle w:val="TextBody"/>
        <w:bidi w:val="0"/>
        <w:spacing w:before="120" w:after="0"/>
        <w:jc w:val="left"/>
        <w:rPr>
          <w:rFonts w:ascii="Times New Roman" w:hAnsi="Times New Roman"/>
          <w:sz w:val="18"/>
        </w:rPr>
      </w:pPr>
      <w:r>
        <w:rPr>
          <w:rFonts w:ascii="Times New Roman" w:hAnsi="Times New Roman"/>
          <w:sz w:val="18"/>
        </w:rPr>
        <w:t xml:space="preserve">The aggregate initial offering price of all securities sold by us pursuant to this prospectus will not exceed $400,000,000. </w:t>
      </w:r>
    </w:p>
    <w:p>
      <w:pPr>
        <w:pStyle w:val="TextBody"/>
        <w:bidi w:val="0"/>
        <w:spacing w:before="120" w:after="0"/>
        <w:jc w:val="left"/>
        <w:rPr>
          <w:rFonts w:ascii="Times New Roman" w:hAnsi="Times New Roman"/>
          <w:sz w:val="18"/>
        </w:rPr>
      </w:pPr>
      <w:r>
        <w:rPr>
          <w:rFonts w:ascii="Times New Roman" w:hAnsi="Times New Roman"/>
          <w:sz w:val="18"/>
        </w:rPr>
        <w:t xml:space="preserve">This prospectus provides a general description of the securities that we may offer. Each time that we offer securities under this prospectus, we will provide the specific terms of the securities offered, including the public offering price, in a supplement to this prospectus. Any prospectus supplement may add to, update or change information contained or incorporated by reference in this prospectus. </w:t>
      </w:r>
    </w:p>
    <w:p>
      <w:pPr>
        <w:pStyle w:val="TextBody"/>
        <w:bidi w:val="0"/>
        <w:spacing w:before="120" w:after="0"/>
        <w:jc w:val="left"/>
        <w:rPr>
          <w:rFonts w:ascii="Times New Roman" w:hAnsi="Times New Roman"/>
          <w:sz w:val="18"/>
        </w:rPr>
      </w:pPr>
      <w:r>
        <w:rPr>
          <w:rFonts w:ascii="Times New Roman" w:hAnsi="Times New Roman"/>
          <w:sz w:val="18"/>
        </w:rPr>
        <w:t xml:space="preserve">The securities may be sold by us to or through underwriters or dealers, directly to purchasers or through agents designated from time to time. For additional information on the methods of sale, you should refer to the section entitled “Plan of Distribution” in this prospectus and the comparable section of any applicable prospectus supplement. If any underwriters are involved in the sale of the securities with respect to which this prospectus is being delivered, the names of such underwriters and any applicable discounts, commissions and purchase options will be set forth in the applicable prospectus supplement. </w:t>
      </w:r>
    </w:p>
    <w:p>
      <w:pPr>
        <w:pStyle w:val="TextBody"/>
        <w:bidi w:val="0"/>
        <w:spacing w:before="120" w:after="0"/>
        <w:jc w:val="left"/>
        <w:rPr>
          <w:rFonts w:ascii="Times New Roman" w:hAnsi="Times New Roman"/>
          <w:sz w:val="18"/>
        </w:rPr>
      </w:pPr>
      <w:r>
        <w:rPr>
          <w:rFonts w:ascii="Times New Roman" w:hAnsi="Times New Roman"/>
          <w:sz w:val="18"/>
        </w:rPr>
        <w:t xml:space="preserve">Our common stock trades on the Nasdaq Global Market under the ticker symbol “IVVD”. On September 27, 2022, the last reported sale price per share of our common stock was $3.10. We have not yet determined whether the other securities that may be offered by this prospectus will be listed on any exchange, interdealer quotation system or over-the-counter market. If we decide to seek the listing of any such securities upon issuance, the prospectus supplement relating to those securities will disclose the exchange, quotation system or market on which those securities will be listed. </w:t>
      </w:r>
    </w:p>
    <w:p>
      <w:pPr>
        <w:pStyle w:val="TextBody"/>
        <w:bidi w:val="0"/>
        <w:spacing w:before="120" w:after="0"/>
        <w:jc w:val="left"/>
        <w:rPr>
          <w:rFonts w:ascii="Times New Roman" w:hAnsi="Times New Roman"/>
          <w:sz w:val="18"/>
        </w:rPr>
      </w:pPr>
      <w:r>
        <w:rPr>
          <w:rFonts w:ascii="Times New Roman" w:hAnsi="Times New Roman"/>
          <w:sz w:val="18"/>
        </w:rPr>
        <w:t xml:space="preserve">We are an “emerging growth company” as defined by the Jumpstart Our Business Startups Act of 2012 and, as such, we are subject to reduced public company reporting requirements for this prospectus and future filings. Refer to the section entitled “Implications of Being an Emerging Growth Company” beginning on page 4 of this prospectus for more information.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0"/>
        </w:rPr>
        <w:t>INVESTING IN OUR SECURITIES INVOLVES A HIGH DEGREE OF RISK. RISKS ASSOCIATED WITH AN INVESTMENT IN OUR SECURITIES WILL BE DESCRIBED IN THE APPLICABLE PROSPECTUS SUPPLEMENT AND CERTAIN OF OUR FILINGS WITH THE SECURITIES AND EXCHANGE COMMISSION INCORPORATED BY REFERENCE INTO THIS PROSPECTUS, AS DESCRIBED UNDER “</w:t>
      </w:r>
      <w:hyperlink w:anchor="rom835559_5">
        <w:r>
          <w:rPr>
            <w:rStyle w:val="InternetLink"/>
            <w:rFonts w:ascii="Times New Roman" w:hAnsi="Times New Roman"/>
            <w:b/>
            <w:sz w:val="20"/>
          </w:rPr>
          <w:t>RISK FACTORS</w:t>
        </w:r>
      </w:hyperlink>
      <w:r>
        <w:rPr>
          <w:rFonts w:ascii="Times New Roman" w:hAnsi="Times New Roman"/>
          <w:b/>
          <w:sz w:val="20"/>
        </w:rPr>
        <w:t xml:space="preserve">” ON PAGE 6. </w:t>
      </w:r>
    </w:p>
    <w:p>
      <w:pPr>
        <w:pStyle w:val="TextBody"/>
        <w:bidi w:val="0"/>
        <w:spacing w:before="120" w:after="0"/>
        <w:jc w:val="left"/>
        <w:rPr>
          <w:rFonts w:ascii="Times New Roman" w:hAnsi="Times New Roman"/>
          <w:b/>
          <w:sz w:val="18"/>
        </w:rPr>
      </w:pPr>
      <w:r>
        <w:rPr>
          <w:rFonts w:ascii="Times New Roman" w:hAnsi="Times New Roman"/>
          <w:b/>
          <w:sz w:val="18"/>
        </w:rPr>
        <w:t xml:space="preserve">You should read this prospectus and any applicable prospectus supplement together with additional information described under the heading “Where You Can Find More Information” before you make your investment decision. </w:t>
      </w:r>
    </w:p>
    <w:p>
      <w:pPr>
        <w:pStyle w:val="TextBody"/>
        <w:bidi w:val="0"/>
        <w:spacing w:before="12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The date of this prospectus is October 5, 2022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bookmarkStart w:id="16" w:name="toc1"/>
      <w:bookmarkEnd w:id="16"/>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2">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3">
              <w:r>
                <w:rPr>
                  <w:rStyle w:val="InternetLink"/>
                  <w:rFonts w:ascii="Times New Roman" w:hAnsi="Times New Roman"/>
                  <w:sz w:val="20"/>
                </w:rPr>
                <w:t>MARKET, INDUSTRY AND OTHER DATA</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4">
              <w:r>
                <w:rPr>
                  <w:rStyle w:val="InternetLink"/>
                  <w:rFonts w:ascii="Times New Roman" w:hAnsi="Times New Roman"/>
                  <w:sz w:val="20"/>
                </w:rPr>
                <w:t>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8">
              <w:r>
                <w:rPr>
                  <w:rStyle w:val="InternetLink"/>
                  <w:rFonts w:ascii="Times New Roman" w:hAnsi="Times New Roman"/>
                  <w:sz w:val="20"/>
                </w:rPr>
                <w:t>GENERAL DESCRIPTION OF OUR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9">
              <w:r>
                <w:rPr>
                  <w:rStyle w:val="InternetLink"/>
                  <w:rFonts w:ascii="Times New Roman" w:hAnsi="Times New Roman"/>
                  <w:sz w:val="20"/>
                </w:rPr>
                <w:t>DESCRIPTION OF OUR COMMON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0">
              <w:r>
                <w:rPr>
                  <w:rStyle w:val="InternetLink"/>
                  <w:rFonts w:ascii="Times New Roman" w:hAnsi="Times New Roman"/>
                  <w:sz w:val="20"/>
                </w:rPr>
                <w:t>DESCRIPTION OF OUR PREFERRED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1">
              <w:r>
                <w:rPr>
                  <w:rStyle w:val="InternetLink"/>
                  <w:rFonts w:ascii="Times New Roman" w:hAnsi="Times New Roman"/>
                  <w:sz w:val="20"/>
                </w:rPr>
                <w:t>DESCRIPTION OF OUR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2">
              <w:r>
                <w:rPr>
                  <w:rStyle w:val="InternetLink"/>
                  <w:rFonts w:ascii="Times New Roman" w:hAnsi="Times New Roman"/>
                  <w:sz w:val="20"/>
                </w:rPr>
                <w:t>DESCRIPTION OF OUR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3">
              <w:r>
                <w:rPr>
                  <w:rStyle w:val="InternetLink"/>
                  <w:rFonts w:ascii="Times New Roman" w:hAnsi="Times New Roman"/>
                  <w:sz w:val="20"/>
                </w:rPr>
                <w:t>DESCRIPTION OF OUR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5">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6">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835559_17">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rom835559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 registration statement on Form S-3 that we filed with the Securities and Exchange Commission, or the SEC, using a “shelf” registration process. Under this shelf registration process, we may offer to sell any of the securities, or any combination of the securities, described in this prospectus, in each case in one or more offerings, up to a total dollar amount of $400,000,000.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only with a general description of the securities that we may offer. Each time securities are sold under this shelf registration statement, we will provide an accompanying prospectus supplement that will contain specific information about the terms of those securities and the terms of that offering. The accompanying prospectus supplement may also add, update or change information contained in this prospectus. If there is any inconsistency between the information in this prospectus and any accompanying prospectus supplement, you should rely on the information in the accompanying prospectus supplement. You should read both this prospectus and any accompanying prospectus supplement, including all documents incorporated by reference herein and therein, together with the additional information described under “Where You Can Find More Information” below.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prospectus is not complete and may be changed. You should rely only on the information provided in or incorporated by reference in this prospectus or in any accompanying prospectus supplement, or documents to which we otherwise refer you. We have not authorized anyone else to provide you with different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 dealer, agent or other person to give any information or to make any representation other than those contained or incorporated by reference in this prospectus and any accompanying prospectus supplement.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if any,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such document or that any information we have incorporated by reference is correct on any date subsequent to the date of the document incorporated by reference, even though this prospectus and any accompanying prospectus supplement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to the terms “the Company,” “Invivyd,” “we,” “our” and “us” or other similar terms mean Invivyd, Inc. and our wholly owned subsidiaries, unless we state otherwise or the context indicates otherwise. </w:t>
      </w:r>
    </w:p>
    <w:p>
      <w:pPr>
        <w:pStyle w:val="TextBody"/>
        <w:bidi w:val="0"/>
        <w:spacing w:before="240" w:after="0"/>
        <w:jc w:val="left"/>
        <w:rPr/>
      </w:pPr>
      <w:r>
        <w:rPr/>
        <w:t>“</w:t>
      </w:r>
      <w:r>
        <w:rPr>
          <w:rFonts w:ascii="Times New Roman" w:hAnsi="Times New Roman"/>
          <w:sz w:val="20"/>
        </w:rPr>
        <w:t xml:space="preserve">Invivyd,” “IVVD” and the Invivyd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835559_2"/>
      <w:bookmarkEnd w:id="18"/>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and any prospectus supplement and the documents incorporated therein, may contain forward-looking statements that involve substantial risks and uncertainties. All statements, other than statements of historical facts, included in this prospectus, any prospectus supplement or the documents incorporated herein and therein by reference, including statements regarding our future financial condition, results of operations, business strategy and plans and objectives of management for future operations, industry trends and other future events, are forward-looking statements. In some cases, you can identify forward-looking statements by terminology such as “may,” “anticipate,” “believe,” “could,” “expect,” “intends,” “might,” “plan,” “possible,” “potential,” “aim,” “predict,” “project” “should,” “will,” “would” or the negative of these terms or other similar expressions, although not all forward-looking statements contain these identifying terms. The forward-looking statements in this prospectus and the documents incorporated herein by reference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our preclinical studies and clinical trials of our current and future product candidates, including statements regarding the timing of our planned regulatory submissions, initiation and completion of studies or trials and related preparatory work and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any submission of filings for regulatory approval of, and our ability to obtain and maintain regulatory approvals for,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capabilities and strategy, including 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patients with the diseases treated by our product candidates and to enroll these patients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size of the patient populations, market acceptance and opportunity for and clinical utility of our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scope of any approved indication for adintrevimab or any other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leverage technology to identify and develop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our expenses, ongoing losses, future revenue, capital requirements and our need for or ability to obtain additional funding before we can expect to generate any revenue from product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regarding the sufficiency of our cash resources to fund our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the development of and projections relating to our competitors or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disruptions affecting our preclinical studies or the initiation, patient enrollment, development and operation of our clinical trials, including a public health crisis, such as the outbreak of COVID-19;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proceeds.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guarantee that the results and other expectations expressed, anticipated or implied in any forward-looking statement will be realized. The risks set forth under Item 1A of our Annual Report on Form 10-K for the fiscal year ended December 31, 2021, as revised or supplemented by our Quarterly Reports on Form 10-Q and other documents we file with the SEC, describe material risks to our business, and you should read and interpret any forward-looking statements together with these risks. A variety of factors, including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any prospectus supplement and the documents that we incorporate by reference herein and therein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835559_3"/>
      <w:bookmarkEnd w:id="19"/>
      <w:r>
        <w:rPr>
          <w:rFonts w:ascii="Times New Roman" w:hAnsi="Times New Roman"/>
          <w:b/>
          <w:sz w:val="20"/>
        </w:rPr>
        <w:t xml:space="preserve">MARKET, INDUSTRY AND OTHER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and the documents incorporated by reference herein and therein contain estimates, projections, market research and other information concerning, among other things, our industry, our business, and markets for our product candidates. Unless otherwise expressly stated, we obtain this information from reports, research surveys, studies and similar data prepared by market research firms and other third parties, industry, medical and general publications, government data and similar sources as well as from our own internal estimates and research and from publications, research, surveys and studies conducted by third parties on our behalf. Information that is based on estimates, projections, market research or similar methodologies is inherently subject to uncertainties and actual events or circumstances may differ materially from events and circumstances that are reflected in this information. As a result, you are cautioned not to give undue weight to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0" w:name="rom835559_4"/>
      <w:bookmarkEnd w:id="20"/>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biopharmaceutical company on a mission to protect humanity from serious viral respiratory diseases. We are developing antibodies to transcend the limits of naturally occurring immunity and provide superior protection from viral diseases, beginning with COVID-19. Our technology works at the intersection of evolutionary virology, predictive modeling, and antibody engineering, and is designed to identify high-quality, long-lasting antibodies with a high barrier to viral escape. We are generating a robust pipeline of products for use in both prevention and treatment of disease. NVD200, our first antibody combination product for COVID-19, is expected to enter the clinic in Q1 2023. Our most advanced pipeline candidate is adintrevimab, an investigational monoclonal antibody which has demonstrated clinically meaningful results in global Phase 3 clinical trials against multiple variants of concern for the prevention and treatment of COVID-19. We also have multiple discovery stage candidates for the prevention of seasonal influenza.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about our company, please refer to other documents that we have filed with the SEC and that are incorporated by reference into this prospectus, as listed under the heading “Incorporation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June 2020. Our principal executive offices are located at 1601 Trapelo Road, Suite 178, Waltham, MA 02451 and our telephone number is (781) 819-0080. Our website address is www.invivyd.com. We do not incorporate the information on, or accessible through, our website into this prospectus, and you should not consider any information on, or accessible through, our website as part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Jumpstart Our Business Startups Act of 2012, or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auditor attestation requirement in the assessment of our internal control over financial reporting;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requirements of the Public Company Accounting Oversight Board regarding the communication of critical audit matters in the auditor’s report on the financial statements.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835559_5"/>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 our most recent Annual Report on Form 10-K and our Quarterly Reports on Form 10-Q and other documents that we file with the SEC, which are incorporated herein by reference as described in this prospectus under the heading “Where You Can Find More Information”. The risks and uncertainties we have described in such documents are not the only risks that we face. Additional risks and uncertainties not presently known to us or that we currently deem immaterial may also affect our operations. </w:t>
      </w:r>
    </w:p>
    <w:p>
      <w:pPr>
        <w:pStyle w:val="TextBody"/>
        <w:bidi w:val="0"/>
        <w:spacing w:before="480" w:after="0"/>
        <w:jc w:val="center"/>
        <w:rPr>
          <w:rFonts w:ascii="Times New Roman" w:hAnsi="Times New Roman"/>
          <w:b/>
          <w:sz w:val="20"/>
        </w:rPr>
      </w:pPr>
      <w:bookmarkStart w:id="22" w:name="rom835559_6"/>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applicable prospectus supplement relating to a specific offering, we intend to use the net proceeds from the sale of securities by us under this prospectus and any applicable prospectus supplement for general corporate purposes, which may include research and development expenditures, preclinical study and clinical trial expenditures, manufacturing expenditures, commercialization expenditures, working capital, capital expenditures, acquisitions of new technologies, products or businesses, and investments. Additional information on the use of net proceeds from the sale of securities by us under this prospectus may be set forth in the accompanying prospectus supplement relating to the specific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835559_7"/>
      <w:bookmarkEnd w:id="2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public offerings, negotiated transactions, block trades, “At the Market Offerings,” within the meaning of Rule 415(a)(4) of the Securities Act of 1933, as amended, or the Securities Act, into an existing trading market, at prevailing market prices, or a combination of these methods. We may sell the securities to or through underwriters or dealers, through agents or remarketing firms,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to be offered through the selling efforts of brokers or dealers, the plan of distribution and the terms of any agreement, arrangement, or understanding entered into with broker(s) or dealer(s) prior to the effective date of the registration statement, and, if known, the identity of any broker(s) or dealer(s) who will participate in the offering and the amount to be offered through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if any,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of the securities being registered are to be offered otherwise than for cash, the general purposes of the distribution, the basis upon which the securities are to be offered, the amount of compensation and other expenses of distribution, and by whom they are to be borne;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commissions or concessions allowed or reallowed or paid to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and relationships of any finders, if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Unless otherwise indicated in the prospectus supplement, subject to certain conditions, the underwriters will be obligated to purchase all of the securities offered by the prospectus supplement, other than securities covered by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option.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use a remarketing firm to offer the securities in connection with a remarketing arrangement upon their purchase. Remarketing firms will act as principals for their own account or as agents for us. These remarketing firms will offer or sell the securities pursuant to the terms of the securities. A prospectus supplement will identify any remarketing firm and the terms of its agreement, if any, with us and will describe the remarketing firm’s compensation. Remarketing firms may be deemed to be underwriters in connection the securities they remarket. </w:t>
      </w:r>
    </w:p>
    <w:p>
      <w:pPr>
        <w:pStyle w:val="TextBody"/>
        <w:bidi w:val="0"/>
        <w:spacing w:before="240" w:after="0"/>
        <w:jc w:val="left"/>
        <w:rPr>
          <w:rFonts w:ascii="Times New Roman" w:hAnsi="Times New Roman"/>
          <w:sz w:val="20"/>
        </w:rPr>
      </w:pPr>
      <w:r>
        <w:rPr>
          <w:rFonts w:ascii="Times New Roman" w:hAnsi="Times New Roman"/>
          <w:sz w:val="20"/>
        </w:rPr>
        <w:t xml:space="preserve">If we offer and sell securities through a dealer, we or an underwriter will sell the securities to the dealer, as principal. The dealer may then resell the securities to the public at varying prices to be determined by the dealer at the time of resale. The name of the dealer and the terms of the transaction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to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to one or more purchasers without using underwriters or agents. 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respective affiliates,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purchase options, stabilizing transactions, short-covering transactions and penalty bids in accordance with Regulation M under the Exchange Act. Purchase options involve sales in excess of the offering size, which create a short position. Stabilizing transactions permit bids to purchase the underlying security so long as the stabilizing bids do not exceed a specified maximum price. Syndicate-covering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short-covering transactions involve purchases of the securities, either through exercise of the purchase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Stock Market may engage in passive market making transactions in the common stock on the Nasdaq Stock Market in accordance with Regulation M under the Securities Exchange Act of 1934, as amended, or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835559_8"/>
      <w:bookmarkEnd w:id="24"/>
      <w:r>
        <w:rPr>
          <w:rFonts w:ascii="Times New Roman" w:hAnsi="Times New Roman"/>
          <w:b/>
          <w:sz w:val="20"/>
        </w:rPr>
        <w:t xml:space="preserve">GENERAL DESCRIPTION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at any time and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shares of our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consisting of debentures, notes or other evidences of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consisting of a combination of the foregoing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these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terms of any securities we offer will be determined at the time of sale. We may issue debt securities that are exchangeable for and/or convertible into common stock or any of the other securities that may be sold under this prospectus. When particular securities are offered by us, a supplement to this prospectus will be filed with the SEC, which will describe the terms of the offering and sale of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835559_9"/>
      <w:bookmarkEnd w:id="25"/>
      <w:r>
        <w:rPr>
          <w:rFonts w:ascii="Times New Roman" w:hAnsi="Times New Roman"/>
          <w:b/>
          <w:sz w:val="20"/>
        </w:rPr>
        <w:t xml:space="preserve">DESCRIPTION OF OUR COMMON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summary of general terms and provisions of our common stock set forth below does not purport to be complete and is subject to and qualified by reference to our Amended and Restated Certificate of Incorporation, or the Certificate of Incorporation, and Amended and Restated Bylaws, or the Bylaws, and together with the Certificate of Incorporation, the Charter Documents, each of which is included as an exhibit to our most recent Annual Report on Form 10-K filed with the SEC and incorporated by reference herein. For additional information, please read the Charter Documents and the applicable provisions of the Delaware General Corporation Law, or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up to 1,010,000,000 shares, of which 1,000,000,000 have been designated common stock, par value $0.0001 per share. As of September 12, 2022, there were 109,925,049 shares of our common stock outstanding. As of June 30, 2022, we had approximately 120 stockholders of record. This figure does not reflect the number of beneficial owners of shares of our common stock as a single stockholder of record often holds shares in nominee name (also referred to as, in “street name”) on behalf of multiple beneficial owners.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our common stock is entitled to one vote for each share on all matters submitted to a vote of the stockholders, including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by statute or by applicable stock exchange rules, or by the Certificate of Incorporation or the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 Bylaws, directors are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holders of at least 66 2/3% of the voting power of all of the then-outstanding shares of capital stock entitled to vote generally in the election of directors, voting as a single class, is required to alter, amend or repeal certain provisions of the Certificate of Incorporation, including provisions relating to amending the Bylaws, the classified board, the size of our board of directors, removal of directors, director liability, vacancies on our board of directors, stockholder notices, actions by written consent and exclusive forum.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holders of common stock are entitled to receive ratably those dividends, if any, as may be declared from time to time by our board of directors out of legally available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 of the holders of shares of any series of preferred stock that we may designate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Stock Options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2022, we had outstanding options to purchase 19,936,084 shares of our common stock at a weighted-average exercise price of $8.73 per share, pursuant to our 2020 Equity Incentive Plan and 2021 Equity Incentive Plan. As of June 30, 2022, there were no shares of our common stock reserved for future issuance under the 2020 Equity Incentive Plan and 23,149,318 shares of our common stock reserved for future issuance under our 2021 Equity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2021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2022, there were 1,342,773 shares of our common stock reserved for future issuance under our 2021 Employee Stock Purchase Plan.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and certain holders of our common stock have entered into a second amended and restated investors’ rights agreement, or the investors’ rights agreement. The registration rights provisions of this agreement provide those holders with demand, piggyback and Form S-3 registration rights with respect to the shares of common stock currently held by them. These shares are collectively referred to herein as registrable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of registrable securities then outstanding have the right to demand that we file a registration statement covering at least 30% of the registrable securities then outstanding.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60 days after the receipt of such request.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The holders of piggyback registration rights granted pursuant to the investors’ rights agreement have waived their piggyback registration rights in connection with the registration statement of which this prospectus is a part, as well as all subsequent offerings related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Registration on Form S-3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at least 30% of the registrable securities outstanding are entitled to request to have such shares registered by us on a Form S-3 registration statement. These Form S-3 registration rights are subject to other specified conditions and limitations, including the condition that the anticipated aggregate offering price is at least $1.0 million. Upon receipt of this request, the holders of registrable securities will each be entitled to participate in this registration.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Expenses of Registration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 </w:t>
      </w:r>
    </w:p>
    <w:p>
      <w:pPr>
        <w:pStyle w:val="TextBody"/>
        <w:bidi w:val="0"/>
        <w:spacing w:before="240" w:after="0"/>
        <w:jc w:val="left"/>
        <w:rPr>
          <w:rFonts w:ascii="Times New Roman" w:hAnsi="Times New Roman"/>
          <w:sz w:val="20"/>
        </w:rPr>
      </w:pPr>
      <w:r>
        <w:rPr>
          <w:rFonts w:ascii="Times New Roman" w:hAnsi="Times New Roman"/>
          <w:sz w:val="20"/>
        </w:rPr>
        <w:t xml:space="preserve">The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rights granted under the investors’ rights agreement will terminate with respect to any particular stockholder upon the earliest of (a) the closing of a deemed liquidation event, as defined in the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our initial public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such date, the board of directors of the corporation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general, Section 203 defines a “business combination”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(in one transaction or a series of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or by any direct or indirect majority-owned subsidiary of the corporation of any stock of the corporation or of such subsidiary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or any direct or indirect majority-owned subsidiary of the corporation that has the effect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and the Bylaws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are able to elect all of our directors. The Certificate of Incorporation and the Bylaws provide that directors may be removed by the stockholders only for cause upon the vote of at least 66 2/3% of the voting power of all of the then-outstanding shares of capital stock entitled to vote generally at an election of directors. Furthermore, the authorized number of directors may be changed only by resolution of our board of directors, and vacancies and newly created directorships on our board of directors may, except as otherwise required by law or determined by our board and subject to the rights of any series of then-outstanding preferred stock, only be filled by a majority vote of the directors then serving on our board of directors, even though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the Bylaws also provide that all stockholder actions must be effected at a duly called meeting of stockholders and eliminate the right of stockholders to act by written consent without a meeting. The Bylaws provide that only the chairman of the board of directors, the chief executive officer or the board of directors pursuant to a resolution adopted by a majority of the total number of authorized directors may call a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the Bylaws provide that the stockholders cannot amend many of the provisions described above except by a vote of at least 66 2/3% of the voting power of all of the then-outstanding shares of capital stock entitled to vote generally at an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provides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us.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the Court of Chancery of the State of Delaware will be the exclusive forum for the following types of actions or proceedings under Delaware statutory or common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breach of fiduciary duty;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arising pursuant to the DGCL, our Certificate of Incorporation, or our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 or cause of action seeking to interpret, apply, enforce or determine the validity of the Certificate of Incorporation or the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 or cause of action as to which the DGCL confers jurisdiction on the Court of Chancery of the State of Delaware;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that is governed by the internal affairs doctrine.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also provides that unless we consent in writing to the selection of an alternative forum, the federal district courts of the United States of America shall be the exclusive forum for the resolution of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These exclusive forum provisions may result in increased costs for investors to bring a claim. Further, these exclusive forum provisions may limit a stockholder’s ability to bring a claim in a judicial forum that it finds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favorable for disputes with us or our directors, officers, or other employees, which may discourage lawsuits against us and our directors, officers and other employees. If a court were to find either exclusive-forum provision in our Certificate of Incorporation to be inapplicable or unenforceable in an action, we may incur further significant additional costs associated with resolving the dispute in other jurisdictions, all of which could seriously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American Stock Transfer &amp; Trust Company, LLC. The transfer agent’s address is 6201 15th Avenue, Brooklyn, New York 11219.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trading symbol “IVVD”.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835559_10"/>
      <w:bookmarkEnd w:id="26"/>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We are authorized to issue up to 10,000,000 shares of preferred stock, par value $0.0001 per share, all of which shares of preferred stock are currently undesignated.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without further action by our stockholders, from time to time, direct the issuance of shares of preferred stock in series and may, at the time of issuance, determine and fix the number of shares of such series and the designation of such series, the voting powers, if any, of the shares of such series, the preferences and relative, participating, optional or other special rights, if any, and the qualifications, limitations or restrictions thereof, including without limitation thereof, dividend rights, conversion rights, redemption privileges and liquidation preferences, of the shares of such series. Satisfaction of any dividend preferences of outstanding shares of our preferred stock would reduce the amount of funds available for the payment of dividends on shares of our common stock. Holders of shares of our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 It is not possible to state the actual effect of the issuance of any shares of preferred stock on the rights of holders of common stock until the board of directors determines the specific rights attached to that preferred stock. We have no current plan to issue any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offered, the liquidation preference per share, and 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and/or payment date(s), or method(s) of calculation for such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or our other securities and, if applicable, the conversion price (or how it will be calculated), the conversion period and any other terms of conversion (including any anti-dilution provisions,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price (or how it will be calculated), the exchange period and any other terms of exchange (including any anti-dilution provisions,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and/or special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liquidation, dissolution, or winding up of our affairs;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limitations on issuance of any class or series of preferred stock ranking senior to or on a parity with the series of preferred stock as to dividend rights and rights upon our liquidation, dissolution, or winding 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affirmative, negative or other covenants or contractual rights which might be attendant with the specific series of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offered by this prospectus, when issued, will not have, or be subject to, any preemptive or similar rights.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series of preferred stock will be set forth in each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835559_11"/>
      <w:bookmarkEnd w:id="27"/>
      <w:r>
        <w:rPr>
          <w:rFonts w:ascii="Times New Roman" w:hAnsi="Times New Roman"/>
          <w:b/>
          <w:sz w:val="20"/>
        </w:rPr>
        <w:t xml:space="preserve">DESCRIPTION OF OUR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contain, where applicable, the following terms of and other information relating to the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amount and terms of the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shares of our common stock and the number of shares of common stock to be received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shares of our preferred stock, the number of shares of preferred stock to be received upon exercise of the warrants, and a description of that series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our debt securities, the amount of our debt securities to be received upon exercise of the warrants, and a description of that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the warrants may not be continuously exercised throughout that period, the specific date or dates on which the warrants may be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or foreign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if any,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the common stock, preferred stock and/or debt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put or call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warrants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rom835559_12"/>
      <w:bookmarkEnd w:id="28"/>
      <w:r>
        <w:rPr>
          <w:rFonts w:ascii="Times New Roman" w:hAnsi="Times New Roman"/>
          <w:b/>
          <w:sz w:val="20"/>
        </w:rPr>
        <w:t xml:space="preserve">DESCRIPTION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the debt securities that we may offer under this prospectus, any of which may be issued as convertible or exchangeable debt securities. We will set forth the particular terms of the debt securities we offer in a prospectus supplement. The extent, if any, to which the following general provisions apply to particular debt securities will be described in the applicable prospectus supplement. The following descriptions of general terms relating to the debt securities and the indenture under which the debt securities will be issued are summaries only and therefore are not complete. You should read the indenture and the prospectus supplement regarding any particular issuance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or will file a copy of the form of indenture as an exhibit to the registration statement in which this prospectus is included. The indenture will be subject to and governed by the terms of the Trust Indenture Act of 1939. </w:t>
      </w:r>
    </w:p>
    <w:p>
      <w:pPr>
        <w:pStyle w:val="TextBody"/>
        <w:bidi w:val="0"/>
        <w:spacing w:before="240" w:after="0"/>
        <w:jc w:val="left"/>
        <w:rPr>
          <w:rFonts w:ascii="Times New Roman" w:hAnsi="Times New Roman"/>
          <w:sz w:val="20"/>
        </w:rPr>
      </w:pPr>
      <w:r>
        <w:rPr>
          <w:rFonts w:ascii="Times New Roman" w:hAnsi="Times New Roman"/>
          <w:sz w:val="20"/>
        </w:rPr>
        <w:t xml:space="preserve">We may offer under this prospectus up to an aggregate principal amount of $400,000,000 in debt securities, or if debt securities are issued at a discount, or in a foreign currency, foreign currency units or composite currency, the principal amount as may be sold for an aggregate initial public offering price of up to $400,000,000. Unless otherwise specified in the applicable prospectus supplement, the debt securities will represent direct, unsecured obligations of our company and will rank equally with all of our other unsecured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statements relating to the debt securities and the indenture are summaries, qualified in their entirety by reference to the detailed provisions of the indenture and the final form indenture as may be filed with a future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will set forth, to the extent required, the following terms of the debt securities in respect of which the prospectus supplement is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price or prices, expressed as a percentage of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debt securities will be issued and on which principal of, and premium, if any,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if applicable, the method used to determine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interest will accrue, the interest payment date or dates on which interest will be payable and any regular record date for the interest payable, and the basis upon which interest will be calculated if other than that of a 360-day year of twelve 30-day months;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and, if applicable, premium and interest,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upon which we may, or the holders may require us to, redeem or repurchase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such debt securities may be issuable, if other than a minimum denomination of $2,000 or an integral multiple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issuable in the form of certificated debt securities (as described below) or global debt securities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that will be payable upon declaration of acceleration of the maturity date if other than the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and, if applicable, premium and interest,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and, if applicable, premium or interest, on the debt securities are to be made in one or more currencies or currency units other than the currency of denomination, the manner in which the exchange rate with respect to such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amounts of principal and, if applicable, premium and interest may be determined by reference to an index, including an index based on a currency or currencies other than in which the debt securities are payable, then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any collateral provided for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guaranteed by any person or persons and, if so, the identity of such person or persons, the terms and conditions upon which such debt securities shall be guaranteed and, if applicable, the terms and conditions upon which such guarantees may be subordinated to other indebtedness of the respective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covenants described in this prospectus or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if not otherwise described below under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for conversion into or exchange for shares of our common stock or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the debt securities shall be subordinated in right of payment to other indebtedness of our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that apply to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Exchange and/or 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securities which can be exchanged for or converted into shares of our common stock or preferred stock. If we do, we will describe the terms of exchange or conversion in the prospectus supplement relating to these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securities that will be represented by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book-entry securities,” which means that there will be one or more global securities registered in the name of a depositary or a nominee of a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certificated securities,” which means that they will be represented by a certificate issued in definitive registered form.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specify in the prospectus supplement applicable to a particular offering whether the debt securities offered will be book-entry or certificated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If you hold certificated debt securities issued under an indenture, you may transfer or exchange such debt securities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 series may be issued in the form of one or more global securities that will be deposited with a depositary or its nominees identified in the prospectus supplement relating to the debt securities. In such a case, one or more global securities will be issued in a denomination or aggregate denominations equal to the portion of the aggregate principal amount of outstanding debt securities of the series to be represented by such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debt securities in definitive registered form, a global security may not be registered for transfer or exchange except as a whole by the depositary for such global security to a nominee of the depositary and except in the circumstances described in the prospectus supplement relating to the debt securities. The specific terms of the depositary arrangement with respect to a series of debt securities will be described in the prospectus supplement relating to such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Protection in the Event of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Any provision in an indenture that governs our debt securities covered by this prospectus that includes any covenant or other provision providing for a put or increased interest or otherwise that would afford holders of our debt securities additional protection in the event of a recapitalization transaction, a change of control of our company, or a highly leveraged transaction will be described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this prospectus or the applicable prospectus supplement, our debt securities may not have the benefit of any covenant that limits or restricts our business or operations, the pledging of our assets or the incurrence by us of indebtedness. We will describe in the applicable prospectus supplement any material covenants in respect of a series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Consolidation, Merger, Conveyance, Transfer or Lease </w:t>
      </w:r>
    </w:p>
    <w:p>
      <w:pPr>
        <w:pStyle w:val="TextBody"/>
        <w:bidi w:val="0"/>
        <w:spacing w:before="120" w:after="0"/>
        <w:jc w:val="left"/>
        <w:rPr>
          <w:rFonts w:ascii="Times New Roman" w:hAnsi="Times New Roman"/>
          <w:sz w:val="20"/>
        </w:rPr>
      </w:pPr>
      <w:r>
        <w:rPr>
          <w:rFonts w:ascii="Times New Roman" w:hAnsi="Times New Roman"/>
          <w:sz w:val="20"/>
        </w:rPr>
        <w:t xml:space="preserve">We may agree in any indenture that governs the debt securities of any series covered by this prospectus that we will not consolidate with or merge into any other person or convey, transfer or lease (as lessor) our properties and assets as, or substantially as, an entirety to any person, unless such person and such proposed transaction meets various criteria, which we will describe in detail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Defaults and Notice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any series will contain events of default to be specified in the applicable prospectus supplement, which may include,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or any premium on any debt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deposit of any sinking fund payment, when and as due by the terms of a debt security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covenants or agreements in the indenture with respect to the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relating to our bankruptcy, insolvency or reorganization.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shall occur and be continuing, we may agree that the trustee or the holders of at least 25% in aggregate principal amount of the then outstanding debt securities of such series may declare the principal amount (or, if the debt securities of such series are issued at an original issue discount, such portion of the principal amount as may be specified in the terms of the debt securities of such series) of all debt securities of such series or such other amount or amounts as the debt securities or supplemental indenture with respect to such series may provide, to be due and payable immediately. Any provisions pertaining to events of default and any remedies associated therewith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indenture that governs our debt securities covered by this prospectus may require that the trustee under such indenture shall, within 90 days after the occurrence of a default, give to holders of debt securities of any series notice of all uncured and unwaived defaults with respect to such series known to it. However, in the case of a default that results from the failure to make any payment of the principal of, premium, if any, or interest on the debt securities of any series, or in the payment of any sinking or purchase fund installment with respect to debt securities of such series, if any, the trustee may withhold such notice if it in good faith determines that the withholding of such notice is in the interest of the holders of debt securities of such series. Any terms and provisions relating to the foregoing types of provisions will be described in further detail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indenture that governs our debt securities covered by this prospectus will contain a provision entitling the trustee to be indemnified by holders of debt securities before proceeding to exercise any trust or power under the indenture at the request of such holders. Any such indenture may provide that the holders of at least a majority in aggregate principal amount of the then outstanding debt securities of any series may direct the time, method and place of conducting any proceedings for any remedy available to the trustee, or of exercising any trust or power conferred upon the trustee with respect to the debt securities of such series. However, the trustee under any such indenture may decline to follow any such direction if, among other reasons, the trustee determines in good faith that the actions or proceedings as directed may not lawfully be taken, would involve the trustee in personal liability or would be unduly prejudicial to the holders of the debt securities of such series not joining in such direction.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indenture that governs our debt securities covered by this prospectus may endow the holders of such debt securities to institute a proceeding with respect to such indenture, subject to certain conditions, which will be specified in the applicable prospectus supplement and which may include, that the holders of at least a majority in aggregate principal amount of the debt securities of such series then outstanding make a written request upon the trustee to exercise its power under the indenture, indemnify the trustee and afford the trustee reasonable opportunity to act. Even so, such holders may have an absolute right to receipt of the principal of or premium, if any, and interest when due, to require conversion or exchange of debt securities if such indenture provides for convertibility or exchangeability at the option of the holder and to institute suit for the enforcement of such rights. Any terms and provisions relating to the foregoing types of provisions will be described in further detail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any indenture that governs our debt securities of any series covered by this prospectus with or without the consent of the holders of such debt securities, under certain circumstances to be described in a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Defeasance; 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will outline the conditions under which we may elect to have certain of our obligations under the indenture discharged and under which the indenture obligations will be deemed to be satisfied.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We will identify the trustee and any relationship that we may have with such trustee, with respect to any series of debt securities, in the prospectus supplement relating to the applicable debt securities. You should note that if the trustee becomes a creditor of us,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law governing the indenture and the debt securities will be identified in the prospectus supplement relating to the applicable indenture and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rom835559_13"/>
      <w:bookmarkEnd w:id="29"/>
      <w:r>
        <w:rPr>
          <w:rFonts w:ascii="Times New Roman" w:hAnsi="Times New Roman"/>
          <w:b/>
          <w:sz w:val="20"/>
        </w:rPr>
        <w:t xml:space="preserve">DESCRIPTION OF OUR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the units that we may offer under this prospectus. Units may be offered independently or together with one or more of the securities that may be offered under this prospectus, in any combination,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into the registration statement of which this prospectus forms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comprised of one or more of the securities that may be offered under this prospectus.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units,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obligations of the unit agent,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that differ from those described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in this section, as well as those described under “Description of Our Common Stock,” “Description of our Preferred Stock,” “Description of Our Debt Securities” and “Description of Our Warrants,” will apply to each unit and to any common stock, preferred stock, debt securities or warrants included in each unit,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numerous distinct series as we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rom835559_14"/>
      <w:bookmarkEnd w:id="3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an Internet website at www.sec.gov that contains reports, proxy and information statements, and other information regarding issuers that file electronically with the SEC. Our reports on Forms 10-K, 10-Q and 8-K, and amendments to those reports, are also available for download, free of charge, as soon as reasonably practicable after these reports are filed with, or furnished to, the SEC, at our website at www.invivyd.com. Information contained on or accessible through our website is not a part of this prospectus or any prospectus supplement, and the inclusion of our website address in this prospectus is an inactive textual reference only. </w:t>
      </w:r>
    </w:p>
    <w:p>
      <w:pPr>
        <w:pStyle w:val="TextBody"/>
        <w:bidi w:val="0"/>
        <w:spacing w:before="480" w:after="0"/>
        <w:jc w:val="center"/>
        <w:rPr>
          <w:rFonts w:ascii="Times New Roman" w:hAnsi="Times New Roman"/>
          <w:b/>
          <w:sz w:val="20"/>
        </w:rPr>
      </w:pPr>
      <w:bookmarkStart w:id="31" w:name="rom835559_15"/>
      <w:bookmarkEnd w:id="31"/>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in other documents that we file with it. This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 We incorporate by reference in this prospectus (i) the documents listed below, (ii) all documents that we file with the SEC under Section 13(a), 13(c), 14 or 15(d) of the Exchange Act after the date of the initial filing of the registration statement of which this prospectus is included and prior to the effectiveness of such registration statement, and (iii) and any future filings that we may make with the SEC under Sections 13(a), 13(c), 14, or 15(d) of the Exchange Act prior to the termination of the offering under this prospectus; provided, however, that we are not incorporating, in each case, any documents or information deemed to have been furnished and not filed, including any information that we disclose under Items 2.02 or 7.01 of any Current Report on Form 8-K,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9">
              <w:r>
                <w:rPr>
                  <w:rStyle w:val="InternetLink"/>
                  <w:rFonts w:ascii="Times New Roman" w:hAnsi="Times New Roman"/>
                  <w:sz w:val="20"/>
                </w:rPr>
                <w:t>Form 10-K</w:t>
              </w:r>
            </w:hyperlink>
            <w:r>
              <w:rPr>
                <w:rFonts w:ascii="Times New Roman" w:hAnsi="Times New Roman"/>
                <w:sz w:val="20"/>
              </w:rPr>
              <w:t xml:space="preserve"> for the fiscal year ended December 31, 2021, filed with the SEC on March  31, 2022 (as amended by the Annual Report on </w:t>
            </w:r>
            <w:hyperlink r:id="rId30">
              <w:r>
                <w:rPr>
                  <w:rStyle w:val="InternetLink"/>
                  <w:rFonts w:ascii="Times New Roman" w:hAnsi="Times New Roman"/>
                  <w:sz w:val="20"/>
                </w:rPr>
                <w:t>Form 10-K/A</w:t>
              </w:r>
            </w:hyperlink>
            <w:r>
              <w:rPr>
                <w:rFonts w:ascii="Times New Roman" w:hAnsi="Times New Roman"/>
                <w:sz w:val="20"/>
              </w:rPr>
              <w:t xml:space="preserve"> filed on April 29,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2022 and June 30, 2022, filed with the SEC on </w:t>
            </w:r>
            <w:hyperlink r:id="rId31">
              <w:r>
                <w:rPr>
                  <w:rStyle w:val="InternetLink"/>
                  <w:rFonts w:ascii="Times New Roman" w:hAnsi="Times New Roman"/>
                  <w:sz w:val="20"/>
                </w:rPr>
                <w:t>May  13, 2022</w:t>
              </w:r>
            </w:hyperlink>
            <w:r>
              <w:rPr>
                <w:rFonts w:ascii="Times New Roman" w:hAnsi="Times New Roman"/>
                <w:sz w:val="20"/>
              </w:rPr>
              <w:t xml:space="preserve"> and </w:t>
            </w:r>
            <w:hyperlink r:id="rId32">
              <w:r>
                <w:rPr>
                  <w:rStyle w:val="InternetLink"/>
                  <w:rFonts w:ascii="Times New Roman" w:hAnsi="Times New Roman"/>
                  <w:sz w:val="20"/>
                </w:rPr>
                <w:t>August 15, 2022</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our Current Reports on Form 8-K (other than the portions thereof that are furnished and not filed) as filed with the SEC on </w:t>
            </w:r>
            <w:hyperlink r:id="rId33">
              <w:r>
                <w:rPr>
                  <w:rStyle w:val="InternetLink"/>
                  <w:rFonts w:ascii="Times New Roman" w:hAnsi="Times New Roman"/>
                  <w:sz w:val="20"/>
                </w:rPr>
                <w:t>January 13, 2022,</w:t>
              </w:r>
            </w:hyperlink>
            <w:r>
              <w:rPr>
                <w:rFonts w:ascii="Times New Roman" w:hAnsi="Times New Roman"/>
                <w:sz w:val="20"/>
              </w:rPr>
              <w:t xml:space="preserve">  </w:t>
            </w:r>
            <w:hyperlink r:id="rId34">
              <w:r>
                <w:rPr>
                  <w:rStyle w:val="InternetLink"/>
                  <w:rFonts w:ascii="Times New Roman" w:hAnsi="Times New Roman"/>
                  <w:sz w:val="20"/>
                </w:rPr>
                <w:t>February 18, 2022,</w:t>
              </w:r>
            </w:hyperlink>
            <w:r>
              <w:rPr>
                <w:rFonts w:ascii="Times New Roman" w:hAnsi="Times New Roman"/>
                <w:sz w:val="20"/>
              </w:rPr>
              <w:t xml:space="preserve">  </w:t>
            </w:r>
            <w:hyperlink r:id="rId35">
              <w:r>
                <w:rPr>
                  <w:rStyle w:val="InternetLink"/>
                  <w:rFonts w:ascii="Times New Roman" w:hAnsi="Times New Roman"/>
                  <w:sz w:val="20"/>
                </w:rPr>
                <w:t>February 22, 2022,</w:t>
              </w:r>
            </w:hyperlink>
            <w:r>
              <w:rPr>
                <w:rFonts w:ascii="Times New Roman" w:hAnsi="Times New Roman"/>
                <w:sz w:val="20"/>
              </w:rPr>
              <w:t xml:space="preserve">  </w:t>
            </w:r>
            <w:hyperlink r:id="rId36">
              <w:r>
                <w:rPr>
                  <w:rStyle w:val="InternetLink"/>
                  <w:rFonts w:ascii="Times New Roman" w:hAnsi="Times New Roman"/>
                  <w:sz w:val="20"/>
                </w:rPr>
                <w:t>February 23, 2022</w:t>
              </w:r>
            </w:hyperlink>
            <w:r>
              <w:rPr>
                <w:rFonts w:ascii="Times New Roman" w:hAnsi="Times New Roman"/>
                <w:sz w:val="20"/>
              </w:rPr>
              <w:t> (as amended by the Current Report on Form 8-K/A filed on </w:t>
            </w:r>
            <w:hyperlink r:id="rId37">
              <w:r>
                <w:rPr>
                  <w:rStyle w:val="InternetLink"/>
                  <w:rFonts w:ascii="Times New Roman" w:hAnsi="Times New Roman"/>
                  <w:sz w:val="20"/>
                </w:rPr>
                <w:t>March 21, 2022</w:t>
              </w:r>
            </w:hyperlink>
            <w:r>
              <w:rPr>
                <w:rFonts w:ascii="Times New Roman" w:hAnsi="Times New Roman"/>
                <w:sz w:val="20"/>
              </w:rPr>
              <w:t xml:space="preserve">),  </w:t>
            </w:r>
            <w:hyperlink r:id="rId38">
              <w:r>
                <w:rPr>
                  <w:rStyle w:val="InternetLink"/>
                  <w:rFonts w:ascii="Times New Roman" w:hAnsi="Times New Roman"/>
                  <w:sz w:val="20"/>
                </w:rPr>
                <w:t>March  1, 2022</w:t>
              </w:r>
            </w:hyperlink>
            <w:r>
              <w:rPr>
                <w:rFonts w:ascii="Times New Roman" w:hAnsi="Times New Roman"/>
                <w:sz w:val="20"/>
              </w:rPr>
              <w:t xml:space="preserve">, </w:t>
            </w:r>
            <w:hyperlink r:id="rId39">
              <w:r>
                <w:rPr>
                  <w:rStyle w:val="InternetLink"/>
                  <w:rFonts w:ascii="Times New Roman" w:hAnsi="Times New Roman"/>
                  <w:sz w:val="20"/>
                </w:rPr>
                <w:t>March  21, 2022</w:t>
              </w:r>
            </w:hyperlink>
            <w:r>
              <w:rPr>
                <w:rFonts w:ascii="Times New Roman" w:hAnsi="Times New Roman"/>
                <w:sz w:val="20"/>
              </w:rPr>
              <w:t xml:space="preserve">, </w:t>
            </w:r>
            <w:hyperlink r:id="rId40">
              <w:r>
                <w:rPr>
                  <w:rStyle w:val="InternetLink"/>
                  <w:rFonts w:ascii="Times New Roman" w:hAnsi="Times New Roman"/>
                  <w:sz w:val="20"/>
                </w:rPr>
                <w:t>May  19, 2022</w:t>
              </w:r>
            </w:hyperlink>
            <w:r>
              <w:rPr>
                <w:rFonts w:ascii="Times New Roman" w:hAnsi="Times New Roman"/>
                <w:sz w:val="20"/>
              </w:rPr>
              <w:t xml:space="preserve">, </w:t>
            </w:r>
            <w:hyperlink r:id="rId41">
              <w:r>
                <w:rPr>
                  <w:rStyle w:val="InternetLink"/>
                  <w:rFonts w:ascii="Times New Roman" w:hAnsi="Times New Roman"/>
                  <w:sz w:val="20"/>
                </w:rPr>
                <w:t>June  21, 2022</w:t>
              </w:r>
            </w:hyperlink>
            <w:r>
              <w:rPr>
                <w:rFonts w:ascii="Times New Roman" w:hAnsi="Times New Roman"/>
                <w:sz w:val="20"/>
              </w:rPr>
              <w:t xml:space="preserve">, </w:t>
            </w:r>
            <w:hyperlink r:id="rId42">
              <w:r>
                <w:rPr>
                  <w:rStyle w:val="InternetLink"/>
                  <w:rFonts w:ascii="Times New Roman" w:hAnsi="Times New Roman"/>
                  <w:sz w:val="20"/>
                </w:rPr>
                <w:t>June  22, 2022</w:t>
              </w:r>
            </w:hyperlink>
            <w:r>
              <w:rPr>
                <w:rFonts w:ascii="Times New Roman" w:hAnsi="Times New Roman"/>
                <w:sz w:val="20"/>
              </w:rPr>
              <w:t xml:space="preserve">, </w:t>
            </w:r>
            <w:hyperlink r:id="rId43">
              <w:r>
                <w:rPr>
                  <w:rStyle w:val="InternetLink"/>
                  <w:rFonts w:ascii="Times New Roman" w:hAnsi="Times New Roman"/>
                  <w:sz w:val="20"/>
                </w:rPr>
                <w:t>June  30, 2022</w:t>
              </w:r>
            </w:hyperlink>
            <w:r>
              <w:rPr>
                <w:rFonts w:ascii="Times New Roman" w:hAnsi="Times New Roman"/>
                <w:sz w:val="20"/>
              </w:rPr>
              <w:t xml:space="preserve">, </w:t>
            </w:r>
            <w:hyperlink r:id="rId44">
              <w:r>
                <w:rPr>
                  <w:rStyle w:val="InternetLink"/>
                  <w:rFonts w:ascii="Times New Roman" w:hAnsi="Times New Roman"/>
                  <w:sz w:val="20"/>
                </w:rPr>
                <w:t>July  5, 2022</w:t>
              </w:r>
            </w:hyperlink>
            <w:r>
              <w:rPr>
                <w:rFonts w:ascii="Times New Roman" w:hAnsi="Times New Roman"/>
                <w:sz w:val="20"/>
              </w:rPr>
              <w:t xml:space="preserve">, </w:t>
            </w:r>
            <w:hyperlink r:id="rId45">
              <w:r>
                <w:rPr>
                  <w:rStyle w:val="InternetLink"/>
                  <w:rFonts w:ascii="Times New Roman" w:hAnsi="Times New Roman"/>
                  <w:sz w:val="20"/>
                </w:rPr>
                <w:t>September  12, 2022</w:t>
              </w:r>
            </w:hyperlink>
            <w:r>
              <w:rPr>
                <w:rFonts w:ascii="Times New Roman" w:hAnsi="Times New Roman"/>
                <w:sz w:val="20"/>
              </w:rPr>
              <w:t xml:space="preserve"> and </w:t>
            </w:r>
            <w:hyperlink r:id="rId46">
              <w:r>
                <w:rPr>
                  <w:rStyle w:val="InternetLink"/>
                  <w:rFonts w:ascii="Times New Roman" w:hAnsi="Times New Roman"/>
                  <w:sz w:val="20"/>
                </w:rPr>
                <w:t>September 13, 2022</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47">
              <w:r>
                <w:rPr>
                  <w:rStyle w:val="InternetLink"/>
                  <w:rFonts w:ascii="Times New Roman" w:hAnsi="Times New Roman"/>
                  <w:sz w:val="20"/>
                </w:rPr>
                <w:t>Form 8-A</w:t>
              </w:r>
            </w:hyperlink>
            <w:r>
              <w:rPr>
                <w:rFonts w:ascii="Times New Roman" w:hAnsi="Times New Roman"/>
                <w:sz w:val="20"/>
              </w:rPr>
              <w:t xml:space="preserve"> filed on August 3, 2021, as updated by </w:t>
            </w:r>
            <w:hyperlink r:id="rId48">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2021,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orally or in writing, a copy of any or all of the documents incorporated herein by reference. These documents will be provided to you at no cost, by contacting: Invivyd, Inc., Corporate Secretary, at 1601 Trapelo Road, Suite 178, Waltham, MA 02451 or (781) 819-0080. In addition, copies of any or all of the documents incorporated herein by reference may be accessed at our website at www.invivyd.com. The information on such website is not incorporated by reference and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rom835559_16"/>
      <w:bookmarkEnd w:id="3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the securities offered hereby will be passed upon for us by Hogan Lovells US LLP, Philadelphia, Pennsylvania. As appropriate, legal counsel representing the underwriters, dealers or agents will be named in the accompanying prospectus supplement and may opine to certain legal matters. </w:t>
      </w:r>
    </w:p>
    <w:p>
      <w:pPr>
        <w:pStyle w:val="TextBody"/>
        <w:bidi w:val="0"/>
        <w:spacing w:before="480" w:after="0"/>
        <w:jc w:val="center"/>
        <w:rPr>
          <w:rFonts w:ascii="Times New Roman" w:hAnsi="Times New Roman"/>
          <w:b/>
          <w:sz w:val="20"/>
        </w:rPr>
      </w:pPr>
      <w:bookmarkStart w:id="33" w:name="rom835559_17"/>
      <w:bookmarkEnd w:id="3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908300" cy="469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9"/>
                    <a:stretch>
                      <a:fillRect/>
                    </a:stretch>
                  </pic:blipFill>
                  <pic:spPr bwMode="auto">
                    <a:xfrm>
                      <a:off x="0" y="0"/>
                      <a:ext cx="2908300" cy="469900"/>
                    </a:xfrm>
                    <a:prstGeom prst="rect">
                      <a:avLst/>
                    </a:prstGeom>
                  </pic:spPr>
                </pic:pic>
              </a:graphicData>
            </a:graphic>
          </wp:inline>
        </w:drawing>
      </w:r>
      <w:r>
        <w:rPr/>
        <w:t xml:space="preserve"> </w:t>
      </w:r>
    </w:p>
    <w:p>
      <w:pPr>
        <w:pStyle w:val="TextBody"/>
        <w:bidi w:val="0"/>
        <w:spacing w:before="240" w:after="0"/>
        <w:jc w:val="center"/>
        <w:rPr/>
      </w:pPr>
      <w:r>
        <w:rPr/>
        <w:t xml:space="preserve">    </w:t>
      </w:r>
      <w:r>
        <w:rPr>
          <w:rFonts w:ascii="Times New Roman" w:hAnsi="Times New Roman"/>
          <w:b/>
          <w:sz w:val="28"/>
        </w:rPr>
        <w:t xml:space="preserve">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440" w:after="0"/>
        <w:jc w:val="center"/>
        <w:rPr>
          <w:rFonts w:ascii="Times New Roman" w:hAnsi="Times New Roman"/>
          <w:b/>
          <w:i/>
          <w:sz w:val="24"/>
        </w:rPr>
      </w:pPr>
      <w:r>
        <w:rPr>
          <w:rFonts w:ascii="Times New Roman" w:hAnsi="Times New Roman"/>
          <w:b/>
          <w:i/>
          <w:sz w:val="24"/>
        </w:rPr>
        <w:t xml:space="preserve">Sole Book-Running Manager </w:t>
      </w:r>
    </w:p>
    <w:p>
      <w:pPr>
        <w:pStyle w:val="TextBody"/>
        <w:bidi w:val="0"/>
        <w:spacing w:before="240" w:after="0"/>
        <w:jc w:val="center"/>
        <w:rPr>
          <w:rFonts w:ascii="Times New Roman" w:hAnsi="Times New Roman"/>
          <w:b/>
          <w:sz w:val="32"/>
        </w:rPr>
      </w:pPr>
      <w:r>
        <w:rPr>
          <w:rFonts w:ascii="Times New Roman" w:hAnsi="Times New Roman"/>
          <w:b/>
          <w:sz w:val="32"/>
        </w:rPr>
        <w:t xml:space="preserve">Cantor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pPr>
      <w:r>
        <w:rPr/>
        <w:t>    </w:t>
      </w:r>
      <w:r>
        <w:rPr>
          <w:rFonts w:ascii="Times New Roman" w:hAnsi="Times New Roman"/>
          <w:b/>
          <w:sz w:val="20"/>
        </w:rPr>
        <w:t xml:space="preserve">,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32038/000095017025042332/ivvd-20241231.htm" TargetMode="External"/><Relationship Id="rId4" Type="http://schemas.openxmlformats.org/officeDocument/2006/relationships/hyperlink" Target="http://www.sec.gov/Archives/edgar/data/../../../ix?doc=/Archives/edgar/data/0001832038/000095017025051587/ivvd-20250407.htm" TargetMode="External"/><Relationship Id="rId5" Type="http://schemas.openxmlformats.org/officeDocument/2006/relationships/hyperlink" Target="http://www.sec.gov/Archives/edgar/data/../../../ix?doc=/Archives/edgar/data/0001832038/000095017025071974/ivvd-20250331.htm" TargetMode="External"/><Relationship Id="rId6" Type="http://schemas.openxmlformats.org/officeDocument/2006/relationships/hyperlink" Target="http://www.sec.gov/Archives/edgar/data/../../../ix?doc=/Archives/edgar/data/1832038/000095017025109029/ivvd-20250630.htm" TargetMode="External"/><Relationship Id="rId7" Type="http://schemas.openxmlformats.org/officeDocument/2006/relationships/hyperlink" Target="http://www.sec.gov/Archives/edgar/data/../../../ix?doc=/Archives/edgar/data/0001832038/000095017025003781/ivvd-20250110.htm" TargetMode="External"/><Relationship Id="rId8" Type="http://schemas.openxmlformats.org/officeDocument/2006/relationships/hyperlink" Target="http://www.sec.gov/Archives/edgar/data/../../../ix?doc=/Archives/edgar/data/0001832038/000095017025008995/ivvd-20250127.htm" TargetMode="External"/><Relationship Id="rId9" Type="http://schemas.openxmlformats.org/officeDocument/2006/relationships/hyperlink" Target="http://www.sec.gov/Archives/edgar/data/../../../ix?doc=/Archives/edgar/data/0001832038/000095017025012018/ivvd-20250203.htm" TargetMode="External"/><Relationship Id="rId10" Type="http://schemas.openxmlformats.org/officeDocument/2006/relationships/hyperlink" Target="http://www.sec.gov/Archives/edgar/data/../../../ix?doc=/Archives/edgar/data/0001832038/000095017025025227/ivvd-20250221.htm" TargetMode="External"/><Relationship Id="rId11" Type="http://schemas.openxmlformats.org/officeDocument/2006/relationships/hyperlink" Target="http://www.sec.gov/Archives/edgar/data/../../../ix?doc=/Archives/edgar/data/0001832038/000095017025033068/ivvd-20250305.htm" TargetMode="External"/><Relationship Id="rId12" Type="http://schemas.openxmlformats.org/officeDocument/2006/relationships/hyperlink" Target="http://www.sec.gov/Archives/edgar/data/../../../ix?doc=/Archives/edgar/data/0001832038/000095017025045302/ivvd-20250322.htm" TargetMode="External"/><Relationship Id="rId13" Type="http://schemas.openxmlformats.org/officeDocument/2006/relationships/hyperlink" Target="http://www.sec.gov/Archives/edgar/data/../../../ix?doc=/Archives/edgar/data/0001832038/000095017025056005/ivvd-20250418.htm" TargetMode="External"/><Relationship Id="rId14" Type="http://schemas.openxmlformats.org/officeDocument/2006/relationships/hyperlink" Target="http://www.sec.gov/Archives/edgar/data/../../../ix?doc=/Archives/edgar/data/0001832038/000095017025058705/ivvd-20250421.htm" TargetMode="External"/><Relationship Id="rId15" Type="http://schemas.openxmlformats.org/officeDocument/2006/relationships/hyperlink" Target="http://www.sec.gov/Archives/edgar/data/../../../ix?doc=/Archives/edgar/data/0001832038/000095017025068543/ivvd-20250512.htm" TargetMode="External"/><Relationship Id="rId16" Type="http://schemas.openxmlformats.org/officeDocument/2006/relationships/hyperlink" Target="http://www.sec.gov/Archives/edgar/data/../../../ix?doc=/Archives/edgar/data/0001832038/000119312525120261/d66861d8k.htm" TargetMode="External"/><Relationship Id="rId17" Type="http://schemas.openxmlformats.org/officeDocument/2006/relationships/hyperlink" Target="http://www.sec.gov/Archives/edgar/data/../../../ix?doc=/Archives/edgar/data/0001832038/000095017025075199/ivvd-20250520.htm" TargetMode="External"/><Relationship Id="rId18" Type="http://schemas.openxmlformats.org/officeDocument/2006/relationships/hyperlink" Target="http://www.sec.gov/Archives/edgar/data/../../../ix?doc=/Archives/edgar/data/0001832038/000095017025090172/ivvd-20250626.htm" TargetMode="External"/><Relationship Id="rId19" Type="http://schemas.openxmlformats.org/officeDocument/2006/relationships/hyperlink" Target="http://www.sec.gov/Archives/edgar/data/../../../ix?doc=/Archives/edgar/data/0001832038/000095017025092528/ivvd-20250702.htm" TargetMode="External"/><Relationship Id="rId20" Type="http://schemas.openxmlformats.org/officeDocument/2006/relationships/hyperlink" Target="http://www.sec.gov/Archives/edgar/data/../../../ix?doc=/Archives/edgar/data/0001832038/000119312525180890/d936404d8k.htm" TargetMode="External"/><Relationship Id="rId21" Type="http://schemas.openxmlformats.org/officeDocument/2006/relationships/hyperlink" Target="http://www.sec.gov/Archives/edgar/data/../../../ix?doc=/Archives/edgar/data/0001832038/000095017025110952/ivvd-20250820.htm" TargetMode="External"/><Relationship Id="rId22" Type="http://schemas.openxmlformats.org/officeDocument/2006/relationships/hyperlink" Target="http://www.sec.gov/Archives/edgar/data/../../../ix?doc=/Archives/edgar/data/0001832038/000119312525215541/ivvd-20250922.htm" TargetMode="External"/><Relationship Id="rId23" Type="http://schemas.openxmlformats.org/officeDocument/2006/relationships/hyperlink" Target="http://www.sec.gov/Archives/edgar/data/../../../ix?doc=/Archives/edgar/data/0001832038/000119312525230898/ivvd-20251006.htm" TargetMode="External"/><Relationship Id="rId24" Type="http://schemas.openxmlformats.org/officeDocument/2006/relationships/hyperlink" Target="http://www.sec.gov/Archives/edgar/data/../../../ix?doc=/Archives/edgar/data/0001832038/000119312525258526/d24723d8k.htm" TargetMode="External"/><Relationship Id="rId25" Type="http://schemas.openxmlformats.org/officeDocument/2006/relationships/hyperlink" Target="http://www.sec.gov/Archives/edgar/data/../../../ix?doc=/Archives/edgar/data/0001832038/000119312525268057/d81968d8k.htm" TargetMode="External"/><Relationship Id="rId26" Type="http://schemas.openxmlformats.org/officeDocument/2006/relationships/hyperlink" Target="http://www.sec.gov/Archives/edgar/data/1832038/000119312521233921/d109461d8a12b.htm" TargetMode="External"/><Relationship Id="rId27" Type="http://schemas.openxmlformats.org/officeDocument/2006/relationships/hyperlink" Target="http://www.sec.gov/Archives/edgar/data/1832038/000095017024037610/ivvd-ex4_2.htm" TargetMode="External"/><Relationship Id="rId28" Type="http://schemas.openxmlformats.org/officeDocument/2006/relationships/image" Target="media/image2.jpeg"/><Relationship Id="rId29" Type="http://schemas.openxmlformats.org/officeDocument/2006/relationships/hyperlink" Target="http://www.sec.gov/Archives/edgar/data/../../../ix?doc=/Archives/edgar/data/1832038/000095017022005112/adgi-20211231.htm" TargetMode="External"/><Relationship Id="rId30" Type="http://schemas.openxmlformats.org/officeDocument/2006/relationships/hyperlink" Target="http://www.sec.gov/Archives/edgar/data/../../../ix?doc=/Archives/edgar/data/1832038/000119312522134035/d304392d10ka.htm" TargetMode="External"/><Relationship Id="rId31" Type="http://schemas.openxmlformats.org/officeDocument/2006/relationships/hyperlink" Target="http://www.sec.gov/Archives/edgar/data/../../../ix?doc=/Archives/edgar/data/1832038/000095017022009799/adgi-20220331.htm" TargetMode="External"/><Relationship Id="rId32" Type="http://schemas.openxmlformats.org/officeDocument/2006/relationships/hyperlink" Target="http://www.sec.gov/Archives/edgar/data/../../../ix?doc=/Archives/edgar/data/1832038/000095017022017242/adgi-20220630.htm" TargetMode="External"/><Relationship Id="rId33" Type="http://schemas.openxmlformats.org/officeDocument/2006/relationships/hyperlink" Target="http://www.sec.gov/Archives/edgar/data/../../../ix?doc=/Archives/edgar/data/1832038/000119312522008197/d277827d8k.htm" TargetMode="External"/><Relationship Id="rId34" Type="http://schemas.openxmlformats.org/officeDocument/2006/relationships/hyperlink" Target="http://www.sec.gov/Archives/edgar/data/../../../ix?doc=/Archives/edgar/data/1832038/000119312522046765/d290085d8k.htm" TargetMode="External"/><Relationship Id="rId35" Type="http://schemas.openxmlformats.org/officeDocument/2006/relationships/hyperlink" Target="http://www.sec.gov/Archives/edgar/data/../../../ix?doc=/Archives/edgar/data/1832038/000119312522047719/d279370d8k.htm" TargetMode="External"/><Relationship Id="rId36" Type="http://schemas.openxmlformats.org/officeDocument/2006/relationships/hyperlink" Target="http://www.sec.gov/Archives/edgar/data/../../../ix?doc=/Archives/edgar/data/1832038/000119312522050174/d267907d8k.htm" TargetMode="External"/><Relationship Id="rId37" Type="http://schemas.openxmlformats.org/officeDocument/2006/relationships/hyperlink" Target="http://www.sec.gov/Archives/edgar/data/../../../ix?doc=/Archives/edgar/data/1832038/000119312522079997/d285779d8ka.htm" TargetMode="External"/><Relationship Id="rId38" Type="http://schemas.openxmlformats.org/officeDocument/2006/relationships/hyperlink" Target="http://www.sec.gov/Archives/edgar/data/../../../ix?doc=/Archives/edgar/data/1832038/000119312522061608/d656486d8k.htm" TargetMode="External"/><Relationship Id="rId39" Type="http://schemas.openxmlformats.org/officeDocument/2006/relationships/hyperlink" Target="http://www.sec.gov/Archives/edgar/data/../../../ix?doc=/Archives/edgar/data/1832038/000119312522080001/d325521d8k.htm" TargetMode="External"/><Relationship Id="rId40" Type="http://schemas.openxmlformats.org/officeDocument/2006/relationships/hyperlink" Target="http://www.sec.gov/Archives/edgar/data/../../../ix?doc=/Archives/edgar/data/1832038/000119312522155156/d160348d8k.htm" TargetMode="External"/><Relationship Id="rId41" Type="http://schemas.openxmlformats.org/officeDocument/2006/relationships/hyperlink" Target="http://www.sec.gov/Archives/edgar/data/../../../ix?doc=/Archives/edgar/data/1832038/000119312522177777/d330381d8k.htm" TargetMode="External"/><Relationship Id="rId42" Type="http://schemas.openxmlformats.org/officeDocument/2006/relationships/hyperlink" Target="http://www.sec.gov/Archives/edgar/data/../../../ix?doc=/Archives/edgar/data/1832038/000119312522178882/d695366d8k.htm" TargetMode="External"/><Relationship Id="rId43" Type="http://schemas.openxmlformats.org/officeDocument/2006/relationships/hyperlink" Target="http://www.sec.gov/Archives/edgar/data/../../../ix?doc=/Archives/edgar/data/1832038/000119312522186218/d360034d8k.htm" TargetMode="External"/><Relationship Id="rId44" Type="http://schemas.openxmlformats.org/officeDocument/2006/relationships/hyperlink" Target="http://www.sec.gov/Archives/edgar/data/../../../ix?doc=/Archives/edgar/data/1832038/000119312522187977/d304609d8k.htm" TargetMode="External"/><Relationship Id="rId45" Type="http://schemas.openxmlformats.org/officeDocument/2006/relationships/hyperlink" Target="http://www.sec.gov/Archives/edgar/data/../../../ix?doc=/Archives/edgar/data/1832038/000119312522242433/d382910d8k.htm" TargetMode="External"/><Relationship Id="rId46" Type="http://schemas.openxmlformats.org/officeDocument/2006/relationships/hyperlink" Target="http://www.sec.gov/Archives/edgar/data/../../../ix?doc=/Archives/edgar/data/1832038/000119312522243285/d388436d8k.htm" TargetMode="External"/><Relationship Id="rId47" Type="http://schemas.openxmlformats.org/officeDocument/2006/relationships/hyperlink" Target="http://www.sec.gov/Archives/edgar/data/1832038/000119312521233921/d109461d8a12b.htm" TargetMode="External"/><Relationship Id="rId48" Type="http://schemas.openxmlformats.org/officeDocument/2006/relationships/hyperlink" Target="http://www.sec.gov/Archives/edgar/data/1832038/000095017022005112/adgi-ex4_2.htm" TargetMode="External"/><Relationship Id="rId49" Type="http://schemas.openxmlformats.org/officeDocument/2006/relationships/image" Target="media/image1.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85</Pages>
  <Words>33038</Words>
  <Characters>175502</Characters>
  <CharactersWithSpaces>209438</CharactersWithSpaces>
  <Paragraphs>2237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