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Invivyd, Inc.</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(f/k/a Adagio Therapeutics, Inc.)</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58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65" w:lineRule="exact"/>
        <w:rPr>
          <w:sz w:val="24"/>
          <w:szCs w:val="24"/>
          <w:color w:val="auto"/>
        </w:rPr>
      </w:pPr>
    </w:p>
    <w:p>
      <w:pPr>
        <w:ind w:left="580" w:right="20" w:hanging="567"/>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180"/>
              <w:spacing w:after="0"/>
              <w:rPr>
                <w:sz w:val="20"/>
                <w:szCs w:val="20"/>
                <w:color w:val="auto"/>
              </w:rPr>
            </w:pPr>
            <w:r>
              <w:rPr>
                <w:rFonts w:ascii="Times New Roman" w:cs="Times New Roman" w:eastAsia="Times New Roman" w:hAnsi="Times New Roman"/>
                <w:sz w:val="18"/>
                <w:szCs w:val="18"/>
                <w:color w:val="auto"/>
                <w:w w:val="94"/>
              </w:rPr>
              <w:t>Page 2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GV 2019, L.P.</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left w:val="single" w:sz="8" w:color="auto"/>
              <w:bottom w:val="single" w:sz="8" w:color="auto"/>
              <w:right w:val="single" w:sz="8" w:color="auto"/>
            </w:tcBorders>
            <w:gridSpan w:val="4"/>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60" w:hanging="65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based on an aggregate total of 119,442,635 shares of the Issuer’s Common Stock outstanding as of August 1, 2024 as reported by the Issuer in its Quarterly Report for the period ended June 30, 2024, filed on Form 10-Q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180"/>
              <w:spacing w:after="0"/>
              <w:rPr>
                <w:sz w:val="20"/>
                <w:szCs w:val="20"/>
                <w:color w:val="auto"/>
              </w:rPr>
            </w:pPr>
            <w:r>
              <w:rPr>
                <w:rFonts w:ascii="Times New Roman" w:cs="Times New Roman" w:eastAsia="Times New Roman" w:hAnsi="Times New Roman"/>
                <w:sz w:val="18"/>
                <w:szCs w:val="18"/>
                <w:color w:val="auto"/>
                <w:w w:val="94"/>
              </w:rPr>
              <w:t>Page 3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GV 2019 GP, L.P.</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on Form 10-Q with the SEC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rPr>
              <w:t>CUSIP No. 00534A102</w:t>
            </w:r>
          </w:p>
        </w:tc>
        <w:tc>
          <w:tcPr>
            <w:tcW w:w="8940" w:type="dxa"/>
            <w:vAlign w:val="bottom"/>
          </w:tcPr>
          <w:p>
            <w:pPr>
              <w:ind w:left="8040"/>
              <w:spacing w:after="0"/>
              <w:rPr>
                <w:sz w:val="20"/>
                <w:szCs w:val="20"/>
                <w:color w:val="auto"/>
              </w:rPr>
            </w:pPr>
            <w:r>
              <w:rPr>
                <w:rFonts w:ascii="Times New Roman" w:cs="Times New Roman" w:eastAsia="Times New Roman" w:hAnsi="Times New Roman"/>
                <w:sz w:val="18"/>
                <w:szCs w:val="18"/>
                <w:color w:val="auto"/>
                <w:w w:val="94"/>
              </w:rPr>
              <w:t>Page 4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GV 2019 GP, L.L.C.</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0"/>
                <w:szCs w:val="10"/>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on Form 10-Q with the SEC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180"/>
              <w:spacing w:after="0"/>
              <w:rPr>
                <w:sz w:val="20"/>
                <w:szCs w:val="20"/>
                <w:color w:val="auto"/>
              </w:rPr>
            </w:pPr>
            <w:r>
              <w:rPr>
                <w:rFonts w:ascii="Times New Roman" w:cs="Times New Roman" w:eastAsia="Times New Roman" w:hAnsi="Times New Roman"/>
                <w:sz w:val="18"/>
                <w:szCs w:val="18"/>
                <w:color w:val="auto"/>
                <w:w w:val="94"/>
              </w:rPr>
              <w:t>Page 5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GV 2021, L.P.</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180"/>
              <w:spacing w:after="0"/>
              <w:rPr>
                <w:sz w:val="20"/>
                <w:szCs w:val="20"/>
                <w:color w:val="auto"/>
              </w:rPr>
            </w:pPr>
            <w:r>
              <w:rPr>
                <w:rFonts w:ascii="Times New Roman" w:cs="Times New Roman" w:eastAsia="Times New Roman" w:hAnsi="Times New Roman"/>
                <w:sz w:val="18"/>
                <w:szCs w:val="18"/>
                <w:color w:val="auto"/>
                <w:w w:val="94"/>
              </w:rPr>
              <w:t>Page 6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GV 2021 GP, L.P.</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on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2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rPr>
              <w:t>CUSIP No. 00534A102</w:t>
            </w:r>
          </w:p>
        </w:tc>
        <w:tc>
          <w:tcPr>
            <w:tcW w:w="8940" w:type="dxa"/>
            <w:vAlign w:val="bottom"/>
          </w:tcPr>
          <w:p>
            <w:pPr>
              <w:ind w:left="8040"/>
              <w:spacing w:after="0"/>
              <w:rPr>
                <w:sz w:val="20"/>
                <w:szCs w:val="20"/>
                <w:color w:val="auto"/>
              </w:rPr>
            </w:pPr>
            <w:r>
              <w:rPr>
                <w:rFonts w:ascii="Times New Roman" w:cs="Times New Roman" w:eastAsia="Times New Roman" w:hAnsi="Times New Roman"/>
                <w:sz w:val="18"/>
                <w:szCs w:val="18"/>
                <w:color w:val="auto"/>
                <w:w w:val="94"/>
              </w:rPr>
              <w:t>Page 7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GV 2021 GP, L.L.C.</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0"/>
                <w:szCs w:val="10"/>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on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180"/>
              <w:spacing w:after="0"/>
              <w:rPr>
                <w:sz w:val="20"/>
                <w:szCs w:val="20"/>
                <w:color w:val="auto"/>
              </w:rPr>
            </w:pPr>
            <w:r>
              <w:rPr>
                <w:rFonts w:ascii="Times New Roman" w:cs="Times New Roman" w:eastAsia="Times New Roman" w:hAnsi="Times New Roman"/>
                <w:sz w:val="18"/>
                <w:szCs w:val="18"/>
                <w:color w:val="auto"/>
                <w:w w:val="94"/>
              </w:rPr>
              <w:t>Page 8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Alphabet Holdings LLC</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on Form 10-Q with the SEC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2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rPr>
              <w:t>CUSIP No. 00534A102</w:t>
            </w:r>
          </w:p>
        </w:tc>
        <w:tc>
          <w:tcPr>
            <w:tcW w:w="8940" w:type="dxa"/>
            <w:vAlign w:val="bottom"/>
          </w:tcPr>
          <w:p>
            <w:pPr>
              <w:ind w:left="8040"/>
              <w:spacing w:after="0"/>
              <w:rPr>
                <w:sz w:val="20"/>
                <w:szCs w:val="20"/>
                <w:color w:val="auto"/>
              </w:rPr>
            </w:pPr>
            <w:r>
              <w:rPr>
                <w:rFonts w:ascii="Times New Roman" w:cs="Times New Roman" w:eastAsia="Times New Roman" w:hAnsi="Times New Roman"/>
                <w:sz w:val="18"/>
                <w:szCs w:val="18"/>
                <w:color w:val="auto"/>
                <w:w w:val="94"/>
              </w:rPr>
              <w:t>Page 9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XXVI Holdings Inc.</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0"/>
                <w:szCs w:val="10"/>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on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4"/>
        </w:trPr>
        <w:tc>
          <w:tcPr>
            <w:tcW w:w="216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rPr>
              <w:t>CUSIP No. 00534A102</w:t>
            </w:r>
          </w:p>
        </w:tc>
        <w:tc>
          <w:tcPr>
            <w:tcW w:w="9080" w:type="dxa"/>
            <w:vAlign w:val="bottom"/>
          </w:tcPr>
          <w:p>
            <w:pPr>
              <w:ind w:left="8080"/>
              <w:spacing w:after="0"/>
              <w:rPr>
                <w:sz w:val="20"/>
                <w:szCs w:val="20"/>
                <w:color w:val="auto"/>
              </w:rPr>
            </w:pPr>
            <w:r>
              <w:rPr>
                <w:rFonts w:ascii="Times New Roman" w:cs="Times New Roman" w:eastAsia="Times New Roman" w:hAnsi="Times New Roman"/>
                <w:sz w:val="18"/>
                <w:szCs w:val="18"/>
                <w:color w:val="auto"/>
                <w:w w:val="96"/>
              </w:rPr>
              <w:t>Page 10 of 16</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Alphabet Inc.</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jc w:val="right"/>
              <w:ind w:right="13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460" w:type="dxa"/>
            <w:vAlign w:val="bottom"/>
            <w:tcBorders>
              <w:left w:val="single" w:sz="8" w:color="auto"/>
            </w:tcBorders>
          </w:tcPr>
          <w:p>
            <w:pPr>
              <w:spacing w:after="0"/>
              <w:rPr>
                <w:sz w:val="6"/>
                <w:szCs w:val="6"/>
                <w:color w:val="auto"/>
              </w:rPr>
            </w:pPr>
          </w:p>
        </w:tc>
        <w:tc>
          <w:tcPr>
            <w:tcW w:w="10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left w:val="single" w:sz="8" w:color="auto"/>
            </w:tcBorders>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tcBorders>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ind w:right="310"/>
              <w:spacing w:after="0" w:line="160"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52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9"/>
                <w:szCs w:val="29"/>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6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 HC</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on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CUSIP No. 00534A102</w:t>
      </w:r>
      <w:r>
        <w:rPr>
          <w:sz w:val="20"/>
          <w:szCs w:val="20"/>
          <w:color w:val="auto"/>
        </w:rPr>
        <w:tab/>
      </w:r>
      <w:r>
        <w:rPr>
          <w:rFonts w:ascii="Times New Roman" w:cs="Times New Roman" w:eastAsia="Times New Roman" w:hAnsi="Times New Roman"/>
          <w:sz w:val="17"/>
          <w:szCs w:val="17"/>
          <w:color w:val="auto"/>
        </w:rPr>
        <w:t>Page 11 of 16</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amends the statement on Schedule 13G initially filed by the Reporting Persons (as defined in </w:t>
      </w:r>
      <w:r>
        <w:rPr>
          <w:rFonts w:ascii="Times New Roman" w:cs="Times New Roman" w:eastAsia="Times New Roman" w:hAnsi="Times New Roman"/>
          <w:sz w:val="18"/>
          <w:szCs w:val="18"/>
          <w:b w:val="1"/>
          <w:bCs w:val="1"/>
          <w:u w:val="single" w:color="auto"/>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on February 14, 2022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This Amendment is being filed to confirm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Reporting Persons have ceased to be beneficial owners of more than 5% of the registered class of the Issuer’s (defined in </w:t>
      </w:r>
      <w:r>
        <w:rPr>
          <w:rFonts w:ascii="Times New Roman" w:cs="Times New Roman" w:eastAsia="Times New Roman" w:hAnsi="Times New Roman"/>
          <w:sz w:val="18"/>
          <w:szCs w:val="18"/>
          <w:b w:val="1"/>
          <w:bCs w:val="1"/>
          <w:u w:val="single" w:color="auto"/>
          <w:color w:val="auto"/>
        </w:rPr>
        <w:t>Item 1(a)</w:t>
      </w:r>
      <w:r>
        <w:rPr>
          <w:rFonts w:ascii="Times New Roman" w:cs="Times New Roman" w:eastAsia="Times New Roman" w:hAnsi="Times New Roman"/>
          <w:sz w:val="18"/>
          <w:szCs w:val="18"/>
          <w:color w:val="auto"/>
        </w:rPr>
        <w:t xml:space="preserve"> below) equity security as of September 30, 2024.</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and formerly known as Adagio Therapeutics, Inc.)</w:t>
      </w:r>
    </w:p>
    <w:p>
      <w:pPr>
        <w:spacing w:after="0" w:line="2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Persons Filing.</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2019, L.P., a Delaware limited partnership (the “</w:t>
      </w:r>
      <w:r>
        <w:rPr>
          <w:rFonts w:ascii="Times New Roman" w:cs="Times New Roman" w:eastAsia="Times New Roman" w:hAnsi="Times New Roman"/>
          <w:sz w:val="18"/>
          <w:szCs w:val="18"/>
          <w:b w:val="1"/>
          <w:bCs w:val="1"/>
          <w:i w:val="1"/>
          <w:iCs w:val="1"/>
          <w:color w:val="auto"/>
        </w:rPr>
        <w:t>2019 Partnership</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2019 GP, L.P., a Delaware limited partnership (“</w:t>
      </w:r>
      <w:r>
        <w:rPr>
          <w:rFonts w:ascii="Times New Roman" w:cs="Times New Roman" w:eastAsia="Times New Roman" w:hAnsi="Times New Roman"/>
          <w:sz w:val="18"/>
          <w:szCs w:val="18"/>
          <w:b w:val="1"/>
          <w:bCs w:val="1"/>
          <w:i w:val="1"/>
          <w:iCs w:val="1"/>
          <w:color w:val="auto"/>
        </w:rPr>
        <w:t>2019 GP</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2019 GP, L.L.C., a Delaware limited liability company (“</w:t>
      </w:r>
      <w:r>
        <w:rPr>
          <w:rFonts w:ascii="Times New Roman" w:cs="Times New Roman" w:eastAsia="Times New Roman" w:hAnsi="Times New Roman"/>
          <w:sz w:val="18"/>
          <w:szCs w:val="18"/>
          <w:b w:val="1"/>
          <w:bCs w:val="1"/>
          <w:i w:val="1"/>
          <w:iCs w:val="1"/>
          <w:color w:val="auto"/>
        </w:rPr>
        <w:t>2019 LLC</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2021, L.P., a Delaware limited partnership (the “</w:t>
      </w:r>
      <w:r>
        <w:rPr>
          <w:rFonts w:ascii="Times New Roman" w:cs="Times New Roman" w:eastAsia="Times New Roman" w:hAnsi="Times New Roman"/>
          <w:sz w:val="18"/>
          <w:szCs w:val="18"/>
          <w:b w:val="1"/>
          <w:bCs w:val="1"/>
          <w:i w:val="1"/>
          <w:iCs w:val="1"/>
          <w:color w:val="auto"/>
        </w:rPr>
        <w:t>2021 Partnership</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2021 GP, L.P., a Delaware limited partnership (“</w:t>
      </w:r>
      <w:r>
        <w:rPr>
          <w:rFonts w:ascii="Times New Roman" w:cs="Times New Roman" w:eastAsia="Times New Roman" w:hAnsi="Times New Roman"/>
          <w:sz w:val="18"/>
          <w:szCs w:val="18"/>
          <w:b w:val="1"/>
          <w:bCs w:val="1"/>
          <w:i w:val="1"/>
          <w:iCs w:val="1"/>
          <w:color w:val="auto"/>
        </w:rPr>
        <w:t>2021 GP</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GV 2021 GP, L.L.C., a Delaware limited liability company (“</w:t>
      </w:r>
      <w:r>
        <w:rPr>
          <w:rFonts w:ascii="Times New Roman" w:cs="Times New Roman" w:eastAsia="Times New Roman" w:hAnsi="Times New Roman"/>
          <w:sz w:val="18"/>
          <w:szCs w:val="18"/>
          <w:b w:val="1"/>
          <w:bCs w:val="1"/>
          <w:i w:val="1"/>
          <w:iCs w:val="1"/>
          <w:color w:val="auto"/>
        </w:rPr>
        <w:t>2021 LLC</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Alphabet Holdings LLC, a Delaware limited liability company (“</w:t>
      </w:r>
      <w:r>
        <w:rPr>
          <w:rFonts w:ascii="Times New Roman" w:cs="Times New Roman" w:eastAsia="Times New Roman" w:hAnsi="Times New Roman"/>
          <w:sz w:val="18"/>
          <w:szCs w:val="18"/>
          <w:b w:val="1"/>
          <w:bCs w:val="1"/>
          <w:i w:val="1"/>
          <w:iCs w:val="1"/>
          <w:color w:val="auto"/>
        </w:rPr>
        <w:t>Alphabet Holdings</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XXVI Holdings Inc., a Delaware corporation (“</w:t>
      </w:r>
      <w:r>
        <w:rPr>
          <w:rFonts w:ascii="Times New Roman" w:cs="Times New Roman" w:eastAsia="Times New Roman" w:hAnsi="Times New Roman"/>
          <w:sz w:val="18"/>
          <w:szCs w:val="18"/>
          <w:b w:val="1"/>
          <w:bCs w:val="1"/>
          <w:i w:val="1"/>
          <w:iCs w:val="1"/>
          <w:color w:val="auto"/>
        </w:rPr>
        <w:t>XXVI</w:t>
      </w:r>
      <w:r>
        <w:rPr>
          <w:rFonts w:ascii="Times New Roman" w:cs="Times New Roman" w:eastAsia="Times New Roman" w:hAnsi="Times New Roman"/>
          <w:sz w:val="18"/>
          <w:szCs w:val="18"/>
          <w:color w:val="auto"/>
        </w:rPr>
        <w:t>”), and</w:t>
      </w:r>
    </w:p>
    <w:p>
      <w:pPr>
        <w:spacing w:after="0" w:line="36"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Alphabet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together with the 2019 Partnership, 2019 GP, 2019 LLC, the 2021 Partnership, 2021 GP, 2021 LLC, Alphabet Holdings, and XXVI, the “</w:t>
      </w:r>
      <w:r>
        <w:rPr>
          <w:rFonts w:ascii="Times New Roman" w:cs="Times New Roman" w:eastAsia="Times New Roman" w:hAnsi="Times New Roman"/>
          <w:sz w:val="18"/>
          <w:szCs w:val="18"/>
          <w:b w:val="1"/>
          <w:bCs w:val="1"/>
          <w:i w:val="1"/>
          <w:iCs w:val="1"/>
          <w:color w:val="auto"/>
        </w:rPr>
        <w:t>Reporting Persons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1600 Amphitheatre Parkway</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Each of the Reporting Persons is formed, organized or incorporated, as applicable, in the State of Delaware.</w:t>
      </w:r>
    </w:p>
    <w:p>
      <w:pPr>
        <w:spacing w:after="0" w:line="2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00534A102</w:t>
      </w:r>
      <w:r>
        <w:rPr>
          <w:sz w:val="20"/>
          <w:szCs w:val="20"/>
          <w:color w:val="auto"/>
        </w:rPr>
        <w:tab/>
      </w:r>
      <w:r>
        <w:rPr>
          <w:rFonts w:ascii="Times New Roman" w:cs="Times New Roman" w:eastAsia="Times New Roman" w:hAnsi="Times New Roman"/>
          <w:sz w:val="18"/>
          <w:szCs w:val="18"/>
          <w:color w:val="auto"/>
        </w:rPr>
        <w:t>Page 12 of 16</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00534A102</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§§240.13d-1(b), or 240.13d-2(b) or (c), check whether the person filing is a:</w:t>
      </w:r>
    </w:p>
    <w:p>
      <w:pPr>
        <w:spacing w:after="0" w:line="202" w:lineRule="exact"/>
        <w:rPr>
          <w:sz w:val="20"/>
          <w:szCs w:val="20"/>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9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36"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36" w:lineRule="exact"/>
        <w:rPr>
          <w:rFonts w:ascii="Times New Roman" w:cs="Times New Roman" w:eastAsia="Times New Roman" w:hAnsi="Times New Roman"/>
          <w:sz w:val="18"/>
          <w:szCs w:val="18"/>
          <w:color w:val="auto"/>
        </w:rPr>
      </w:pPr>
    </w:p>
    <w:p>
      <w:pPr>
        <w:ind w:left="2040" w:right="20" w:hanging="898"/>
        <w:spacing w:after="0" w:line="215" w:lineRule="exact"/>
        <w:tabs>
          <w:tab w:leader="none" w:pos="1716"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64" w:lineRule="exact"/>
        <w:rPr>
          <w:rFonts w:ascii="Times New Roman" w:cs="Times New Roman" w:eastAsia="Times New Roman" w:hAnsi="Times New Roman"/>
          <w:sz w:val="18"/>
          <w:szCs w:val="18"/>
          <w:color w:val="auto"/>
        </w:rPr>
      </w:pPr>
    </w:p>
    <w:p>
      <w:pPr>
        <w:ind w:left="1700" w:hanging="558"/>
        <w:spacing w:after="0" w:line="207" w:lineRule="exact"/>
        <w:tabs>
          <w:tab w:leader="none" w:pos="17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36" w:lineRule="exact"/>
        <w:rPr>
          <w:rFonts w:ascii="Times New Roman" w:cs="Times New Roman" w:eastAsia="Times New Roman" w:hAnsi="Times New Roman"/>
          <w:sz w:val="18"/>
          <w:szCs w:val="18"/>
          <w:color w:val="auto"/>
        </w:rPr>
      </w:pPr>
    </w:p>
    <w:p>
      <w:pPr>
        <w:ind w:left="170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institution:________________________________.</w:t>
      </w:r>
    </w:p>
    <w:p>
      <w:pPr>
        <w:spacing w:after="0" w:line="1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58" w:lineRule="exact"/>
        <w:rPr>
          <w:sz w:val="20"/>
          <w:szCs w:val="20"/>
          <w:color w:val="auto"/>
        </w:rPr>
      </w:pPr>
    </w:p>
    <w:p>
      <w:pPr>
        <w:ind w:left="1700" w:hanging="558"/>
        <w:spacing w:after="0"/>
        <w:tabs>
          <w:tab w:leader="none" w:pos="1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29" w:lineRule="exact"/>
        <w:rPr>
          <w:rFonts w:ascii="Times New Roman" w:cs="Times New Roman" w:eastAsia="Times New Roman" w:hAnsi="Times New Roman"/>
          <w:sz w:val="18"/>
          <w:szCs w:val="18"/>
          <w:b w:val="1"/>
          <w:bCs w:val="1"/>
          <w:color w:val="auto"/>
        </w:rPr>
      </w:pPr>
    </w:p>
    <w:p>
      <w:pPr>
        <w:ind w:left="17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2024, the Reporting Persons have ceased to be the beneficial owners of more than five percent of the Issuer’s securities.</w:t>
      </w:r>
    </w:p>
    <w:p>
      <w:pPr>
        <w:spacing w:after="0" w:line="157" w:lineRule="exact"/>
        <w:rPr>
          <w:rFonts w:ascii="Times New Roman" w:cs="Times New Roman" w:eastAsia="Times New Roman" w:hAnsi="Times New Roman"/>
          <w:sz w:val="18"/>
          <w:szCs w:val="18"/>
          <w:b w:val="1"/>
          <w:bCs w:val="1"/>
          <w:color w:val="auto"/>
        </w:rPr>
      </w:pPr>
    </w:p>
    <w:p>
      <w:pPr>
        <w:ind w:left="1700" w:hanging="558"/>
        <w:spacing w:after="0"/>
        <w:tabs>
          <w:tab w:leader="none" w:pos="1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rFonts w:ascii="Times New Roman" w:cs="Times New Roman" w:eastAsia="Times New Roman" w:hAnsi="Times New Roman"/>
          <w:sz w:val="18"/>
          <w:szCs w:val="18"/>
          <w:b w:val="1"/>
          <w:bCs w:val="1"/>
          <w:color w:val="auto"/>
        </w:rPr>
      </w:pPr>
    </w:p>
    <w:p>
      <w:pPr>
        <w:ind w:left="17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2024, the Reporting Persons were deemed to directly or indirectly beneficially own an aggregate 0.0% of the Issuer’s outstanding Common Stock.</w:t>
      </w:r>
    </w:p>
    <w:p>
      <w:pPr>
        <w:spacing w:after="0" w:line="161" w:lineRule="exact"/>
        <w:rPr>
          <w:rFonts w:ascii="Times New Roman" w:cs="Times New Roman" w:eastAsia="Times New Roman" w:hAnsi="Times New Roman"/>
          <w:sz w:val="18"/>
          <w:szCs w:val="18"/>
          <w:b w:val="1"/>
          <w:bCs w:val="1"/>
          <w:color w:val="auto"/>
        </w:rPr>
      </w:pPr>
    </w:p>
    <w:p>
      <w:pPr>
        <w:jc w:val="both"/>
        <w:ind w:left="17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percentage was calculated in accordance with Rule 13(d)-3(d)(1)(i) promulgated under the Exchange Act and based on an aggregate total of 119,442,635 shares of the Issuer’s Common Stock outstanding as of August 1, 2024 as reported by the Issuer in its Quarterly Report for the period ended June 30, 2024, filed with the SEC on Form 10-Q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00534A102</w:t>
      </w:r>
      <w:r>
        <w:rPr>
          <w:sz w:val="20"/>
          <w:szCs w:val="20"/>
          <w:color w:val="auto"/>
        </w:rPr>
        <w:tab/>
      </w:r>
      <w:r>
        <w:rPr>
          <w:rFonts w:ascii="Times New Roman" w:cs="Times New Roman" w:eastAsia="Times New Roman" w:hAnsi="Times New Roman"/>
          <w:sz w:val="18"/>
          <w:szCs w:val="18"/>
          <w:color w:val="auto"/>
        </w:rPr>
        <w:t>Page 13 of 16</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ind w:left="1700" w:hanging="558"/>
        <w:spacing w:after="0"/>
        <w:tabs>
          <w:tab w:leader="none" w:pos="1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9" w:lineRule="exact"/>
        <w:rPr>
          <w:rFonts w:ascii="Times New Roman" w:cs="Times New Roman" w:eastAsia="Times New Roman" w:hAnsi="Times New Roman"/>
          <w:sz w:val="18"/>
          <w:szCs w:val="18"/>
          <w:b w:val="1"/>
          <w:bCs w:val="1"/>
          <w:color w:val="auto"/>
        </w:rPr>
      </w:pPr>
    </w:p>
    <w:p>
      <w:pPr>
        <w:ind w:left="2260" w:hanging="565"/>
        <w:spacing w:after="0"/>
        <w:tabs>
          <w:tab w:leader="none" w:pos="2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23"/>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 Partnership</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2019 GP</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2019 LLC</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Partnership</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2021 GP</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LLC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Alphabet Holdings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XXVI</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Parent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3100" w:type="dxa"/>
        <w:tblCellMar>
          <w:top w:w="0" w:type="dxa"/>
          <w:left w:w="0" w:type="dxa"/>
          <w:bottom w:w="0" w:type="dxa"/>
          <w:right w:w="0" w:type="dxa"/>
        </w:tblCellMar>
      </w:tblPr>
      <w:tr>
        <w:trPr>
          <w:trHeight w:val="238"/>
        </w:trPr>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23"/>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 Partnership</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9"/>
                <w:szCs w:val="19"/>
                <w:color w:val="auto"/>
              </w:rPr>
            </w:pPr>
          </w:p>
        </w:tc>
      </w:tr>
      <w:tr>
        <w:trPr>
          <w:trHeight w:val="229"/>
        </w:trPr>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2019 GP</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29"/>
        </w:trPr>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2019 LLC</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30"/>
        </w:trPr>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Partnership</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29"/>
        </w:trPr>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2021 GP</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30"/>
        </w:trPr>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LLC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30"/>
        </w:trPr>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Alphabet Holdings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r>
        <w:trPr>
          <w:trHeight w:val="229"/>
        </w:trPr>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XXVI</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30"/>
        </w:trPr>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Parent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2260" w:hanging="565"/>
        <w:spacing w:after="0"/>
        <w:tabs>
          <w:tab w:leader="none" w:pos="2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100" w:type="dxa"/>
            <w:vAlign w:val="bottom"/>
          </w:tcPr>
          <w:p>
            <w:pPr>
              <w:spacing w:after="0"/>
              <w:rPr>
                <w:sz w:val="20"/>
                <w:szCs w:val="20"/>
                <w:color w:val="auto"/>
              </w:rPr>
            </w:pPr>
          </w:p>
        </w:tc>
      </w:tr>
      <w:tr>
        <w:trPr>
          <w:trHeight w:val="223"/>
        </w:trPr>
        <w:tc>
          <w:tcPr>
            <w:tcW w:w="3100" w:type="dxa"/>
            <w:vAlign w:val="bottom"/>
          </w:tcPr>
          <w:p>
            <w:pPr>
              <w:spacing w:after="0"/>
              <w:rPr>
                <w:sz w:val="19"/>
                <w:szCs w:val="19"/>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 Partnership</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2019 GP</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2019 LLC</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310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Partnership</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2021 GP</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LLC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Alphabet Holdings</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310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XXVI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Parent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675"/>
        </w:trPr>
        <w:tc>
          <w:tcPr>
            <w:tcW w:w="3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8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8"/>
              </w:rPr>
              <w:t>Page 14 of 16</w:t>
            </w:r>
          </w:p>
        </w:tc>
      </w:tr>
      <w:tr>
        <w:trPr>
          <w:trHeight w:val="43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454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23"/>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 Partnership</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2019 GP</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2019 LLC</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Partnership</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2021 GP</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2021 LLC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Alphabet Holdings</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XXVI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Parent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100" w:type="dxa"/>
            <w:vAlign w:val="bottom"/>
          </w:tcPr>
          <w:p>
            <w:pPr>
              <w:spacing w:after="0"/>
              <w:rPr>
                <w:sz w:val="19"/>
                <w:szCs w:val="19"/>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w:t>
            </w:r>
          </w:p>
        </w:tc>
      </w:tr>
      <w:tr>
        <w:trPr>
          <w:trHeight w:val="303"/>
        </w:trPr>
        <w:tc>
          <w:tcPr>
            <w:tcW w:w="1140" w:type="dxa"/>
            <w:vAlign w:val="bottom"/>
          </w:tcPr>
          <w:p>
            <w:pPr>
              <w:spacing w:after="0"/>
              <w:rPr>
                <w:sz w:val="24"/>
                <w:szCs w:val="24"/>
                <w:color w:val="auto"/>
              </w:rPr>
            </w:pPr>
          </w:p>
        </w:tc>
        <w:tc>
          <w:tcPr>
            <w:tcW w:w="55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than 5 percent of the class of securities, check the following </w:t>
            </w:r>
            <w:r>
              <w:rPr>
                <w:rFonts w:ascii="MS PGothic" w:cs="MS PGothic" w:eastAsia="MS PGothic" w:hAnsi="MS PGothic"/>
                <w:sz w:val="18"/>
                <w:szCs w:val="18"/>
                <w:color w:val="auto"/>
              </w:rPr>
              <w:t>☒</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is not applicable.</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9520" w:type="dxa"/>
            <w:vAlign w:val="bottom"/>
            <w:gridSpan w:val="6"/>
          </w:tcPr>
          <w:p>
            <w:pPr>
              <w:spacing w:after="0" w:line="20" w:lineRule="exact"/>
              <w:rPr>
                <w:sz w:val="1"/>
                <w:szCs w:val="1"/>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1140" w:type="dxa"/>
            <w:vAlign w:val="bottom"/>
          </w:tcPr>
          <w:p>
            <w:pPr>
              <w:spacing w:after="0"/>
              <w:rPr>
                <w:sz w:val="20"/>
                <w:szCs w:val="20"/>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14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is not applicable.</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color w:val="auto"/>
              </w:rPr>
              <w:t>is not applicable.</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a Group.</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color w:val="auto"/>
              </w:rPr>
              <w:t>is not applicable.</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color w:val="auto"/>
              </w:rPr>
              <w:t>is not applicable.</w:t>
            </w:r>
          </w:p>
        </w:tc>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695"/>
        </w:trPr>
        <w:tc>
          <w:tcPr>
            <w:tcW w:w="114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00534A102</w:t>
      </w:r>
      <w:r>
        <w:rPr>
          <w:sz w:val="20"/>
          <w:szCs w:val="20"/>
          <w:color w:val="auto"/>
        </w:rPr>
        <w:tab/>
      </w:r>
      <w:r>
        <w:rPr>
          <w:rFonts w:ascii="Times New Roman" w:cs="Times New Roman" w:eastAsia="Times New Roman" w:hAnsi="Times New Roman"/>
          <w:sz w:val="18"/>
          <w:szCs w:val="18"/>
          <w:color w:val="auto"/>
        </w:rPr>
        <w:t>Page 15 of 16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GV 2019, L.P.</w:t>
            </w:r>
          </w:p>
        </w:tc>
        <w:tc>
          <w:tcPr>
            <w:tcW w:w="438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GV 2021, L.P.</w:t>
            </w:r>
          </w:p>
        </w:tc>
        <w:tc>
          <w:tcPr>
            <w:tcW w:w="4480" w:type="dxa"/>
            <w:vAlign w:val="bottom"/>
          </w:tcPr>
          <w:p>
            <w:pPr>
              <w:spacing w:after="0"/>
              <w:rPr>
                <w:sz w:val="20"/>
                <w:szCs w:val="20"/>
                <w:color w:val="auto"/>
              </w:rPr>
            </w:pPr>
          </w:p>
        </w:tc>
      </w:tr>
      <w:tr>
        <w:trPr>
          <w:trHeight w:val="414"/>
        </w:trPr>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2019 GP, L.P., its General Partner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2021 GP, L.P., its General Partner</w:t>
            </w:r>
          </w:p>
        </w:tc>
      </w:tr>
      <w:tr>
        <w:trPr>
          <w:trHeight w:val="234"/>
        </w:trPr>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2019 GP, L.L.C., its General Partner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2021 GP, L.L.C., its General Partner</w:t>
            </w:r>
          </w:p>
        </w:tc>
      </w:tr>
      <w:tr>
        <w:trPr>
          <w:trHeight w:val="432"/>
        </w:trPr>
        <w:tc>
          <w:tcPr>
            <w:tcW w:w="5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c>
          <w:tcPr>
            <w:tcW w:w="6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91"/>
        </w:trPr>
        <w:tc>
          <w:tcPr>
            <w:tcW w:w="5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c>
          <w:tcPr>
            <w:tcW w:w="6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r>
      <w:tr>
        <w:trPr>
          <w:trHeight w:val="216"/>
        </w:trPr>
        <w:tc>
          <w:tcPr>
            <w:tcW w:w="5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500" w:type="dxa"/>
            <w:vAlign w:val="bottom"/>
          </w:tcPr>
          <w:p>
            <w:pPr>
              <w:spacing w:after="0"/>
              <w:rPr>
                <w:sz w:val="20"/>
                <w:szCs w:val="20"/>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Dated: November 8, 2024</w:t>
            </w:r>
          </w:p>
        </w:tc>
        <w:tc>
          <w:tcPr>
            <w:tcW w:w="600" w:type="dxa"/>
            <w:vAlign w:val="bottom"/>
          </w:tcPr>
          <w:p>
            <w:pPr>
              <w:spacing w:after="0"/>
              <w:rPr>
                <w:sz w:val="20"/>
                <w:szCs w:val="20"/>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Dated: November 8, 2024</w:t>
            </w:r>
          </w:p>
        </w:tc>
      </w:tr>
      <w:tr>
        <w:trPr>
          <w:trHeight w:val="4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GV 2019 GP, L.P.</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GV 2021 GP, L.P.</w:t>
            </w:r>
          </w:p>
        </w:tc>
      </w:tr>
      <w:tr>
        <w:trPr>
          <w:trHeight w:val="432"/>
        </w:trPr>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2019 GP, L.L.C., its General Partner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GV 2021 GP, L.L.C., its General Partner</w:t>
            </w:r>
          </w:p>
        </w:tc>
      </w:tr>
      <w:tr>
        <w:trPr>
          <w:trHeight w:val="432"/>
        </w:trPr>
        <w:tc>
          <w:tcPr>
            <w:tcW w:w="5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c>
          <w:tcPr>
            <w:tcW w:w="6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91"/>
        </w:trPr>
        <w:tc>
          <w:tcPr>
            <w:tcW w:w="5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c>
          <w:tcPr>
            <w:tcW w:w="6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r>
      <w:tr>
        <w:trPr>
          <w:trHeight w:val="216"/>
        </w:trPr>
        <w:tc>
          <w:tcPr>
            <w:tcW w:w="5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500" w:type="dxa"/>
            <w:vAlign w:val="bottom"/>
          </w:tcPr>
          <w:p>
            <w:pPr>
              <w:spacing w:after="0"/>
              <w:rPr>
                <w:sz w:val="20"/>
                <w:szCs w:val="20"/>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Dated: November 8, 2024</w:t>
            </w:r>
          </w:p>
        </w:tc>
        <w:tc>
          <w:tcPr>
            <w:tcW w:w="600" w:type="dxa"/>
            <w:vAlign w:val="bottom"/>
          </w:tcPr>
          <w:p>
            <w:pPr>
              <w:spacing w:after="0"/>
              <w:rPr>
                <w:sz w:val="20"/>
                <w:szCs w:val="20"/>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Dated: November 8, 2024</w:t>
            </w:r>
          </w:p>
        </w:tc>
      </w:tr>
      <w:tr>
        <w:trPr>
          <w:trHeight w:val="4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GV 2019 GP, L.L.C.</w:t>
            </w:r>
          </w:p>
        </w:tc>
        <w:tc>
          <w:tcPr>
            <w:tcW w:w="57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GV 2021 GP, L.L.C.</w:t>
            </w:r>
          </w:p>
        </w:tc>
      </w:tr>
      <w:tr>
        <w:trPr>
          <w:trHeight w:val="432"/>
        </w:trPr>
        <w:tc>
          <w:tcPr>
            <w:tcW w:w="5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c>
          <w:tcPr>
            <w:tcW w:w="6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91"/>
        </w:trPr>
        <w:tc>
          <w:tcPr>
            <w:tcW w:w="5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c>
          <w:tcPr>
            <w:tcW w:w="600" w:type="dxa"/>
            <w:vAlign w:val="bottom"/>
          </w:tcPr>
          <w:p>
            <w:pPr>
              <w:spacing w:after="0"/>
              <w:rPr>
                <w:sz w:val="16"/>
                <w:szCs w:val="16"/>
                <w:color w:val="auto"/>
              </w:rPr>
            </w:pP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Inga Goldbard</w:t>
            </w:r>
          </w:p>
        </w:tc>
      </w:tr>
      <w:tr>
        <w:trPr>
          <w:trHeight w:val="216"/>
        </w:trPr>
        <w:tc>
          <w:tcPr>
            <w:tcW w:w="5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6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50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60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Dated:</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r>
      <w:tr>
        <w:trPr>
          <w:trHeight w:val="675"/>
        </w:trPr>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660" w:type="dxa"/>
            <w:vAlign w:val="bottom"/>
          </w:tcPr>
          <w:p>
            <w:pPr>
              <w:spacing w:after="0"/>
              <w:rPr>
                <w:sz w:val="20"/>
                <w:szCs w:val="20"/>
                <w:color w:val="auto"/>
              </w:rPr>
            </w:pPr>
          </w:p>
        </w:tc>
        <w:tc>
          <w:tcPr>
            <w:tcW w:w="506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Page 16 of 16</w:t>
            </w:r>
          </w:p>
        </w:tc>
      </w:tr>
      <w:tr>
        <w:trPr>
          <w:trHeight w:val="432"/>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ALPHABET HOLDINGS LLC</w:t>
            </w:r>
          </w:p>
        </w:tc>
        <w:tc>
          <w:tcPr>
            <w:tcW w:w="5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XXVI HOLDINGS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Kathryn W. Hall</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Kathryn W. Hall</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Kathryn W. Hall</w:t>
            </w:r>
          </w:p>
        </w:tc>
        <w:tc>
          <w:tcPr>
            <w:tcW w:w="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W. Hall</w:t>
            </w: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234"/>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5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Dated: November 8, 2024</w:t>
            </w:r>
          </w:p>
        </w:tc>
      </w:tr>
      <w:tr>
        <w:trPr>
          <w:trHeight w:val="432"/>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ALPHABET INC.</w:t>
            </w:r>
          </w:p>
        </w:tc>
        <w:tc>
          <w:tcPr>
            <w:tcW w:w="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Kathryn W. Hall</w:t>
            </w:r>
          </w:p>
        </w:tc>
        <w:tc>
          <w:tcPr>
            <w:tcW w:w="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W. Hall</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6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2024-11-08T15:51:57Z</dcterms:created>
  <dcterms:modified xsi:type="dcterms:W3CDTF">2024-11-08T15:51:57Z</dcterms:modified>
</cp:coreProperties>
</file>