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4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333-267643</w:t>
      </w:r>
    </w:p>
    <w:p>
      <w:pPr>
        <w:spacing w:after="0" w:line="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(To Prospectus dated October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38735</wp:posOffset>
            </wp:positionV>
            <wp:extent cx="214630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44,000,000 Shares of Common Stock</w:t>
      </w:r>
    </w:p>
    <w:p>
      <w:pPr>
        <w:spacing w:after="0" w:line="47"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Pre-Funded Warrants to Purchase up to 6,000,000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2981960</wp:posOffset>
            </wp:positionH>
            <wp:positionV relativeFrom="paragraph">
              <wp:posOffset>106680</wp:posOffset>
            </wp:positionV>
            <wp:extent cx="12033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189" w:lineRule="exact"/>
        <w:rPr>
          <w:sz w:val="24"/>
          <w:szCs w:val="24"/>
          <w:color w:val="auto"/>
        </w:rPr>
      </w:pPr>
    </w:p>
    <w:p>
      <w:pPr>
        <w:jc w:val="both"/>
        <w:ind w:left="1120" w:right="60"/>
        <w:spacing w:after="0" w:line="253" w:lineRule="auto"/>
        <w:rPr>
          <w:sz w:val="20"/>
          <w:szCs w:val="20"/>
          <w:color w:val="auto"/>
        </w:rPr>
      </w:pPr>
      <w:r>
        <w:rPr>
          <w:rFonts w:ascii="Times New Roman" w:cs="Times New Roman" w:eastAsia="Times New Roman" w:hAnsi="Times New Roman"/>
          <w:sz w:val="15"/>
          <w:szCs w:val="15"/>
          <w:color w:val="auto"/>
        </w:rPr>
        <w:t>We are offering 44,000,000 shares of our common stock, par value $0.0001 per share, and, in lieu of common stock to certain investors that so choose, pre-funded warrants to purchase up to 6,000,000 shares of our common stock pursuant to this prospectus supplement and the accompanying prospectus. The public offering price of each share of common stock is $2.50, and the purchase price of each pre-funded warrant equals the public offering price of each share of common stock minus $0.0001, which is the exercise price per share underlying the pre-funded warrants. This prospectus supplement also relates to the offering of the shares of our common stock issuable upon the exercise of such pre-funded warrants.</w:t>
      </w:r>
    </w:p>
    <w:p>
      <w:pPr>
        <w:spacing w:after="0" w:line="22" w:lineRule="exact"/>
        <w:rPr>
          <w:sz w:val="24"/>
          <w:szCs w:val="24"/>
          <w:color w:val="auto"/>
        </w:rPr>
      </w:pPr>
    </w:p>
    <w:p>
      <w:pPr>
        <w:ind w:left="1120" w:right="40"/>
        <w:spacing w:after="0" w:line="255" w:lineRule="auto"/>
        <w:rPr>
          <w:sz w:val="20"/>
          <w:szCs w:val="20"/>
          <w:color w:val="auto"/>
        </w:rPr>
      </w:pPr>
      <w:r>
        <w:rPr>
          <w:rFonts w:ascii="Times New Roman" w:cs="Times New Roman" w:eastAsia="Times New Roman" w:hAnsi="Times New Roman"/>
          <w:sz w:val="15"/>
          <w:szCs w:val="15"/>
          <w:color w:val="auto"/>
        </w:rPr>
        <w:t>Our common stock is listed on The Nasdaq Global Market under the symbol “IVVD.” On November 17, 2025, the last reported sale price of our common stock on The Nasdaq Global Market was $2.84 per share. There is no established public trading market for the pre-funded warrants, and we do not expect a market to develop. We do not intend to list the pre-funded warrants on The Nasdaq Global Market or any other national securities exchange or nationally recognized trading system.</w:t>
      </w:r>
    </w:p>
    <w:p>
      <w:pPr>
        <w:spacing w:after="0" w:line="11" w:lineRule="exact"/>
        <w:rPr>
          <w:sz w:val="24"/>
          <w:szCs w:val="24"/>
          <w:color w:val="auto"/>
        </w:rPr>
      </w:pPr>
    </w:p>
    <w:tbl>
      <w:tblPr>
        <w:tblLayout w:type="fixed"/>
        <w:tblInd w:w="1840" w:type="dxa"/>
        <w:tblCellMar>
          <w:top w:w="0" w:type="dxa"/>
          <w:left w:w="0" w:type="dxa"/>
          <w:bottom w:w="0" w:type="dxa"/>
          <w:right w:w="0" w:type="dxa"/>
        </w:tblCellMar>
      </w:tblPr>
      <w:tr>
        <w:trPr>
          <w:trHeight w:val="138"/>
        </w:trPr>
        <w:tc>
          <w:tcPr>
            <w:tcW w:w="4940" w:type="dxa"/>
            <w:vAlign w:val="bottom"/>
          </w:tcPr>
          <w:p>
            <w:pPr>
              <w:spacing w:after="0"/>
              <w:rPr>
                <w:sz w:val="12"/>
                <w:szCs w:val="12"/>
                <w:color w:val="auto"/>
              </w:rPr>
            </w:pPr>
          </w:p>
        </w:tc>
        <w:tc>
          <w:tcPr>
            <w:tcW w:w="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Per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Per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9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Pre-Funded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Warrant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Public offering price</w:t>
            </w:r>
          </w:p>
        </w:tc>
        <w:tc>
          <w:tcPr>
            <w:tcW w:w="3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color w:val="auto"/>
              </w:rPr>
              <w:t>$2.50</w:t>
            </w: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ind w:left="120"/>
              <w:spacing w:after="0" w:line="169" w:lineRule="exact"/>
              <w:rPr>
                <w:sz w:val="20"/>
                <w:szCs w:val="20"/>
                <w:color w:val="auto"/>
              </w:rPr>
            </w:pPr>
            <w:r>
              <w:rPr>
                <w:rFonts w:ascii="Times New Roman" w:cs="Times New Roman" w:eastAsia="Times New Roman" w:hAnsi="Times New Roman"/>
                <w:sz w:val="15"/>
                <w:szCs w:val="15"/>
                <w:color w:val="auto"/>
                <w:w w:val="96"/>
              </w:rPr>
              <w:t>2.4999</w:t>
            </w: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95"/>
              </w:rPr>
              <w:t>124,999,400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40" w:type="dxa"/>
            <w:vAlign w:val="bottom"/>
          </w:tcPr>
          <w:p>
            <w:pPr>
              <w:spacing w:after="0" w:line="178" w:lineRule="exact"/>
              <w:rPr>
                <w:sz w:val="20"/>
                <w:szCs w:val="20"/>
                <w:color w:val="auto"/>
              </w:rPr>
            </w:pPr>
            <w:r>
              <w:rPr>
                <w:rFonts w:ascii="Times New Roman" w:cs="Times New Roman" w:eastAsia="Times New Roman" w:hAnsi="Times New Roman"/>
                <w:sz w:val="14"/>
                <w:szCs w:val="14"/>
                <w:color w:val="auto"/>
              </w:rPr>
              <w:t xml:space="preserve">Underwriting discounts and commissions </w:t>
            </w:r>
            <w:r>
              <w:rPr>
                <w:rFonts w:ascii="Times New Roman" w:cs="Times New Roman" w:eastAsia="Times New Roman" w:hAnsi="Times New Roman"/>
                <w:sz w:val="20"/>
                <w:szCs w:val="20"/>
                <w:color w:val="auto"/>
                <w:vertAlign w:val="superscript"/>
              </w:rPr>
              <w:t>(1)</w:t>
            </w: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$0.15</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0.1500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7,500,000</w:t>
            </w:r>
          </w:p>
        </w:tc>
        <w:tc>
          <w:tcPr>
            <w:tcW w:w="0" w:type="dxa"/>
            <w:vAlign w:val="bottom"/>
          </w:tcPr>
          <w:p>
            <w:pPr>
              <w:spacing w:after="0"/>
              <w:rPr>
                <w:sz w:val="1"/>
                <w:szCs w:val="1"/>
                <w:color w:val="auto"/>
              </w:rPr>
            </w:pPr>
          </w:p>
        </w:tc>
      </w:tr>
      <w:tr>
        <w:trPr>
          <w:trHeight w:val="17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to Invivyd, Inc., before expenses</w:t>
            </w:r>
          </w:p>
        </w:tc>
        <w:tc>
          <w:tcPr>
            <w:tcW w:w="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$2.35</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2.3499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5"/>
              </w:rPr>
              <w:t>117,499,400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77470</wp:posOffset>
            </wp:positionV>
            <wp:extent cx="6261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110" cy="6985"/>
                    </a:xfrm>
                    <a:prstGeom prst="rect">
                      <a:avLst/>
                    </a:prstGeom>
                    <a:noFill/>
                  </pic:spPr>
                </pic:pic>
              </a:graphicData>
            </a:graphic>
          </wp:anchor>
        </w:drawing>
      </w:r>
    </w:p>
    <w:p>
      <w:pPr>
        <w:spacing w:after="0" w:line="121" w:lineRule="exact"/>
        <w:rPr>
          <w:sz w:val="24"/>
          <w:szCs w:val="24"/>
          <w:color w:val="auto"/>
        </w:rPr>
      </w:pPr>
    </w:p>
    <w:p>
      <w:pPr>
        <w:ind w:left="1480" w:right="640" w:hanging="358"/>
        <w:spacing w:after="0" w:line="208" w:lineRule="auto"/>
        <w:tabs>
          <w:tab w:leader="none" w:pos="148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See the section entitled “Underwriting” beginning on page S-27 of this prospectus supplement for additional information regarding total underwriting compensation.</w:t>
      </w:r>
    </w:p>
    <w:p>
      <w:pPr>
        <w:spacing w:after="0" w:line="30" w:lineRule="exact"/>
        <w:rPr>
          <w:sz w:val="24"/>
          <w:szCs w:val="24"/>
          <w:color w:val="auto"/>
        </w:rPr>
      </w:pPr>
    </w:p>
    <w:p>
      <w:pPr>
        <w:jc w:val="both"/>
        <w:ind w:left="1120" w:right="40"/>
        <w:spacing w:after="0" w:line="260" w:lineRule="auto"/>
        <w:rPr>
          <w:sz w:val="20"/>
          <w:szCs w:val="20"/>
          <w:color w:val="auto"/>
        </w:rPr>
      </w:pPr>
      <w:r>
        <w:rPr>
          <w:rFonts w:ascii="Times New Roman" w:cs="Times New Roman" w:eastAsia="Times New Roman" w:hAnsi="Times New Roman"/>
          <w:sz w:val="15"/>
          <w:szCs w:val="15"/>
          <w:color w:val="auto"/>
        </w:rPr>
        <w:t>We have granted the underwriters an option for a period of 30 days to purchase up to an additional 7,500,000 shares of our common stock from us at the public offering price set forth above, less underwriting discounts and commissions. If the underwriters exercise the option in full, the net proceeds to us, before deducting offering expenses, will be approximately $135.1 million.</w:t>
      </w:r>
    </w:p>
    <w:p>
      <w:pPr>
        <w:spacing w:after="0" w:line="16" w:lineRule="exact"/>
        <w:rPr>
          <w:sz w:val="24"/>
          <w:szCs w:val="24"/>
          <w:color w:val="auto"/>
        </w:rPr>
      </w:pPr>
    </w:p>
    <w:p>
      <w:pPr>
        <w:ind w:left="1120" w:right="40"/>
        <w:spacing w:after="0" w:line="255" w:lineRule="auto"/>
        <w:rPr>
          <w:sz w:val="20"/>
          <w:szCs w:val="20"/>
          <w:color w:val="auto"/>
        </w:rPr>
      </w:pPr>
      <w:r>
        <w:rPr>
          <w:rFonts w:ascii="Times New Roman" w:cs="Times New Roman" w:eastAsia="Times New Roman" w:hAnsi="Times New Roman"/>
          <w:sz w:val="15"/>
          <w:szCs w:val="15"/>
          <w:color w:val="auto"/>
        </w:rPr>
        <w:t>We are an “emerging growth company” as defined by the Jumpstart Our Business Startups Act of 2012 and a “smaller reporting company” as defined in Rule 12b-2 promulgated under the Securities Exchange Act of 1934, as amended, and, as such, we are subject to reduced public company reporting requirements. Refer to the section entitled “Prospectus Supplement Summary—Implications of Being an Emerging Growth Company and a Smaller Reporting Company” beginning on page S-5 of this prospectus supplement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2981960</wp:posOffset>
            </wp:positionH>
            <wp:positionV relativeFrom="paragraph">
              <wp:posOffset>92710</wp:posOffset>
            </wp:positionV>
            <wp:extent cx="12033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157" w:lineRule="exact"/>
        <w:rPr>
          <w:sz w:val="24"/>
          <w:szCs w:val="24"/>
          <w:color w:val="auto"/>
        </w:rPr>
      </w:pPr>
    </w:p>
    <w:p>
      <w:pPr>
        <w:ind w:left="1120" w:right="140"/>
        <w:spacing w:after="0" w:line="24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S-9 of this prospectus supplement, the accompanying base prospectus and the documents that are incorporated by reference in this prospectus supplement and the accompanying prospectus.</w:t>
      </w:r>
    </w:p>
    <w:p>
      <w:pPr>
        <w:spacing w:after="0" w:line="14" w:lineRule="exact"/>
        <w:rPr>
          <w:sz w:val="24"/>
          <w:szCs w:val="24"/>
          <w:color w:val="auto"/>
        </w:rPr>
      </w:pPr>
    </w:p>
    <w:p>
      <w:pPr>
        <w:jc w:val="both"/>
        <w:ind w:left="1120" w:right="400"/>
        <w:spacing w:after="0" w:line="261"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5"/>
          <w:szCs w:val="15"/>
          <w:color w:val="auto"/>
        </w:rPr>
        <w:t>The underwriters expect to deliver the shares of common stock and the pre-funded warrants against payment on or about November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2981960</wp:posOffset>
            </wp:positionH>
            <wp:positionV relativeFrom="paragraph">
              <wp:posOffset>75565</wp:posOffset>
            </wp:positionV>
            <wp:extent cx="12033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128"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34"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4"/>
          <w:szCs w:val="24"/>
          <w:b w:val="1"/>
          <w:bCs w:val="1"/>
          <w:color w:val="auto"/>
        </w:rPr>
        <w:t>Cantor</w:t>
      </w:r>
    </w:p>
    <w:p>
      <w:pPr>
        <w:spacing w:after="0" w:line="49"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18"/>
          <w:szCs w:val="18"/>
          <w:b w:val="1"/>
          <w:bCs w:val="1"/>
          <w:i w:val="1"/>
          <w:iCs w:val="1"/>
          <w:color w:val="auto"/>
        </w:rPr>
        <w:t>Lead Manager</w:t>
      </w:r>
    </w:p>
    <w:p>
      <w:pPr>
        <w:spacing w:after="0" w:line="42"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H.C. Wainwright &amp; Co.</w:t>
      </w:r>
    </w:p>
    <w:p>
      <w:pPr>
        <w:spacing w:after="0" w:line="5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November 17, 2025</w:t>
      </w:r>
    </w:p>
    <w:p>
      <w:pPr>
        <w:sectPr>
          <w:pgSz w:w="11900" w:h="16838" w:orient="portrait"/>
          <w:cols w:equalWidth="0" w:num="1">
            <w:col w:w="10160"/>
          </w:cols>
          <w:pgMar w:left="300" w:top="212" w:right="1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tbl>
      <w:tblPr>
        <w:tblLayout w:type="fixed"/>
        <w:tblInd w:w="1120" w:type="dxa"/>
        <w:tblCellMar>
          <w:top w:w="0" w:type="dxa"/>
          <w:left w:w="0" w:type="dxa"/>
          <w:bottom w:w="0" w:type="dxa"/>
          <w:right w:w="0" w:type="dxa"/>
        </w:tblCellMar>
      </w:tblPr>
      <w:tr>
        <w:trPr>
          <w:trHeight w:val="194"/>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4"/>
          </w:tcPr>
          <w:p>
            <w:pPr>
              <w:ind w:left="5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55"/>
        </w:trPr>
        <w:tc>
          <w:tcPr>
            <w:tcW w:w="8680" w:type="dxa"/>
            <w:vAlign w:val="bottom"/>
            <w:gridSpan w:val="24"/>
          </w:tcPr>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2"/>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13"/>
        </w:trPr>
        <w:tc>
          <w:tcPr>
            <w:tcW w:w="868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rPr>
              <w:t>ABOUT THIS PROSPECTUS SUPPLEMENT</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S-1</w:t>
            </w:r>
          </w:p>
        </w:tc>
      </w:tr>
      <w:tr>
        <w:trPr>
          <w:trHeight w:val="157"/>
        </w:trPr>
        <w:tc>
          <w:tcPr>
            <w:tcW w:w="2820" w:type="dxa"/>
            <w:vAlign w:val="bottom"/>
            <w:tcBorders>
              <w:top w:val="single" w:sz="8" w:color="0000EE"/>
            </w:tcBorders>
            <w:gridSpan w:val="15"/>
          </w:tcPr>
          <w:p>
            <w:pPr>
              <w:spacing w:after="0" w:line="157" w:lineRule="exact"/>
              <w:rPr>
                <w:sz w:val="20"/>
                <w:szCs w:val="20"/>
                <w:color w:val="auto"/>
              </w:rPr>
            </w:pPr>
            <w:r>
              <w:rPr>
                <w:rFonts w:ascii="Times New Roman" w:cs="Times New Roman" w:eastAsia="Times New Roman" w:hAnsi="Times New Roman"/>
                <w:sz w:val="15"/>
                <w:szCs w:val="15"/>
                <w:color w:val="0000EE"/>
              </w:rPr>
              <w:t>PROSPECTUS SUPPLEMENT SUMMARY</w:t>
            </w:r>
          </w:p>
        </w:tc>
        <w:tc>
          <w:tcPr>
            <w:tcW w:w="5860" w:type="dxa"/>
            <w:vAlign w:val="bottom"/>
            <w:gridSpan w:val="9"/>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S-3</w:t>
            </w:r>
          </w:p>
        </w:tc>
      </w:tr>
      <w:tr>
        <w:trPr>
          <w:trHeight w:val="157"/>
        </w:trPr>
        <w:tc>
          <w:tcPr>
            <w:tcW w:w="2700" w:type="dxa"/>
            <w:vAlign w:val="bottom"/>
            <w:tcBorders>
              <w:top w:val="single" w:sz="8" w:color="0000EE"/>
            </w:tcBorders>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THE OFFERING</w:t>
            </w:r>
          </w:p>
        </w:tc>
        <w:tc>
          <w:tcPr>
            <w:tcW w:w="5980" w:type="dxa"/>
            <w:vAlign w:val="bottom"/>
            <w:gridSpan w:val="12"/>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S-6</w:t>
            </w:r>
          </w:p>
        </w:tc>
      </w:tr>
      <w:tr>
        <w:trPr>
          <w:trHeight w:val="157"/>
        </w:trPr>
        <w:tc>
          <w:tcPr>
            <w:tcW w:w="1040" w:type="dxa"/>
            <w:vAlign w:val="bottom"/>
            <w:tcBorders>
              <w:top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5"/>
                <w:szCs w:val="15"/>
                <w:color w:val="0000EE"/>
                <w:w w:val="96"/>
              </w:rPr>
              <w:t>RISK FACTORS</w:t>
            </w:r>
          </w:p>
        </w:tc>
        <w:tc>
          <w:tcPr>
            <w:tcW w:w="7640" w:type="dxa"/>
            <w:vAlign w:val="bottom"/>
            <w:gridSpan w:val="20"/>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S-9</w:t>
            </w: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NOTE REGARDING FORWARD-LOOKING STATEMENTS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S-13</w:t>
            </w:r>
          </w:p>
        </w:tc>
      </w:tr>
      <w:tr>
        <w:trPr>
          <w:trHeight w:val="157"/>
        </w:trPr>
        <w:tc>
          <w:tcPr>
            <w:tcW w:w="1300" w:type="dxa"/>
            <w:vAlign w:val="bottom"/>
            <w:tcBorders>
              <w:top w:val="single" w:sz="8" w:color="0000EE"/>
              <w:bottom w:val="single" w:sz="8" w:color="0000EE"/>
            </w:tcBorders>
            <w:gridSpan w:val="7"/>
          </w:tcPr>
          <w:p>
            <w:pPr>
              <w:spacing w:after="0" w:line="157" w:lineRule="exact"/>
              <w:rPr>
                <w:sz w:val="20"/>
                <w:szCs w:val="20"/>
                <w:color w:val="auto"/>
              </w:rPr>
            </w:pPr>
            <w:r>
              <w:rPr>
                <w:rFonts w:ascii="Times New Roman" w:cs="Times New Roman" w:eastAsia="Times New Roman" w:hAnsi="Times New Roman"/>
                <w:sz w:val="15"/>
                <w:szCs w:val="15"/>
                <w:color w:val="0000EE"/>
                <w:w w:val="97"/>
              </w:rPr>
              <w:t>USE OF PROCEEDS</w:t>
            </w:r>
          </w:p>
        </w:tc>
        <w:tc>
          <w:tcPr>
            <w:tcW w:w="2440" w:type="dxa"/>
            <w:vAlign w:val="bottom"/>
            <w:tcBorders>
              <w:top w:val="single" w:sz="8" w:color="0000EE"/>
            </w:tcBorders>
            <w:gridSpan w:val="14"/>
          </w:tcPr>
          <w:p>
            <w:pPr>
              <w:spacing w:after="0"/>
              <w:rPr>
                <w:sz w:val="13"/>
                <w:szCs w:val="13"/>
                <w:color w:val="auto"/>
              </w:rPr>
            </w:pPr>
          </w:p>
        </w:tc>
        <w:tc>
          <w:tcPr>
            <w:tcW w:w="4940" w:type="dxa"/>
            <w:vAlign w:val="bottom"/>
            <w:gridSpan w:val="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S-15</w:t>
            </w: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DILUTION</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S-16</w:t>
            </w: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57"/>
        </w:trPr>
        <w:tc>
          <w:tcPr>
            <w:tcW w:w="3000" w:type="dxa"/>
            <w:vAlign w:val="bottom"/>
            <w:tcBorders>
              <w:bottom w:val="single" w:sz="8" w:color="0000EE"/>
            </w:tcBorders>
            <w:gridSpan w:val="18"/>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PRE-FUNDED WARRANTS</w:t>
            </w:r>
          </w:p>
        </w:tc>
        <w:tc>
          <w:tcPr>
            <w:tcW w:w="5680" w:type="dxa"/>
            <w:vAlign w:val="bottom"/>
            <w:gridSpan w:val="6"/>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S-18</w:t>
            </w: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MATERIAL U.S. FEDERAL INCOME TAX CONSEQUENCES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S-20</w:t>
            </w:r>
          </w:p>
        </w:tc>
      </w:tr>
      <w:tr>
        <w:trPr>
          <w:trHeight w:val="157"/>
        </w:trPr>
        <w:tc>
          <w:tcPr>
            <w:tcW w:w="3900" w:type="dxa"/>
            <w:vAlign w:val="bottom"/>
            <w:tcBorders>
              <w:top w:val="single" w:sz="8" w:color="0000EE"/>
            </w:tcBorders>
            <w:gridSpan w:val="22"/>
          </w:tcPr>
          <w:p>
            <w:pPr>
              <w:spacing w:after="0" w:line="157" w:lineRule="exact"/>
              <w:rPr>
                <w:sz w:val="20"/>
                <w:szCs w:val="20"/>
                <w:color w:val="auto"/>
              </w:rPr>
            </w:pPr>
            <w:r>
              <w:rPr>
                <w:rFonts w:ascii="Times New Roman" w:cs="Times New Roman" w:eastAsia="Times New Roman" w:hAnsi="Times New Roman"/>
                <w:sz w:val="15"/>
                <w:szCs w:val="15"/>
                <w:color w:val="0000EE"/>
              </w:rPr>
              <w:t>UNDERWRITING</w:t>
            </w:r>
          </w:p>
        </w:tc>
        <w:tc>
          <w:tcPr>
            <w:tcW w:w="4780" w:type="dxa"/>
            <w:vAlign w:val="bottom"/>
            <w:gridSpan w:val="2"/>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S-27</w:t>
            </w: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57"/>
        </w:trPr>
        <w:tc>
          <w:tcPr>
            <w:tcW w:w="1200" w:type="dxa"/>
            <w:vAlign w:val="bottom"/>
            <w:tcBorders>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5"/>
              </w:rPr>
              <w:t>LEGAL MATTERS</w:t>
            </w:r>
          </w:p>
        </w:tc>
        <w:tc>
          <w:tcPr>
            <w:tcW w:w="7480" w:type="dxa"/>
            <w:vAlign w:val="bottom"/>
            <w:gridSpan w:val="18"/>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S-39</w:t>
            </w:r>
          </w:p>
        </w:tc>
      </w:tr>
      <w:tr>
        <w:trPr>
          <w:trHeight w:val="157"/>
        </w:trPr>
        <w:tc>
          <w:tcPr>
            <w:tcW w:w="70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rPr>
              <w:t>EXPERTS</w:t>
            </w:r>
          </w:p>
        </w:tc>
        <w:tc>
          <w:tcPr>
            <w:tcW w:w="7980" w:type="dxa"/>
            <w:vAlign w:val="bottom"/>
            <w:gridSpan w:val="2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S-39</w:t>
            </w:r>
          </w:p>
        </w:tc>
      </w:tr>
      <w:tr>
        <w:trPr>
          <w:trHeight w:val="157"/>
        </w:trPr>
        <w:tc>
          <w:tcPr>
            <w:tcW w:w="3140" w:type="dxa"/>
            <w:vAlign w:val="bottom"/>
            <w:tcBorders>
              <w:bottom w:val="single" w:sz="8" w:color="0000EE"/>
            </w:tcBorders>
            <w:gridSpan w:val="19"/>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5540" w:type="dxa"/>
            <w:vAlign w:val="bottom"/>
            <w:gridSpan w:val="5"/>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S-40</w:t>
            </w:r>
          </w:p>
        </w:tc>
      </w:tr>
      <w:tr>
        <w:trPr>
          <w:trHeight w:val="157"/>
        </w:trPr>
        <w:tc>
          <w:tcPr>
            <w:tcW w:w="4260" w:type="dxa"/>
            <w:vAlign w:val="bottom"/>
            <w:tcBorders>
              <w:bottom w:val="single" w:sz="8" w:color="0000EE"/>
            </w:tcBorders>
            <w:gridSpan w:val="23"/>
          </w:tcPr>
          <w:p>
            <w:pPr>
              <w:spacing w:after="0" w:line="157" w:lineRule="exact"/>
              <w:rPr>
                <w:sz w:val="20"/>
                <w:szCs w:val="20"/>
                <w:color w:val="auto"/>
              </w:rPr>
            </w:pPr>
            <w:r>
              <w:rPr>
                <w:rFonts w:ascii="Times New Roman" w:cs="Times New Roman" w:eastAsia="Times New Roman" w:hAnsi="Times New Roman"/>
                <w:sz w:val="15"/>
                <w:szCs w:val="15"/>
                <w:color w:val="0000EE"/>
                <w:w w:val="96"/>
              </w:rPr>
              <w:t>INCORPORATION OF CERTAIN INFORMATION BY REFERENCE</w:t>
            </w:r>
          </w:p>
        </w:tc>
        <w:tc>
          <w:tcPr>
            <w:tcW w:w="4420" w:type="dxa"/>
            <w:vAlign w:val="bottom"/>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S-41</w:t>
            </w:r>
          </w:p>
        </w:tc>
      </w:tr>
      <w:tr>
        <w:trPr>
          <w:trHeight w:val="368"/>
        </w:trPr>
        <w:tc>
          <w:tcPr>
            <w:tcW w:w="8680" w:type="dxa"/>
            <w:vAlign w:val="bottom"/>
            <w:gridSpan w:val="24"/>
          </w:tcPr>
          <w:p>
            <w:pPr>
              <w:spacing w:after="0"/>
              <w:rPr>
                <w:sz w:val="20"/>
                <w:szCs w:val="20"/>
                <w:color w:val="auto"/>
              </w:rPr>
            </w:pPr>
            <w:r>
              <w:rPr>
                <w:rFonts w:ascii="Times New Roman" w:cs="Times New Roman" w:eastAsia="Times New Roman" w:hAnsi="Times New Roman"/>
                <w:sz w:val="15"/>
                <w:szCs w:val="15"/>
                <w:b w:val="1"/>
                <w:bCs w:val="1"/>
                <w:color w:val="auto"/>
              </w:rPr>
              <w:t>Prospectus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2"/>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13"/>
        </w:trPr>
        <w:tc>
          <w:tcPr>
            <w:tcW w:w="18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5"/>
                <w:szCs w:val="15"/>
                <w:color w:val="0000EE"/>
                <w:w w:val="97"/>
              </w:rPr>
              <w:t>ABOUT THIS PROSPECTUS</w:t>
            </w:r>
          </w:p>
        </w:tc>
        <w:tc>
          <w:tcPr>
            <w:tcW w:w="6840" w:type="dxa"/>
            <w:vAlign w:val="bottom"/>
            <w:gridSpan w:val="15"/>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ii</w:t>
            </w: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FORWARD-LOOKING STATEMENTS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57"/>
        </w:trPr>
        <w:tc>
          <w:tcPr>
            <w:tcW w:w="2740" w:type="dxa"/>
            <w:vAlign w:val="bottom"/>
            <w:tcBorders>
              <w:bottom w:val="single" w:sz="8" w:color="0000EE"/>
            </w:tcBorders>
            <w:gridSpan w:val="13"/>
          </w:tcPr>
          <w:p>
            <w:pPr>
              <w:spacing w:after="0" w:line="157" w:lineRule="exact"/>
              <w:rPr>
                <w:sz w:val="20"/>
                <w:szCs w:val="20"/>
                <w:color w:val="auto"/>
              </w:rPr>
            </w:pPr>
            <w:r>
              <w:rPr>
                <w:rFonts w:ascii="Times New Roman" w:cs="Times New Roman" w:eastAsia="Times New Roman" w:hAnsi="Times New Roman"/>
                <w:sz w:val="15"/>
                <w:szCs w:val="15"/>
                <w:color w:val="0000EE"/>
                <w:w w:val="96"/>
              </w:rPr>
              <w:t>MARKET, INDUSTRY AND OTHER DATA</w:t>
            </w:r>
          </w:p>
        </w:tc>
        <w:tc>
          <w:tcPr>
            <w:tcW w:w="5940" w:type="dxa"/>
            <w:vAlign w:val="bottom"/>
            <w:gridSpan w:val="11"/>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3</w:t>
            </w:r>
          </w:p>
        </w:tc>
      </w:tr>
      <w:tr>
        <w:trPr>
          <w:trHeight w:val="157"/>
        </w:trPr>
        <w:tc>
          <w:tcPr>
            <w:tcW w:w="760" w:type="dxa"/>
            <w:vAlign w:val="bottom"/>
            <w:tcBorders>
              <w:bottom w:val="single" w:sz="8" w:color="0000EE"/>
            </w:tcBorders>
            <w:gridSpan w:val="2"/>
          </w:tcPr>
          <w:p>
            <w:pPr>
              <w:spacing w:after="0" w:line="157" w:lineRule="exact"/>
              <w:rPr>
                <w:sz w:val="20"/>
                <w:szCs w:val="20"/>
                <w:color w:val="auto"/>
              </w:rPr>
            </w:pPr>
            <w:r>
              <w:rPr>
                <w:rFonts w:ascii="Times New Roman" w:cs="Times New Roman" w:eastAsia="Times New Roman" w:hAnsi="Times New Roman"/>
                <w:sz w:val="15"/>
                <w:szCs w:val="15"/>
                <w:color w:val="0000EE"/>
                <w:w w:val="95"/>
              </w:rPr>
              <w:t>SUMMARY</w:t>
            </w:r>
          </w:p>
        </w:tc>
        <w:tc>
          <w:tcPr>
            <w:tcW w:w="7920" w:type="dxa"/>
            <w:vAlign w:val="bottom"/>
            <w:gridSpan w:val="22"/>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4</w:t>
            </w: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57"/>
        </w:trPr>
        <w:tc>
          <w:tcPr>
            <w:tcW w:w="1300" w:type="dxa"/>
            <w:vAlign w:val="bottom"/>
            <w:tcBorders>
              <w:bottom w:val="single" w:sz="8" w:color="0000EE"/>
            </w:tcBorders>
            <w:gridSpan w:val="7"/>
          </w:tcPr>
          <w:p>
            <w:pPr>
              <w:spacing w:after="0" w:line="157" w:lineRule="exact"/>
              <w:rPr>
                <w:sz w:val="20"/>
                <w:szCs w:val="20"/>
                <w:color w:val="auto"/>
              </w:rPr>
            </w:pPr>
            <w:r>
              <w:rPr>
                <w:rFonts w:ascii="Times New Roman" w:cs="Times New Roman" w:eastAsia="Times New Roman" w:hAnsi="Times New Roman"/>
                <w:sz w:val="15"/>
                <w:szCs w:val="15"/>
                <w:color w:val="0000EE"/>
                <w:w w:val="97"/>
              </w:rPr>
              <w:t>USE OF PROCEEDS</w:t>
            </w:r>
          </w:p>
        </w:tc>
        <w:tc>
          <w:tcPr>
            <w:tcW w:w="7380" w:type="dxa"/>
            <w:vAlign w:val="bottom"/>
            <w:gridSpan w:val="17"/>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PLAN OF DISTRIBUTION</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7</w:t>
            </w:r>
          </w:p>
        </w:tc>
      </w:tr>
      <w:tr>
        <w:trPr>
          <w:trHeight w:val="20"/>
        </w:trPr>
        <w:tc>
          <w:tcPr>
            <w:tcW w:w="1680" w:type="dxa"/>
            <w:vAlign w:val="bottom"/>
            <w:gridSpan w:val="8"/>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57"/>
        </w:trPr>
        <w:tc>
          <w:tcPr>
            <w:tcW w:w="3160" w:type="dxa"/>
            <w:vAlign w:val="bottom"/>
            <w:tcBorders>
              <w:bottom w:val="single" w:sz="8" w:color="0000EE"/>
            </w:tcBorders>
            <w:gridSpan w:val="20"/>
          </w:tcPr>
          <w:p>
            <w:pPr>
              <w:spacing w:after="0" w:line="157" w:lineRule="exact"/>
              <w:rPr>
                <w:sz w:val="20"/>
                <w:szCs w:val="20"/>
                <w:color w:val="auto"/>
              </w:rPr>
            </w:pPr>
            <w:r>
              <w:rPr>
                <w:rFonts w:ascii="Times New Roman" w:cs="Times New Roman" w:eastAsia="Times New Roman" w:hAnsi="Times New Roman"/>
                <w:sz w:val="15"/>
                <w:szCs w:val="15"/>
                <w:color w:val="0000EE"/>
                <w:w w:val="98"/>
              </w:rPr>
              <w:t>GENERAL DESCRIPTION OF OUR SECURITIES</w:t>
            </w:r>
          </w:p>
        </w:tc>
        <w:tc>
          <w:tcPr>
            <w:tcW w:w="5520" w:type="dxa"/>
            <w:vAlign w:val="bottom"/>
            <w:gridSpan w:val="4"/>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r>
      <w:tr>
        <w:trPr>
          <w:trHeight w:val="157"/>
        </w:trPr>
        <w:tc>
          <w:tcPr>
            <w:tcW w:w="2780" w:type="dxa"/>
            <w:vAlign w:val="bottom"/>
            <w:tcBorders>
              <w:bottom w:val="single" w:sz="8" w:color="0000EE"/>
            </w:tcBorders>
            <w:gridSpan w:val="14"/>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OUR COMMON STOCK</w:t>
            </w:r>
          </w:p>
        </w:tc>
        <w:tc>
          <w:tcPr>
            <w:tcW w:w="5900" w:type="dxa"/>
            <w:vAlign w:val="bottom"/>
            <w:gridSpan w:val="10"/>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11</w:t>
            </w: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PREFERRED STOCK</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17</w:t>
            </w:r>
          </w:p>
        </w:tc>
      </w:tr>
      <w:tr>
        <w:trPr>
          <w:trHeight w:val="157"/>
        </w:trPr>
        <w:tc>
          <w:tcPr>
            <w:tcW w:w="2920" w:type="dxa"/>
            <w:vAlign w:val="bottom"/>
            <w:tcBorders>
              <w:top w:val="single" w:sz="8" w:color="0000EE"/>
            </w:tcBorders>
            <w:gridSpan w:val="17"/>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WARRANTS</w:t>
            </w:r>
          </w:p>
        </w:tc>
        <w:tc>
          <w:tcPr>
            <w:tcW w:w="5760" w:type="dxa"/>
            <w:vAlign w:val="bottom"/>
            <w:gridSpan w:val="7"/>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19</w:t>
            </w:r>
          </w:p>
        </w:tc>
      </w:tr>
      <w:tr>
        <w:trPr>
          <w:trHeight w:val="20"/>
        </w:trPr>
        <w:tc>
          <w:tcPr>
            <w:tcW w:w="2000" w:type="dxa"/>
            <w:vAlign w:val="bottom"/>
            <w:gridSpan w:val="10"/>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57"/>
        </w:trPr>
        <w:tc>
          <w:tcPr>
            <w:tcW w:w="2840" w:type="dxa"/>
            <w:vAlign w:val="bottom"/>
            <w:tcBorders>
              <w:bottom w:val="single" w:sz="8" w:color="0000EE"/>
            </w:tcBorders>
            <w:gridSpan w:val="16"/>
          </w:tcPr>
          <w:p>
            <w:pPr>
              <w:spacing w:after="0" w:line="157" w:lineRule="exact"/>
              <w:rPr>
                <w:sz w:val="20"/>
                <w:szCs w:val="20"/>
                <w:color w:val="auto"/>
              </w:rPr>
            </w:pPr>
            <w:r>
              <w:rPr>
                <w:rFonts w:ascii="Times New Roman" w:cs="Times New Roman" w:eastAsia="Times New Roman" w:hAnsi="Times New Roman"/>
                <w:sz w:val="15"/>
                <w:szCs w:val="15"/>
                <w:color w:val="0000EE"/>
                <w:w w:val="98"/>
              </w:rPr>
              <w:t>DESCRIPTION OF OUR DEBT SECURITIES</w:t>
            </w:r>
          </w:p>
        </w:tc>
        <w:tc>
          <w:tcPr>
            <w:tcW w:w="5840" w:type="dxa"/>
            <w:vAlign w:val="bottom"/>
            <w:gridSpan w:val="8"/>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20</w:t>
            </w: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UNITS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25</w:t>
            </w:r>
          </w:p>
        </w:tc>
      </w:tr>
      <w:tr>
        <w:trPr>
          <w:trHeight w:val="20"/>
        </w:trPr>
        <w:tc>
          <w:tcPr>
            <w:tcW w:w="2000" w:type="dxa"/>
            <w:vAlign w:val="bottom"/>
            <w:gridSpan w:val="10"/>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300" w:type="dxa"/>
            <w:vAlign w:val="bottom"/>
            <w:gridSpan w:val="1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57"/>
        </w:trPr>
        <w:tc>
          <w:tcPr>
            <w:tcW w:w="3140" w:type="dxa"/>
            <w:vAlign w:val="bottom"/>
            <w:tcBorders>
              <w:bottom w:val="single" w:sz="8" w:color="0000EE"/>
            </w:tcBorders>
            <w:gridSpan w:val="19"/>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5540" w:type="dxa"/>
            <w:vAlign w:val="bottom"/>
            <w:gridSpan w:val="5"/>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r>
      <w:tr>
        <w:trPr>
          <w:trHeight w:val="157"/>
        </w:trPr>
        <w:tc>
          <w:tcPr>
            <w:tcW w:w="2380" w:type="dxa"/>
            <w:vAlign w:val="bottom"/>
            <w:tcBorders>
              <w:bottom w:val="single" w:sz="8" w:color="0000EE"/>
            </w:tcBorders>
            <w:gridSpan w:val="11"/>
          </w:tcPr>
          <w:p>
            <w:pPr>
              <w:spacing w:after="0" w:line="157" w:lineRule="exact"/>
              <w:rPr>
                <w:sz w:val="20"/>
                <w:szCs w:val="20"/>
                <w:color w:val="auto"/>
              </w:rPr>
            </w:pPr>
            <w:r>
              <w:rPr>
                <w:rFonts w:ascii="Times New Roman" w:cs="Times New Roman" w:eastAsia="Times New Roman" w:hAnsi="Times New Roman"/>
                <w:sz w:val="15"/>
                <w:szCs w:val="15"/>
                <w:color w:val="0000EE"/>
                <w:w w:val="98"/>
              </w:rPr>
              <w:t>INCORPORATION BY REFERENCE</w:t>
            </w:r>
          </w:p>
        </w:tc>
        <w:tc>
          <w:tcPr>
            <w:tcW w:w="6300" w:type="dxa"/>
            <w:vAlign w:val="bottom"/>
            <w:gridSpan w:val="1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r>
      <w:tr>
        <w:trPr>
          <w:trHeight w:val="157"/>
        </w:trPr>
        <w:tc>
          <w:tcPr>
            <w:tcW w:w="1200" w:type="dxa"/>
            <w:vAlign w:val="bottom"/>
            <w:tcBorders>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5"/>
              </w:rPr>
              <w:t>LEGAL MATTERS</w:t>
            </w:r>
          </w:p>
        </w:tc>
        <w:tc>
          <w:tcPr>
            <w:tcW w:w="7480" w:type="dxa"/>
            <w:vAlign w:val="bottom"/>
            <w:gridSpan w:val="18"/>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27</w:t>
            </w:r>
          </w:p>
        </w:tc>
      </w:tr>
      <w:tr>
        <w:trPr>
          <w:trHeight w:val="157"/>
        </w:trPr>
        <w:tc>
          <w:tcPr>
            <w:tcW w:w="70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rPr>
              <w:t>EXPERTS</w:t>
            </w:r>
          </w:p>
        </w:tc>
        <w:tc>
          <w:tcPr>
            <w:tcW w:w="7980" w:type="dxa"/>
            <w:vAlign w:val="bottom"/>
            <w:gridSpan w:val="2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27</w:t>
            </w:r>
          </w:p>
        </w:tc>
      </w:tr>
    </w:tbl>
    <w:p>
      <w:pPr>
        <w:spacing w:after="0" w:line="1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S-i</w:t>
      </w:r>
    </w:p>
    <w:p>
      <w:pPr>
        <w:sectPr>
          <w:pgSz w:w="11900" w:h="16838" w:orient="portrait"/>
          <w:cols w:equalWidth="0" w:num="1">
            <w:col w:w="10159"/>
          </w:cols>
          <w:pgMar w:left="300" w:top="40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84" w:lineRule="exact"/>
        <w:rPr>
          <w:sz w:val="20"/>
          <w:szCs w:val="20"/>
          <w:color w:val="auto"/>
        </w:rPr>
      </w:pPr>
    </w:p>
    <w:p>
      <w:pPr>
        <w:ind w:left="1120" w:right="40"/>
        <w:spacing w:after="0" w:line="250"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are part of a “shelf” registration statement on Form S-3 (File No. 333-267643) that we filed with the Securities and Exchange Commission (the “SEC”), on September 28, 2022, and which was declared effective by the SEC on October 5, 2022 (the “2022 Registration Statement”). Pursuant to Rule 415(a)(5) under the Securities Act of 1933, as amended, securities under a registration statement may continue to be offered and sold under such registration statement until the earlier of the effective date of a new registration statement or 180 days after the third anniversary of the initial effective date of the prior registration statement, provided that the new registration statement is filed prior to the third anniversary of the effective date of the previously-filed shelf registration statement. We filed a new registration statement with the SEC on October 2, 2025, thereby extending the effectiveness of the 2022 Registration Statement for the additional period described above. Under the shelf registration process, we may from time to time offer and sell any combination of the securities described in the accompanying prospectus up to a total dollar amount of $400 million under the registration statement.</w:t>
      </w:r>
    </w:p>
    <w:p>
      <w:pPr>
        <w:spacing w:after="0" w:line="156" w:lineRule="exact"/>
        <w:rPr>
          <w:sz w:val="20"/>
          <w:szCs w:val="20"/>
          <w:color w:val="auto"/>
        </w:rPr>
      </w:pPr>
    </w:p>
    <w:p>
      <w:pPr>
        <w:ind w:left="1120" w:right="60"/>
        <w:spacing w:after="0" w:line="250" w:lineRule="auto"/>
        <w:rPr>
          <w:sz w:val="20"/>
          <w:szCs w:val="20"/>
          <w:color w:val="auto"/>
        </w:rPr>
      </w:pPr>
      <w:r>
        <w:rPr>
          <w:rFonts w:ascii="Times New Roman" w:cs="Times New Roman" w:eastAsia="Times New Roman" w:hAnsi="Times New Roman"/>
          <w:sz w:val="15"/>
          <w:szCs w:val="15"/>
          <w:color w:val="auto"/>
        </w:rPr>
        <w:t>This document is in two parts. The first part is this prospectus supplement, which describes the terms of this offering of our common stock and pre-funded warrants, and adds to and updates the information contained in the accompanying prospectus and the documents incorporated by reference herein or therein. The second part, the accompanying prospectus, including the documents incorporated by reference into the accompanying prospectus, provides more general information, some of which may not apply to this offering. Generally, when we refer to this prospectus supplement,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however,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56" w:lineRule="exact"/>
        <w:rPr>
          <w:sz w:val="20"/>
          <w:szCs w:val="20"/>
          <w:color w:val="auto"/>
        </w:rPr>
      </w:pPr>
    </w:p>
    <w:p>
      <w:pPr>
        <w:ind w:left="1120" w:right="220"/>
        <w:spacing w:after="0" w:line="270"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relate to the offering of shares of our common stock and pre-funded warrants. Before buying any of the shares of common stock or pre-funded warrants offered hereby, we urge you to read carefully this prospectus supplement and the accompanying prospectus, together with the information incorporated herein by reference as described below under the heading “Incorporation of Certain Information by Reference.” This prospectus supplement contains information about the common stock and the pre-funded warrants offered hereby and may add to, update or change information in the accompanying prospectus. 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our common stock or pre-funded warrants.</w:t>
      </w:r>
    </w:p>
    <w:p>
      <w:pPr>
        <w:spacing w:after="0" w:line="147" w:lineRule="exact"/>
        <w:rPr>
          <w:sz w:val="20"/>
          <w:szCs w:val="20"/>
          <w:color w:val="auto"/>
        </w:rPr>
      </w:pPr>
    </w:p>
    <w:p>
      <w:pPr>
        <w:ind w:left="1120"/>
        <w:spacing w:after="0" w:line="252" w:lineRule="auto"/>
        <w:rPr>
          <w:sz w:val="20"/>
          <w:szCs w:val="20"/>
          <w:color w:val="auto"/>
        </w:rPr>
      </w:pPr>
      <w:r>
        <w:rPr>
          <w:rFonts w:ascii="Times New Roman" w:cs="Times New Roman" w:eastAsia="Times New Roman" w:hAnsi="Times New Roman"/>
          <w:sz w:val="15"/>
          <w:szCs w:val="15"/>
          <w:color w:val="auto"/>
        </w:rPr>
        <w:t>You should rely only on the information contained in, or incorporated by reference into, this prospectus supplement and the accompanying prospectus. We have not, and the underwriters have not, authorized anyone to provide you with different or additional information. Neither we nor the underwriters take any responsibility for, and can provide no assurance as to the reliability of, any other information that others may give you. Neither the delivery of this prospectus supplement, the accompanying prospectus and any free writing prospectus that we have authorized for use in this offering, nor the sale of our common stock or pre-funded warrants means that information contained in this prospectus supplement, the accompanying prospectus and any free writing prospectus that we have authorized for use in this offering, is correct after their respective dates.</w:t>
      </w:r>
    </w:p>
    <w:p>
      <w:pPr>
        <w:spacing w:after="0" w:line="155" w:lineRule="exact"/>
        <w:rPr>
          <w:sz w:val="20"/>
          <w:szCs w:val="20"/>
          <w:color w:val="auto"/>
        </w:rPr>
      </w:pPr>
    </w:p>
    <w:p>
      <w:pPr>
        <w:jc w:val="both"/>
        <w:ind w:left="1120" w:right="120"/>
        <w:spacing w:after="0" w:line="287" w:lineRule="auto"/>
        <w:rPr>
          <w:sz w:val="20"/>
          <w:szCs w:val="20"/>
          <w:color w:val="auto"/>
        </w:rPr>
      </w:pPr>
      <w:r>
        <w:rPr>
          <w:rFonts w:ascii="Times New Roman" w:cs="Times New Roman" w:eastAsia="Times New Roman" w:hAnsi="Times New Roman"/>
          <w:sz w:val="14"/>
          <w:szCs w:val="14"/>
          <w:color w:val="auto"/>
        </w:rPr>
        <w:t>We are offering to sell, and seeking offers to buy, and the underwriters are soliciting offers to buy, our common stock and pre-funded warrants only in jurisdictions in which an offer or solicitation is authorized or in which the person making that offer or solicitation is qualified to do so. The distribution of this prospectus supplement and the accompanying prospectus and the offering of the securities in certain jurisdictions may be restricted by law.</w:t>
      </w:r>
    </w:p>
    <w:p>
      <w:pPr>
        <w:spacing w:after="0" w:line="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S-1</w:t>
      </w:r>
    </w:p>
    <w:p>
      <w:pPr>
        <w:sectPr>
          <w:pgSz w:w="11900" w:h="16838" w:orient="portrait"/>
          <w:cols w:equalWidth="0" w:num="1">
            <w:col w:w="10160"/>
          </w:cols>
          <w:pgMar w:left="300" w:top="400" w:right="1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79"/>
        <w:spacing w:after="0" w:line="253" w:lineRule="auto"/>
        <w:rPr>
          <w:sz w:val="20"/>
          <w:szCs w:val="20"/>
          <w:color w:val="auto"/>
        </w:rPr>
      </w:pPr>
      <w:r>
        <w:rPr>
          <w:rFonts w:ascii="Times New Roman" w:cs="Times New Roman" w:eastAsia="Times New Roman" w:hAnsi="Times New Roman"/>
          <w:sz w:val="15"/>
          <w:szCs w:val="15"/>
          <w:color w:val="auto"/>
        </w:rPr>
        <w:t>Persons outside the U.S.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55" w:lineRule="exact"/>
        <w:rPr>
          <w:sz w:val="20"/>
          <w:szCs w:val="20"/>
          <w:color w:val="auto"/>
        </w:rPr>
      </w:pPr>
    </w:p>
    <w:p>
      <w:pPr>
        <w:ind w:left="1120" w:right="179"/>
        <w:spacing w:after="0" w:line="253"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 entitled “Where You Can Find More Information.”</w:t>
      </w:r>
    </w:p>
    <w:p>
      <w:pPr>
        <w:spacing w:after="0" w:line="155" w:lineRule="exact"/>
        <w:rPr>
          <w:sz w:val="20"/>
          <w:szCs w:val="20"/>
          <w:color w:val="auto"/>
        </w:rPr>
      </w:pPr>
    </w:p>
    <w:p>
      <w:pPr>
        <w:ind w:left="1120" w:right="279"/>
        <w:spacing w:after="0" w:line="253" w:lineRule="auto"/>
        <w:rPr>
          <w:sz w:val="20"/>
          <w:szCs w:val="20"/>
          <w:color w:val="auto"/>
        </w:rPr>
      </w:pPr>
      <w:r>
        <w:rPr>
          <w:rFonts w:ascii="Times New Roman" w:cs="Times New Roman" w:eastAsia="Times New Roman" w:hAnsi="Times New Roman"/>
          <w:sz w:val="15"/>
          <w:szCs w:val="15"/>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5" w:lineRule="exact"/>
        <w:rPr>
          <w:sz w:val="20"/>
          <w:szCs w:val="20"/>
          <w:color w:val="auto"/>
        </w:rPr>
      </w:pPr>
    </w:p>
    <w:p>
      <w:pPr>
        <w:ind w:left="1120" w:right="39"/>
        <w:spacing w:after="0" w:line="251"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the accompanying prospectus or the documents incorporated herein by reference, these estimates involve risks and uncertainties and are subject to change based on various factors, including those discussed under the headings “Risk Factors” in this prospectus supplement and the accompanying prospectus, and under similar headings in the documents that are incorporated herein by reference. Accordingly, investors should not place undue reliance on this information.</w:t>
      </w:r>
    </w:p>
    <w:p>
      <w:pPr>
        <w:spacing w:after="0" w:line="156" w:lineRule="exact"/>
        <w:rPr>
          <w:sz w:val="20"/>
          <w:szCs w:val="20"/>
          <w:color w:val="auto"/>
        </w:rPr>
      </w:pPr>
    </w:p>
    <w:p>
      <w:pPr>
        <w:ind w:left="1120" w:right="199"/>
        <w:spacing w:after="0" w:line="273" w:lineRule="auto"/>
        <w:rPr>
          <w:sz w:val="20"/>
          <w:szCs w:val="20"/>
          <w:color w:val="auto"/>
        </w:rPr>
      </w:pPr>
      <w:r>
        <w:rPr>
          <w:rFonts w:ascii="Times New Roman" w:cs="Times New Roman" w:eastAsia="Times New Roman" w:hAnsi="Times New Roman"/>
          <w:sz w:val="15"/>
          <w:szCs w:val="15"/>
          <w:color w:val="auto"/>
        </w:rPr>
        <w:t>References in this prospectus supplement to the terms “the Company,” “Invivyd,” “we,” “our” and “us” or other similar terms mean Invivyd, Inc. and our wholly-owned subsidiaries, unless we state otherwise or the context indicates otherwise.</w:t>
      </w:r>
    </w:p>
    <w:p>
      <w:pPr>
        <w:spacing w:after="0" w:line="140" w:lineRule="exact"/>
        <w:rPr>
          <w:sz w:val="20"/>
          <w:szCs w:val="20"/>
          <w:color w:val="auto"/>
        </w:rPr>
      </w:pPr>
    </w:p>
    <w:p>
      <w:pPr>
        <w:ind w:left="1120" w:right="99"/>
        <w:spacing w:after="0" w:line="255" w:lineRule="auto"/>
        <w:rPr>
          <w:sz w:val="20"/>
          <w:szCs w:val="20"/>
          <w:color w:val="auto"/>
        </w:rPr>
      </w:pPr>
      <w:r>
        <w:rPr>
          <w:rFonts w:ascii="Times New Roman" w:cs="Times New Roman" w:eastAsia="Times New Roman" w:hAnsi="Times New Roman"/>
          <w:sz w:val="15"/>
          <w:szCs w:val="15"/>
          <w:color w:val="auto"/>
        </w:rPr>
        <w:t>“Invivyd,” “PEMGARDA,” “INVYMAB” as well as logos and certain stylized versions of these word marks are registered trademarks of Invivyd, Inc. This prospectus supplement and the accompanying prospectus and the documents incorporated by reference herein and therein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S-2</w:t>
      </w:r>
    </w:p>
    <w:p>
      <w:pPr>
        <w:sectPr>
          <w:pgSz w:w="11900" w:h="16838" w:orient="portrait"/>
          <w:cols w:equalWidth="0" w:num="1">
            <w:col w:w="10159"/>
          </w:cols>
          <w:pgMar w:left="300" w:top="40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4924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8020" cy="4924425"/>
                    </a:xfrm>
                    <a:prstGeom prst="rect">
                      <a:avLst/>
                    </a:prstGeom>
                    <a:noFill/>
                  </pic:spPr>
                </pic:pic>
              </a:graphicData>
            </a:graphic>
          </wp:anchor>
        </w:drawing>
      </w:r>
    </w:p>
    <w:p>
      <w:pPr>
        <w:spacing w:after="0" w:line="3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PROSPECTUS SUPPLEMENT SUMMARY</w:t>
      </w:r>
    </w:p>
    <w:p>
      <w:pPr>
        <w:spacing w:after="0" w:line="184" w:lineRule="exact"/>
        <w:rPr>
          <w:sz w:val="20"/>
          <w:szCs w:val="20"/>
          <w:color w:val="auto"/>
        </w:rPr>
      </w:pPr>
    </w:p>
    <w:p>
      <w:pPr>
        <w:ind w:left="1280" w:right="359"/>
        <w:spacing w:after="0" w:line="253" w:lineRule="auto"/>
        <w:rPr>
          <w:sz w:val="20"/>
          <w:szCs w:val="20"/>
          <w:color w:val="auto"/>
        </w:rPr>
      </w:pPr>
      <w:r>
        <w:rPr>
          <w:rFonts w:ascii="Times New Roman" w:cs="Times New Roman" w:eastAsia="Times New Roman" w:hAnsi="Times New Roman"/>
          <w:sz w:val="15"/>
          <w:szCs w:val="15"/>
          <w:color w:val="auto"/>
        </w:rPr>
        <w:t>This summary highlights selected information about us and this offering and does not contain all of the information that you should consider in making your investment decision. You should carefully read this entire prospectus supplement and the accompanying prospectus, including the risks and uncertainties discussed under the heading “Risk Factors” beginning on page S-9 of this prospectus supplement, and the information incorporated by reference in this prospectus supplement and the accompanying prospectus, including our financial statements, before making an investment decision. If you invest in our securities, you are assuming a high degree of risk.</w:t>
      </w: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95" w:lineRule="exact"/>
        <w:rPr>
          <w:sz w:val="20"/>
          <w:szCs w:val="20"/>
          <w:color w:val="auto"/>
        </w:rPr>
      </w:pPr>
    </w:p>
    <w:p>
      <w:pPr>
        <w:ind w:left="1280" w:right="479"/>
        <w:spacing w:after="0" w:line="219" w:lineRule="auto"/>
        <w:rPr>
          <w:sz w:val="20"/>
          <w:szCs w:val="20"/>
          <w:color w:val="auto"/>
        </w:rPr>
      </w:pPr>
      <w:r>
        <w:rPr>
          <w:rFonts w:ascii="Times New Roman" w:cs="Times New Roman" w:eastAsia="Times New Roman" w:hAnsi="Times New Roman"/>
          <w:sz w:val="15"/>
          <w:szCs w:val="15"/>
          <w:color w:val="auto"/>
        </w:rPr>
        <w:t>We are a biopharmaceutical company devoted to delivering protection from serious viral infectious diseases, beginning with SARS-CoV-2. PEMGARDA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(pemivibart) is our first monoclonal antibody (“mAb”) to receive regulatory authorization and was designed to keep pace with SARS-CoV-2 viral evolution.</w:t>
      </w:r>
    </w:p>
    <w:p>
      <w:pPr>
        <w:spacing w:after="0" w:line="164" w:lineRule="exact"/>
        <w:rPr>
          <w:sz w:val="20"/>
          <w:szCs w:val="20"/>
          <w:color w:val="auto"/>
        </w:rPr>
      </w:pPr>
    </w:p>
    <w:p>
      <w:pPr>
        <w:ind w:left="1280" w:right="279"/>
        <w:spacing w:after="0" w:line="252" w:lineRule="auto"/>
        <w:rPr>
          <w:sz w:val="20"/>
          <w:szCs w:val="20"/>
          <w:color w:val="auto"/>
        </w:rPr>
      </w:pPr>
      <w:r>
        <w:rPr>
          <w:rFonts w:ascii="Times New Roman" w:cs="Times New Roman" w:eastAsia="Times New Roman" w:hAnsi="Times New Roman"/>
          <w:sz w:val="15"/>
          <w:szCs w:val="15"/>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55" w:lineRule="exact"/>
        <w:rPr>
          <w:sz w:val="20"/>
          <w:szCs w:val="20"/>
          <w:color w:val="auto"/>
        </w:rPr>
      </w:pPr>
    </w:p>
    <w:p>
      <w:pPr>
        <w:ind w:left="1280" w:right="179"/>
        <w:spacing w:after="0" w:line="248" w:lineRule="auto"/>
        <w:rPr>
          <w:sz w:val="20"/>
          <w:szCs w:val="20"/>
          <w:color w:val="auto"/>
        </w:rPr>
      </w:pPr>
      <w:r>
        <w:rPr>
          <w:rFonts w:ascii="Times New Roman" w:cs="Times New Roman" w:eastAsia="Times New Roman" w:hAnsi="Times New Roman"/>
          <w:sz w:val="15"/>
          <w:szCs w:val="15"/>
          <w:color w:val="auto"/>
        </w:rPr>
        <w:t>In January 2024, we nominated VYD2311, a next generation mAb candidate for COVID-19, as a drug candidate, and in September 2024, we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(“IM”) administration and subcutaneous administration, which are designed to be more system- and patient-friendly than intravenous administration. In June 2025, we announced positive full Phase 1/2 clinical data for VYD2311 for both safety and pharmacokinetics. In August 2025, we announced alignment with advice from the FDA on a compact and, therefore, rapid pathway to potential Biologics License Application (“BLA”) approval for VYD2311 for the prevention of COVID-19. As part of Type C meeting feedback, the FDA advised that a single, randomized, placebo-controlled trial evaluating mAb efficacy in prevention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In October 2025, we announced that the FDA cleared our Investigational New Drug (“IND”) application for VYD2311 and provided feedback to advance our REVOLUTION clinical program, which is our development program for VYD2311. The REVOLUTION clinical program will include two clinical trials, DECLARATION and LIBERTY. The DECLARATION clinical trial is our BLA-enabling, Phase 3 randomized, triple-blind, placebo-controlled pivotal clinical trial to evaluate the efficacy and safety of VYD2311 for the prevention of symptomatic COVID at three months, with either a single dose or monthly doses of VYD2311, each administered via IM injection, compared to placebo. The LIBERTY clinical trial is designed as a Phase 3, randomized, pooled-vaccine, double-blind clinical trial to evaluate head-to-head safety and tolerability and co-administration interaction of VYD2311 with approved mRNA-based COVID vaccines in adults, subject to final alignment with the FDA. The DECLARATION and LIBERTY clinical trials are expected to begin around year-end 2025, with top-line data anticipated mid-2026. Additional studies in the REVOLUTION clinical program may be contemplated for</w:t>
      </w: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S-3</w:t>
      </w:r>
    </w:p>
    <w:p>
      <w:pPr>
        <w:sectPr>
          <w:pgSz w:w="11900" w:h="16838" w:orient="portrait"/>
          <w:cols w:equalWidth="0" w:num="1">
            <w:col w:w="10159"/>
          </w:cols>
          <w:pgMar w:left="300" w:top="40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4699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8020" cy="4699635"/>
                    </a:xfrm>
                    <a:prstGeom prst="rect">
                      <a:avLst/>
                    </a:prstGeom>
                    <a:noFill/>
                  </pic:spPr>
                </pic:pic>
              </a:graphicData>
            </a:graphic>
          </wp:anchor>
        </w:drawing>
      </w:r>
    </w:p>
    <w:p>
      <w:pPr>
        <w:spacing w:after="0" w:line="386" w:lineRule="exact"/>
        <w:rPr>
          <w:sz w:val="20"/>
          <w:szCs w:val="20"/>
          <w:color w:val="auto"/>
        </w:rPr>
      </w:pPr>
    </w:p>
    <w:p>
      <w:pPr>
        <w:ind w:left="1280" w:right="579"/>
        <w:spacing w:after="0" w:line="260" w:lineRule="auto"/>
        <w:rPr>
          <w:sz w:val="20"/>
          <w:szCs w:val="20"/>
          <w:color w:val="auto"/>
        </w:rPr>
      </w:pPr>
      <w:r>
        <w:rPr>
          <w:rFonts w:ascii="Times New Roman" w:cs="Times New Roman" w:eastAsia="Times New Roman" w:hAnsi="Times New Roman"/>
          <w:sz w:val="15"/>
          <w:szCs w:val="15"/>
          <w:color w:val="auto"/>
        </w:rPr>
        <w:t>conduct post-approval of VYD2311, if a BLA is granted by the FDA, to further elaborate the profile of antibody prevention of COVID.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149" w:lineRule="exact"/>
        <w:rPr>
          <w:sz w:val="20"/>
          <w:szCs w:val="20"/>
          <w:color w:val="auto"/>
        </w:rPr>
      </w:pPr>
    </w:p>
    <w:p>
      <w:pPr>
        <w:ind w:left="1280" w:right="159"/>
        <w:spacing w:after="0" w:line="255" w:lineRule="auto"/>
        <w:rPr>
          <w:sz w:val="20"/>
          <w:szCs w:val="20"/>
          <w:color w:val="auto"/>
        </w:rPr>
      </w:pPr>
      <w:r>
        <w:rPr>
          <w:rFonts w:ascii="Times New Roman" w:cs="Times New Roman" w:eastAsia="Times New Roman" w:hAnsi="Times New Roman"/>
          <w:sz w:val="15"/>
          <w:szCs w:val="15"/>
          <w:color w:val="auto"/>
        </w:rPr>
        <w:t>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our investigational mAb candidate VYD2311.</w:t>
      </w:r>
    </w:p>
    <w:p>
      <w:pPr>
        <w:spacing w:after="0" w:line="153" w:lineRule="exact"/>
        <w:rPr>
          <w:sz w:val="20"/>
          <w:szCs w:val="20"/>
          <w:color w:val="auto"/>
        </w:rPr>
      </w:pPr>
    </w:p>
    <w:p>
      <w:pPr>
        <w:ind w:left="1280" w:right="199"/>
        <w:spacing w:after="0" w:line="251" w:lineRule="auto"/>
        <w:rPr>
          <w:sz w:val="20"/>
          <w:szCs w:val="20"/>
          <w:color w:val="auto"/>
        </w:rPr>
      </w:pPr>
      <w:r>
        <w:rPr>
          <w:rFonts w:ascii="Times New Roman" w:cs="Times New Roman" w:eastAsia="Times New Roman" w:hAnsi="Times New Roman"/>
          <w:sz w:val="15"/>
          <w:szCs w:val="15"/>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over five years in the COVID-19 space, we aim to develop mAbs that could be used in prevention or treatment of serious viral diseases, starting with COVID-19 and potentially expanding into other high-need indications.</w:t>
      </w:r>
    </w:p>
    <w:p>
      <w:pPr>
        <w:spacing w:after="0" w:line="156" w:lineRule="exact"/>
        <w:rPr>
          <w:sz w:val="20"/>
          <w:szCs w:val="20"/>
          <w:color w:val="auto"/>
        </w:rPr>
      </w:pPr>
    </w:p>
    <w:p>
      <w:pPr>
        <w:ind w:left="1280" w:right="159"/>
        <w:spacing w:after="0" w:line="251" w:lineRule="auto"/>
        <w:rPr>
          <w:sz w:val="20"/>
          <w:szCs w:val="20"/>
          <w:color w:val="auto"/>
        </w:rPr>
      </w:pPr>
      <w:r>
        <w:rPr>
          <w:rFonts w:ascii="Times New Roman" w:cs="Times New Roman" w:eastAsia="Times New Roman" w:hAnsi="Times New Roman"/>
          <w:sz w:val="15"/>
          <w:szCs w:val="15"/>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156" w:lineRule="exact"/>
        <w:rPr>
          <w:sz w:val="20"/>
          <w:szCs w:val="20"/>
          <w:color w:val="auto"/>
        </w:rPr>
      </w:pPr>
    </w:p>
    <w:p>
      <w:pPr>
        <w:ind w:left="1280" w:right="199"/>
        <w:spacing w:after="0" w:line="251" w:lineRule="auto"/>
        <w:rPr>
          <w:sz w:val="20"/>
          <w:szCs w:val="20"/>
          <w:color w:val="auto"/>
        </w:rPr>
      </w:pPr>
      <w:r>
        <w:rPr>
          <w:rFonts w:ascii="Times New Roman" w:cs="Times New Roman" w:eastAsia="Times New Roman" w:hAnsi="Times New Roman"/>
          <w:sz w:val="15"/>
          <w:szCs w:val="15"/>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announced attractive neutralization potency of VYD2311 against the same contemporary viruses, and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w:t>
      </w:r>
    </w:p>
    <w:p>
      <w:pPr>
        <w:spacing w:after="0" w:line="156" w:lineRule="exact"/>
        <w:rPr>
          <w:sz w:val="20"/>
          <w:szCs w:val="20"/>
          <w:color w:val="auto"/>
        </w:rPr>
      </w:pPr>
    </w:p>
    <w:p>
      <w:pPr>
        <w:ind w:left="1280" w:right="159"/>
        <w:spacing w:after="0" w:line="273" w:lineRule="auto"/>
        <w:rPr>
          <w:sz w:val="20"/>
          <w:szCs w:val="20"/>
          <w:color w:val="auto"/>
        </w:rPr>
      </w:pPr>
      <w:r>
        <w:rPr>
          <w:rFonts w:ascii="Times New Roman" w:cs="Times New Roman" w:eastAsia="Times New Roman" w:hAnsi="Times New Roman"/>
          <w:sz w:val="15"/>
          <w:szCs w:val="15"/>
          <w:color w:val="auto"/>
        </w:rPr>
        <w:t>For more information about our company, please refer to other documents that we have filed with the SEC and that are incorporated by reference in this prospectus supplement, as listed under the heading “Incorporation of Certain Information by Reference.”</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95" w:lineRule="exact"/>
        <w:rPr>
          <w:sz w:val="20"/>
          <w:szCs w:val="20"/>
          <w:color w:val="auto"/>
        </w:rPr>
      </w:pPr>
    </w:p>
    <w:p>
      <w:pPr>
        <w:ind w:left="1280" w:right="319"/>
        <w:spacing w:after="0" w:line="273" w:lineRule="auto"/>
        <w:rPr>
          <w:sz w:val="20"/>
          <w:szCs w:val="20"/>
          <w:color w:val="auto"/>
        </w:rPr>
      </w:pPr>
      <w:r>
        <w:rPr>
          <w:rFonts w:ascii="Times New Roman" w:cs="Times New Roman" w:eastAsia="Times New Roman" w:hAnsi="Times New Roman"/>
          <w:sz w:val="15"/>
          <w:szCs w:val="15"/>
          <w:color w:val="auto"/>
        </w:rPr>
        <w:t>We were incorporated under the laws of the State of Delaware in June 2020. We operate as a hybrid company. Our principal executive offices are located at 209 Church Street, New Haven, CT 06510, and our telephone</w:t>
      </w: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S-4</w:t>
      </w:r>
    </w:p>
    <w:p>
      <w:pPr>
        <w:sectPr>
          <w:pgSz w:w="11900" w:h="16838" w:orient="portrait"/>
          <w:cols w:equalWidth="0" w:num="1">
            <w:col w:w="10159"/>
          </w:cols>
          <w:pgMar w:left="300" w:top="40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4502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8020" cy="4502150"/>
                    </a:xfrm>
                    <a:prstGeom prst="rect">
                      <a:avLst/>
                    </a:prstGeom>
                    <a:noFill/>
                  </pic:spPr>
                </pic:pic>
              </a:graphicData>
            </a:graphic>
          </wp:anchor>
        </w:drawing>
      </w:r>
    </w:p>
    <w:p>
      <w:pPr>
        <w:spacing w:after="0" w:line="386" w:lineRule="exact"/>
        <w:rPr>
          <w:sz w:val="20"/>
          <w:szCs w:val="20"/>
          <w:color w:val="auto"/>
        </w:rPr>
      </w:pPr>
    </w:p>
    <w:p>
      <w:pPr>
        <w:ind w:left="1280" w:right="199"/>
        <w:spacing w:after="0" w:line="260" w:lineRule="auto"/>
        <w:rPr>
          <w:sz w:val="20"/>
          <w:szCs w:val="20"/>
          <w:color w:val="auto"/>
        </w:rPr>
      </w:pPr>
      <w:r>
        <w:rPr>
          <w:rFonts w:ascii="Times New Roman" w:cs="Times New Roman" w:eastAsia="Times New Roman" w:hAnsi="Times New Roman"/>
          <w:sz w:val="15"/>
          <w:szCs w:val="15"/>
          <w:color w:val="auto"/>
        </w:rPr>
        <w:t>number is (781) 819-0080. Our website address is www.invivyd.com. We do not incorporate the information on, or accessible through, our website into this prospectus supplement, and you should not consider any information on, or accessible through, our website as part of this prospectus supplement.</w:t>
      </w:r>
    </w:p>
    <w:p>
      <w:pPr>
        <w:spacing w:after="0" w:line="2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 and a Smaller Reporting Company</w:t>
      </w:r>
    </w:p>
    <w:p>
      <w:pPr>
        <w:spacing w:after="0" w:line="95" w:lineRule="exact"/>
        <w:rPr>
          <w:sz w:val="20"/>
          <w:szCs w:val="20"/>
          <w:color w:val="auto"/>
        </w:rPr>
      </w:pPr>
    </w:p>
    <w:p>
      <w:pPr>
        <w:ind w:left="1280" w:right="239"/>
        <w:spacing w:after="0" w:line="251"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8" w:lineRule="exact"/>
        <w:rPr>
          <w:sz w:val="20"/>
          <w:szCs w:val="20"/>
          <w:color w:val="auto"/>
        </w:rPr>
      </w:pPr>
    </w:p>
    <w:p>
      <w:pPr>
        <w:ind w:left="2040" w:right="659" w:hanging="336"/>
        <w:spacing w:after="0" w:line="273" w:lineRule="auto"/>
        <w:tabs>
          <w:tab w:leader="none" w:pos="20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compliance with the auditor attestation requirement in the assessment of our internal control over financial reporting;</w:t>
      </w:r>
    </w:p>
    <w:p>
      <w:pPr>
        <w:spacing w:after="0" w:line="61" w:lineRule="exact"/>
        <w:rPr>
          <w:rFonts w:ascii="Times New Roman" w:cs="Times New Roman" w:eastAsia="Times New Roman" w:hAnsi="Times New Roman"/>
          <w:sz w:val="15"/>
          <w:szCs w:val="15"/>
          <w:color w:val="auto"/>
        </w:rPr>
      </w:pPr>
    </w:p>
    <w:p>
      <w:pPr>
        <w:ind w:left="2040" w:hanging="336"/>
        <w:spacing w:after="0"/>
        <w:tabs>
          <w:tab w:leader="none" w:pos="20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w:t>
      </w:r>
    </w:p>
    <w:p>
      <w:pPr>
        <w:spacing w:after="0" w:line="104" w:lineRule="exact"/>
        <w:rPr>
          <w:rFonts w:ascii="Times New Roman" w:cs="Times New Roman" w:eastAsia="Times New Roman" w:hAnsi="Times New Roman"/>
          <w:sz w:val="15"/>
          <w:szCs w:val="15"/>
          <w:color w:val="auto"/>
        </w:rPr>
      </w:pPr>
    </w:p>
    <w:p>
      <w:pPr>
        <w:ind w:left="2040" w:right="159" w:hanging="336"/>
        <w:spacing w:after="0" w:line="273" w:lineRule="auto"/>
        <w:tabs>
          <w:tab w:leader="none" w:pos="20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exemptions from the requirements of holding a non-binding advisory vote on executive compensation and stockholder approval of any golden parachute payments not previously approved; and</w:t>
      </w:r>
    </w:p>
    <w:p>
      <w:pPr>
        <w:spacing w:after="0" w:line="61" w:lineRule="exact"/>
        <w:rPr>
          <w:rFonts w:ascii="Times New Roman" w:cs="Times New Roman" w:eastAsia="Times New Roman" w:hAnsi="Times New Roman"/>
          <w:sz w:val="15"/>
          <w:szCs w:val="15"/>
          <w:color w:val="auto"/>
        </w:rPr>
      </w:pPr>
    </w:p>
    <w:p>
      <w:pPr>
        <w:ind w:left="2040" w:right="979" w:hanging="336"/>
        <w:spacing w:after="0" w:line="273" w:lineRule="auto"/>
        <w:tabs>
          <w:tab w:leader="none" w:pos="20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compliance with the requirements of the Public Company Accounting Oversight Board regarding the communication of critical audit matters in the auditor’s report on the financial statements.</w:t>
      </w:r>
    </w:p>
    <w:p>
      <w:pPr>
        <w:spacing w:after="0" w:line="140" w:lineRule="exact"/>
        <w:rPr>
          <w:sz w:val="20"/>
          <w:szCs w:val="20"/>
          <w:color w:val="auto"/>
        </w:rPr>
      </w:pPr>
    </w:p>
    <w:p>
      <w:pPr>
        <w:ind w:left="1280" w:right="219"/>
        <w:spacing w:after="0" w:line="252"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from new or revised accounting standards and, therefore, may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55" w:lineRule="exact"/>
        <w:rPr>
          <w:sz w:val="20"/>
          <w:szCs w:val="20"/>
          <w:color w:val="auto"/>
        </w:rPr>
      </w:pPr>
    </w:p>
    <w:p>
      <w:pPr>
        <w:ind w:left="1280" w:right="159"/>
        <w:spacing w:after="0" w:line="250" w:lineRule="auto"/>
        <w:rPr>
          <w:sz w:val="20"/>
          <w:szCs w:val="20"/>
          <w:color w:val="auto"/>
        </w:rPr>
      </w:pPr>
      <w:r>
        <w:rPr>
          <w:rFonts w:ascii="Times New Roman" w:cs="Times New Roman" w:eastAsia="Times New Roman" w:hAnsi="Times New Roman"/>
          <w:sz w:val="15"/>
          <w:szCs w:val="15"/>
          <w:color w:val="auto"/>
        </w:rPr>
        <w:t>We are also a “smaller reporting company” as defined in the Securities Exchange Act of 1934, as amended (the “Exchange Act”). We may continue to be a smaller reporting company even after we are no longer an emerging growth company, which would allow us to take advantage of many of the same exemptions available to emerging growth companies.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 addition, if we are a smaller reporting company with less than $100.0 million in annual revenue, we would not be required to comply with the auditor attestation requirements of Section 404 of the Sarbanes-Oxley Act of 2002.</w:t>
      </w: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S-5</w:t>
      </w:r>
    </w:p>
    <w:p>
      <w:pPr>
        <w:sectPr>
          <w:pgSz w:w="11900" w:h="16838" w:orient="portrait"/>
          <w:cols w:equalWidth="0" w:num="1">
            <w:col w:w="10159"/>
          </w:cols>
          <w:pgMar w:left="300" w:top="40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46926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8020" cy="4692650"/>
                    </a:xfrm>
                    <a:prstGeom prst="rect">
                      <a:avLst/>
                    </a:prstGeom>
                    <a:noFill/>
                  </pic:spPr>
                </pic:pic>
              </a:graphicData>
            </a:graphic>
          </wp:anchor>
        </w:drawing>
      </w:r>
    </w:p>
    <w:p>
      <w:pPr>
        <w:spacing w:after="0" w:line="384" w:lineRule="exact"/>
        <w:rPr>
          <w:sz w:val="20"/>
          <w:szCs w:val="20"/>
          <w:color w:val="auto"/>
        </w:rPr>
      </w:pPr>
    </w:p>
    <w:p>
      <w:pPr>
        <w:jc w:val="right"/>
        <w:ind w:right="3980"/>
        <w:spacing w:after="0"/>
        <w:rPr>
          <w:sz w:val="20"/>
          <w:szCs w:val="20"/>
          <w:color w:val="auto"/>
        </w:rPr>
      </w:pPr>
      <w:r>
        <w:rPr>
          <w:rFonts w:ascii="Times New Roman" w:cs="Times New Roman" w:eastAsia="Times New Roman" w:hAnsi="Times New Roman"/>
          <w:sz w:val="15"/>
          <w:szCs w:val="15"/>
          <w:b w:val="1"/>
          <w:bCs w:val="1"/>
          <w:color w:val="auto"/>
        </w:rPr>
        <w:t>THE OFFERING</w:t>
      </w:r>
    </w:p>
    <w:p>
      <w:pPr>
        <w:sectPr>
          <w:pgSz w:w="11900" w:h="16838" w:orient="portrait"/>
          <w:cols w:equalWidth="0" w:num="1">
            <w:col w:w="10180"/>
          </w:cols>
          <w:pgMar w:left="300" w:top="400" w:right="1419" w:bottom="1440" w:gutter="0" w:footer="0" w:header="0"/>
        </w:sectPr>
      </w:pPr>
    </w:p>
    <w:p>
      <w:pPr>
        <w:spacing w:after="0" w:line="204" w:lineRule="exact"/>
        <w:rPr>
          <w:sz w:val="20"/>
          <w:szCs w:val="20"/>
          <w:color w:val="auto"/>
        </w:rPr>
      </w:pPr>
    </w:p>
    <w:p>
      <w:pPr>
        <w:ind w:left="1340" w:right="360" w:hanging="64"/>
        <w:spacing w:after="0" w:line="276" w:lineRule="auto"/>
        <w:rPr>
          <w:sz w:val="20"/>
          <w:szCs w:val="20"/>
          <w:color w:val="auto"/>
        </w:rPr>
      </w:pPr>
      <w:r>
        <w:rPr>
          <w:rFonts w:ascii="Times New Roman" w:cs="Times New Roman" w:eastAsia="Times New Roman" w:hAnsi="Times New Roman"/>
          <w:sz w:val="15"/>
          <w:szCs w:val="15"/>
          <w:b w:val="1"/>
          <w:bCs w:val="1"/>
          <w:color w:val="auto"/>
        </w:rPr>
        <w:t>Common stock offered by us pursuant to this prospectus supplement</w:t>
      </w:r>
    </w:p>
    <w:p>
      <w:pPr>
        <w:spacing w:after="0" w:line="168" w:lineRule="exact"/>
        <w:rPr>
          <w:sz w:val="20"/>
          <w:szCs w:val="20"/>
          <w:color w:val="auto"/>
        </w:rPr>
      </w:pPr>
    </w:p>
    <w:p>
      <w:pPr>
        <w:ind w:left="1340" w:hanging="64"/>
        <w:spacing w:after="0" w:line="276" w:lineRule="auto"/>
        <w:rPr>
          <w:sz w:val="20"/>
          <w:szCs w:val="20"/>
          <w:color w:val="auto"/>
        </w:rPr>
      </w:pPr>
      <w:r>
        <w:rPr>
          <w:rFonts w:ascii="Times New Roman" w:cs="Times New Roman" w:eastAsia="Times New Roman" w:hAnsi="Times New Roman"/>
          <w:sz w:val="15"/>
          <w:szCs w:val="15"/>
          <w:b w:val="1"/>
          <w:bCs w:val="1"/>
          <w:color w:val="auto"/>
        </w:rPr>
        <w:t>Pre-funded warrants offered by us pursuant to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5"/>
          <w:szCs w:val="15"/>
          <w:color w:val="auto"/>
        </w:rPr>
        <w:t>44,000,000 shares of our common stock (or 51,500,000 shares of our common stock if the underwriters exercise their option to purchase additional shares in full).</w:t>
      </w:r>
    </w:p>
    <w:p>
      <w:pPr>
        <w:spacing w:after="0" w:line="173"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5"/>
          <w:szCs w:val="15"/>
          <w:color w:val="auto"/>
        </w:rPr>
        <w:t>In lieu of common stock to investors who so choose, we are also offering pre-funded warrants to purchase an aggregate of up to 6,000,000 shares of common stock. The purchase price of each pre-funded warrant equals the price per share at which shares of our common stock are being sold to the public in this offering, minus $0.0001, which is the exercise price per share underlying the pre-funded warrants. Each pre-funded warrant will be exercisable from the date of issuance until the date the pre-funded warrant is exercised in full. See “Description of Pre-Funded Warrants.”</w:t>
      </w:r>
    </w:p>
    <w:p>
      <w:pPr>
        <w:spacing w:after="0" w:line="17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5"/>
          <w:szCs w:val="15"/>
          <w:color w:val="auto"/>
        </w:rPr>
        <w:t>We have granted the underwriters an option for a period of up to 30 days from the date of this prospectus supplement to purchase up to an additional 7,500,000 shares of our common stock from us at the public offering price, less underwriting discounts and commissions.</w:t>
      </w:r>
    </w:p>
    <w:p>
      <w:pPr>
        <w:spacing w:after="0" w:line="174" w:lineRule="exact"/>
        <w:rPr>
          <w:sz w:val="20"/>
          <w:szCs w:val="20"/>
          <w:color w:val="auto"/>
        </w:rPr>
      </w:pPr>
    </w:p>
    <w:p>
      <w:pPr>
        <w:sectPr>
          <w:pgSz w:w="11900" w:h="16838" w:orient="portrait"/>
          <w:cols w:equalWidth="0" w:num="2">
            <w:col w:w="4480" w:space="100"/>
            <w:col w:w="5600"/>
          </w:cols>
          <w:pgMar w:left="300" w:top="400" w:right="141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5"/>
          <w:szCs w:val="15"/>
          <w:b w:val="1"/>
          <w:bCs w:val="1"/>
          <w:color w:val="auto"/>
        </w:rPr>
        <w:t xml:space="preserve">Common stock to be outstanding immediately after </w:t>
      </w:r>
      <w:r>
        <w:rPr>
          <w:rFonts w:ascii="Times New Roman" w:cs="Times New Roman" w:eastAsia="Times New Roman" w:hAnsi="Times New Roman"/>
          <w:sz w:val="15"/>
          <w:szCs w:val="15"/>
          <w:color w:val="auto"/>
        </w:rPr>
        <w:t>277,064,852 shares (or 284,564,852 shares if the underwriters exercise in full their option</w:t>
      </w:r>
    </w:p>
    <w:p>
      <w:pPr>
        <w:spacing w:after="0" w:line="21" w:lineRule="exact"/>
        <w:rPr>
          <w:sz w:val="20"/>
          <w:szCs w:val="20"/>
          <w:color w:val="auto"/>
        </w:rPr>
      </w:pPr>
    </w:p>
    <w:p>
      <w:pPr>
        <w:ind w:left="4580" w:right="620" w:hanging="3246"/>
        <w:spacing w:after="0" w:line="253" w:lineRule="auto"/>
        <w:tabs>
          <w:tab w:leader="none" w:pos="4560" w:val="left"/>
        </w:tabs>
        <w:rPr>
          <w:sz w:val="20"/>
          <w:szCs w:val="20"/>
          <w:color w:val="auto"/>
        </w:rPr>
      </w:pPr>
      <w:r>
        <w:rPr>
          <w:rFonts w:ascii="Times New Roman" w:cs="Times New Roman" w:eastAsia="Times New Roman" w:hAnsi="Times New Roman"/>
          <w:sz w:val="15"/>
          <w:szCs w:val="15"/>
          <w:b w:val="1"/>
          <w:bCs w:val="1"/>
          <w:color w:val="auto"/>
        </w:rPr>
        <w:t>this offering</w:t>
      </w:r>
      <w:r>
        <w:rPr>
          <w:sz w:val="20"/>
          <w:szCs w:val="20"/>
          <w:color w:val="auto"/>
        </w:rPr>
        <w:tab/>
      </w:r>
      <w:r>
        <w:rPr>
          <w:rFonts w:ascii="Times New Roman" w:cs="Times New Roman" w:eastAsia="Times New Roman" w:hAnsi="Times New Roman"/>
          <w:sz w:val="15"/>
          <w:szCs w:val="15"/>
          <w:color w:val="auto"/>
        </w:rPr>
        <w:t>to purchase additional shares), excluding any shares of common stock issuable upon exercise of the pre-funded warrants.</w:t>
      </w:r>
    </w:p>
    <w:p>
      <w:pPr>
        <w:spacing w:after="0" w:line="174" w:lineRule="exact"/>
        <w:rPr>
          <w:sz w:val="20"/>
          <w:szCs w:val="20"/>
          <w:color w:val="auto"/>
        </w:rPr>
      </w:pPr>
    </w:p>
    <w:tbl>
      <w:tblPr>
        <w:tblLayout w:type="fixed"/>
        <w:tblInd w:w="1120" w:type="dxa"/>
        <w:tblCellMar>
          <w:top w:w="0" w:type="dxa"/>
          <w:left w:w="0" w:type="dxa"/>
          <w:bottom w:w="0" w:type="dxa"/>
          <w:right w:w="0" w:type="dxa"/>
        </w:tblCellMar>
      </w:tblPr>
      <w:tr>
        <w:trPr>
          <w:trHeight w:val="179"/>
        </w:trPr>
        <w:tc>
          <w:tcPr>
            <w:tcW w:w="23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Use of Proceeds</w:t>
            </w: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We estimate that our net proceeds from this offering will be approximately $117.2 million,</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or $134.8 million if the option to purchase additional shares is exercised in full by the</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underwriters, after deducting underwriting discounts and commissions and estimated</w:t>
            </w:r>
          </w:p>
        </w:tc>
      </w:tr>
      <w:tr>
        <w:trPr>
          <w:trHeight w:val="192"/>
        </w:trPr>
        <w:tc>
          <w:tcPr>
            <w:tcW w:w="2300" w:type="dxa"/>
            <w:vAlign w:val="bottom"/>
          </w:tcPr>
          <w:p>
            <w:pPr>
              <w:spacing w:after="0"/>
              <w:rPr>
                <w:sz w:val="16"/>
                <w:szCs w:val="16"/>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offering expenses payable by us.</w:t>
            </w:r>
          </w:p>
        </w:tc>
      </w:tr>
      <w:tr>
        <w:trPr>
          <w:trHeight w:val="362"/>
        </w:trPr>
        <w:tc>
          <w:tcPr>
            <w:tcW w:w="2300" w:type="dxa"/>
            <w:vAlign w:val="bottom"/>
          </w:tcPr>
          <w:p>
            <w:pPr>
              <w:spacing w:after="0"/>
              <w:rPr>
                <w:sz w:val="24"/>
                <w:szCs w:val="24"/>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We intend to use the net proceeds from this offering, together with our existing cash and</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cash equivalents, for commercial preparedness for the potential launch of VYD2311,</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continued research and development related to our pipeline programs such as respiratory</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syncytial virus (“RSV”) and measles, continued advancement of the SPEAR Study Group</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efforts related to assessing the effects of mAb therapy for Long COVID and COVID-19</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PVS, and for working capital and other general corporate purposes. See the section entitled</w:t>
            </w:r>
          </w:p>
        </w:tc>
      </w:tr>
      <w:tr>
        <w:trPr>
          <w:trHeight w:val="192"/>
        </w:trPr>
        <w:tc>
          <w:tcPr>
            <w:tcW w:w="2300" w:type="dxa"/>
            <w:vAlign w:val="bottom"/>
          </w:tcPr>
          <w:p>
            <w:pPr>
              <w:spacing w:after="0"/>
              <w:rPr>
                <w:sz w:val="16"/>
                <w:szCs w:val="16"/>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“Use of Proceeds” on page S-15 of this prospectus supplement.</w:t>
            </w:r>
          </w:p>
        </w:tc>
      </w:tr>
      <w:tr>
        <w:trPr>
          <w:trHeight w:val="362"/>
        </w:trPr>
        <w:tc>
          <w:tcPr>
            <w:tcW w:w="23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Risk Factors</w:t>
            </w: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An investment in our securities involves a high degree of risk. Before making an</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investment decision, please read the information contained in or incorporated by reference</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in the section entitled “Risk Factors” beginning on page S-9 of this prospectus supplement,</w:t>
            </w:r>
          </w:p>
        </w:tc>
      </w:tr>
      <w:tr>
        <w:trPr>
          <w:trHeight w:val="192"/>
        </w:trPr>
        <w:tc>
          <w:tcPr>
            <w:tcW w:w="2300" w:type="dxa"/>
            <w:vAlign w:val="bottom"/>
          </w:tcPr>
          <w:p>
            <w:pPr>
              <w:spacing w:after="0"/>
              <w:rPr>
                <w:sz w:val="16"/>
                <w:szCs w:val="16"/>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page 34 of our</w:t>
            </w:r>
          </w:p>
        </w:tc>
      </w:tr>
      <w:tr>
        <w:trPr>
          <w:trHeight w:val="140"/>
        </w:trPr>
        <w:tc>
          <w:tcPr>
            <w:tcW w:w="2300" w:type="dxa"/>
            <w:vAlign w:val="bottom"/>
            <w:tcBorders>
              <w:bottom w:val="single" w:sz="8" w:color="auto"/>
            </w:tcBorders>
          </w:tcPr>
          <w:p>
            <w:pPr>
              <w:spacing w:after="0"/>
              <w:rPr>
                <w:sz w:val="12"/>
                <w:szCs w:val="12"/>
                <w:color w:val="auto"/>
              </w:rPr>
            </w:pPr>
          </w:p>
        </w:tc>
        <w:tc>
          <w:tcPr>
            <w:tcW w:w="6760" w:type="dxa"/>
            <w:vAlign w:val="bottom"/>
            <w:tcBorders>
              <w:bottom w:val="single" w:sz="8" w:color="auto"/>
            </w:tcBorders>
          </w:tcPr>
          <w:p>
            <w:pPr>
              <w:spacing w:after="0"/>
              <w:rPr>
                <w:sz w:val="12"/>
                <w:szCs w:val="12"/>
                <w:color w:val="auto"/>
              </w:rPr>
            </w:pPr>
          </w:p>
        </w:tc>
      </w:tr>
      <w:tr>
        <w:trPr>
          <w:trHeight w:val="294"/>
        </w:trPr>
        <w:tc>
          <w:tcPr>
            <w:tcW w:w="2300" w:type="dxa"/>
            <w:vAlign w:val="bottom"/>
          </w:tcPr>
          <w:p>
            <w:pPr>
              <w:spacing w:after="0"/>
              <w:rPr>
                <w:sz w:val="24"/>
                <w:szCs w:val="24"/>
                <w:color w:val="auto"/>
              </w:rPr>
            </w:pPr>
          </w:p>
        </w:tc>
        <w:tc>
          <w:tcPr>
            <w:tcW w:w="6760" w:type="dxa"/>
            <w:vAlign w:val="bottom"/>
          </w:tcPr>
          <w:p>
            <w:pPr>
              <w:ind w:left="2120"/>
              <w:spacing w:after="0"/>
              <w:rPr>
                <w:sz w:val="20"/>
                <w:szCs w:val="20"/>
                <w:color w:val="auto"/>
              </w:rPr>
            </w:pPr>
            <w:r>
              <w:rPr>
                <w:rFonts w:ascii="Times New Roman" w:cs="Times New Roman" w:eastAsia="Times New Roman" w:hAnsi="Times New Roman"/>
                <w:sz w:val="15"/>
                <w:szCs w:val="15"/>
                <w:color w:val="auto"/>
              </w:rPr>
              <w:t>S-6</w:t>
            </w:r>
          </w:p>
        </w:tc>
      </w:tr>
    </w:tbl>
    <w:p>
      <w:pPr>
        <w:sectPr>
          <w:pgSz w:w="11900" w:h="16838" w:orient="portrait"/>
          <w:cols w:equalWidth="0" w:num="1">
            <w:col w:w="10180"/>
          </w:cols>
          <w:pgMar w:left="300" w:top="400" w:right="14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5600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8020" cy="5600065"/>
                    </a:xfrm>
                    <a:prstGeom prst="rect">
                      <a:avLst/>
                    </a:prstGeom>
                    <a:noFill/>
                  </pic:spPr>
                </pic:pic>
              </a:graphicData>
            </a:graphic>
          </wp:anchor>
        </w:drawing>
      </w:r>
    </w:p>
    <w:p>
      <w:pPr>
        <w:spacing w:after="0" w:line="386" w:lineRule="exact"/>
        <w:rPr>
          <w:sz w:val="20"/>
          <w:szCs w:val="20"/>
          <w:color w:val="auto"/>
        </w:rPr>
      </w:pPr>
    </w:p>
    <w:p>
      <w:pPr>
        <w:ind w:left="4580" w:right="219"/>
        <w:spacing w:after="0" w:line="253" w:lineRule="auto"/>
        <w:rPr>
          <w:sz w:val="20"/>
          <w:szCs w:val="20"/>
          <w:color w:val="auto"/>
        </w:rPr>
      </w:pPr>
      <w:r>
        <w:rPr>
          <w:rFonts w:ascii="Times New Roman" w:cs="Times New Roman" w:eastAsia="Times New Roman" w:hAnsi="Times New Roman"/>
          <w:sz w:val="15"/>
          <w:szCs w:val="15"/>
          <w:color w:val="auto"/>
        </w:rPr>
        <w:t>Annual Report on Form 10-K for the fiscal year ended December 31, 2024, page 41 of our Quarterly Report on Form 10-Q for the quarter ended September 30, 2025, and under similar headings in the documents that are incorporated by reference herein, as well as the other information included in or incorporated by reference in this prospectus supplement and the accompanying prospectus.</w:t>
      </w:r>
    </w:p>
    <w:p>
      <w:pPr>
        <w:spacing w:after="0" w:line="186" w:lineRule="exact"/>
        <w:rPr>
          <w:sz w:val="20"/>
          <w:szCs w:val="20"/>
          <w:color w:val="auto"/>
        </w:rPr>
      </w:pPr>
    </w:p>
    <w:p>
      <w:pPr>
        <w:ind w:left="1280"/>
        <w:spacing w:after="0"/>
        <w:tabs>
          <w:tab w:leader="none" w:pos="4560" w:val="left"/>
        </w:tabs>
        <w:rPr>
          <w:sz w:val="20"/>
          <w:szCs w:val="20"/>
          <w:color w:val="auto"/>
        </w:rPr>
      </w:pPr>
      <w:r>
        <w:rPr>
          <w:rFonts w:ascii="Times New Roman" w:cs="Times New Roman" w:eastAsia="Times New Roman" w:hAnsi="Times New Roman"/>
          <w:sz w:val="15"/>
          <w:szCs w:val="15"/>
          <w:b w:val="1"/>
          <w:bCs w:val="1"/>
          <w:color w:val="auto"/>
        </w:rPr>
        <w:t>The Nasdaq Global Market symbol</w:t>
      </w:r>
      <w:r>
        <w:rPr>
          <w:sz w:val="20"/>
          <w:szCs w:val="20"/>
          <w:color w:val="auto"/>
        </w:rPr>
        <w:tab/>
      </w:r>
      <w:r>
        <w:rPr>
          <w:rFonts w:ascii="Times New Roman" w:cs="Times New Roman" w:eastAsia="Times New Roman" w:hAnsi="Times New Roman"/>
          <w:sz w:val="14"/>
          <w:szCs w:val="14"/>
          <w:color w:val="auto"/>
        </w:rPr>
        <w:t>“IVVD”</w:t>
      </w:r>
    </w:p>
    <w:p>
      <w:pPr>
        <w:spacing w:after="0" w:line="217" w:lineRule="exact"/>
        <w:rPr>
          <w:sz w:val="20"/>
          <w:szCs w:val="20"/>
          <w:color w:val="auto"/>
        </w:rPr>
      </w:pPr>
    </w:p>
    <w:p>
      <w:pPr>
        <w:ind w:left="4580" w:right="199"/>
        <w:spacing w:after="0" w:line="253" w:lineRule="auto"/>
        <w:rPr>
          <w:sz w:val="20"/>
          <w:szCs w:val="20"/>
          <w:color w:val="auto"/>
        </w:rPr>
      </w:pPr>
      <w:r>
        <w:rPr>
          <w:rFonts w:ascii="Times New Roman" w:cs="Times New Roman" w:eastAsia="Times New Roman" w:hAnsi="Times New Roman"/>
          <w:sz w:val="15"/>
          <w:szCs w:val="15"/>
          <w:color w:val="auto"/>
        </w:rPr>
        <w:t>There is no established public trading market for the pre-funded warrants, and we do not expect a market to develop. We do not intend to list the pre-funded warrants on The Nasdaq Global Market, any other nationally recognized securities exchange or any other nationally recognized trading system. Without an active trading market, the liquidity of the pre-funded warrants will be limited.</w:t>
      </w: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Outstanding Shares</w:t>
      </w:r>
    </w:p>
    <w:p>
      <w:pPr>
        <w:spacing w:after="0" w:line="95" w:lineRule="exact"/>
        <w:rPr>
          <w:sz w:val="20"/>
          <w:szCs w:val="20"/>
          <w:color w:val="auto"/>
        </w:rPr>
      </w:pPr>
    </w:p>
    <w:p>
      <w:pPr>
        <w:ind w:left="1280" w:right="179"/>
        <w:spacing w:after="0" w:line="229"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after this offering is based on 214,409,450 shares of our common stock outstanding as of September 30, 2025, plus 18,655,402 shares of our common stock issued pursuant to our Controlled Equity Offering</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5"/>
          <w:szCs w:val="15"/>
          <w:color w:val="auto"/>
        </w:rPr>
        <w:t xml:space="preserve"> Sales Agreement with Cantor Fitzgerald &amp; Co., as sales agent, that we entered into on December 22, 2023 (the “Sales Agreement”) subsequent to September 30, 2025 through November 13, 2025. Unless specifically stated otherwise, the information in this prospectus supplement is as of September 30, 2025, and excludes:</w:t>
      </w:r>
    </w:p>
    <w:p>
      <w:pPr>
        <w:spacing w:after="0" w:line="87" w:lineRule="exact"/>
        <w:rPr>
          <w:sz w:val="20"/>
          <w:szCs w:val="20"/>
          <w:color w:val="auto"/>
        </w:rPr>
      </w:pPr>
    </w:p>
    <w:p>
      <w:pPr>
        <w:ind w:left="2040" w:right="679" w:hanging="336"/>
        <w:spacing w:after="0" w:line="273" w:lineRule="auto"/>
        <w:tabs>
          <w:tab w:leader="none" w:pos="2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21,316,902 shares of our common stock issuable upon the exercise of stock options outstanding as of September 30, 2025 at a weighted-average exercise price of $3.01 per share;</w:t>
      </w:r>
    </w:p>
    <w:p>
      <w:pPr>
        <w:spacing w:after="0" w:line="61" w:lineRule="exact"/>
        <w:rPr>
          <w:rFonts w:ascii="Times New Roman" w:cs="Times New Roman" w:eastAsia="Times New Roman" w:hAnsi="Times New Roman"/>
          <w:sz w:val="15"/>
          <w:szCs w:val="15"/>
          <w:color w:val="auto"/>
        </w:rPr>
      </w:pPr>
    </w:p>
    <w:p>
      <w:pPr>
        <w:ind w:left="2040" w:right="939" w:hanging="336"/>
        <w:spacing w:after="0" w:line="273" w:lineRule="auto"/>
        <w:tabs>
          <w:tab w:leader="none" w:pos="2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1,539,000 shares of our common stock issuable upon the vesting and settlement of restricted stock units outstanding as of September 30, 2025;</w:t>
      </w:r>
    </w:p>
    <w:p>
      <w:pPr>
        <w:spacing w:after="0" w:line="61" w:lineRule="exact"/>
        <w:rPr>
          <w:rFonts w:ascii="Times New Roman" w:cs="Times New Roman" w:eastAsia="Times New Roman" w:hAnsi="Times New Roman"/>
          <w:sz w:val="15"/>
          <w:szCs w:val="15"/>
          <w:color w:val="auto"/>
        </w:rPr>
      </w:pPr>
    </w:p>
    <w:p>
      <w:pPr>
        <w:ind w:left="2040" w:right="419" w:hanging="336"/>
        <w:spacing w:after="0" w:line="273" w:lineRule="auto"/>
        <w:tabs>
          <w:tab w:leader="none" w:pos="2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12,941,157 shares of our common stock reserved for future issuance under our 2021 Equity Incentive Plan (the “2021 Plan”) as of September 30, 2025;</w:t>
      </w:r>
    </w:p>
    <w:p>
      <w:pPr>
        <w:spacing w:after="0" w:line="61" w:lineRule="exact"/>
        <w:rPr>
          <w:rFonts w:ascii="Times New Roman" w:cs="Times New Roman" w:eastAsia="Times New Roman" w:hAnsi="Times New Roman"/>
          <w:sz w:val="15"/>
          <w:szCs w:val="15"/>
          <w:color w:val="auto"/>
        </w:rPr>
      </w:pPr>
    </w:p>
    <w:p>
      <w:pPr>
        <w:ind w:left="2040" w:right="699" w:hanging="336"/>
        <w:spacing w:after="0" w:line="273" w:lineRule="auto"/>
        <w:tabs>
          <w:tab w:leader="none" w:pos="2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6,824,712 shares of our common stock issuable upon exercise of warrants outstanding as of September 30, 2025, which had a weighted average exercise price of $3.48 per share at that date;</w:t>
      </w:r>
    </w:p>
    <w:p>
      <w:pPr>
        <w:spacing w:after="0" w:line="61" w:lineRule="exact"/>
        <w:rPr>
          <w:rFonts w:ascii="Times New Roman" w:cs="Times New Roman" w:eastAsia="Times New Roman" w:hAnsi="Times New Roman"/>
          <w:sz w:val="15"/>
          <w:szCs w:val="15"/>
          <w:color w:val="auto"/>
        </w:rPr>
      </w:pPr>
    </w:p>
    <w:p>
      <w:pPr>
        <w:ind w:left="2040" w:right="279" w:hanging="336"/>
        <w:spacing w:after="0" w:line="273" w:lineRule="auto"/>
        <w:tabs>
          <w:tab w:leader="none" w:pos="2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589,957 shares of our common stock reserved for future issuance under our 2021 Employee Stock Purchase Plan (the “ESPP”), as of September 30, 2025; and</w:t>
      </w:r>
    </w:p>
    <w:p>
      <w:pPr>
        <w:spacing w:after="0" w:line="61" w:lineRule="exact"/>
        <w:rPr>
          <w:rFonts w:ascii="Times New Roman" w:cs="Times New Roman" w:eastAsia="Times New Roman" w:hAnsi="Times New Roman"/>
          <w:sz w:val="15"/>
          <w:szCs w:val="15"/>
          <w:color w:val="auto"/>
        </w:rPr>
      </w:pPr>
    </w:p>
    <w:p>
      <w:pPr>
        <w:ind w:left="2040" w:right="419" w:hanging="336"/>
        <w:spacing w:after="0" w:line="273" w:lineRule="auto"/>
        <w:tabs>
          <w:tab w:leader="none" w:pos="20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21,342,442 shares of our common stock issuable upon exercise of pre-funded warrants outstanding as of September 30, 2025 at an exercise price of $0.0001 per share.</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Unless otherwise indicated, all information in this prospectus supplement reflects or assumes the following:</w:t>
      </w:r>
    </w:p>
    <w:p>
      <w:pPr>
        <w:spacing w:after="0" w:line="105" w:lineRule="exact"/>
        <w:rPr>
          <w:sz w:val="20"/>
          <w:szCs w:val="20"/>
          <w:color w:val="auto"/>
        </w:rPr>
      </w:pPr>
    </w:p>
    <w:p>
      <w:pPr>
        <w:ind w:left="2040" w:right="179" w:hanging="336"/>
        <w:spacing w:after="0" w:line="273" w:lineRule="auto"/>
        <w:tabs>
          <w:tab w:leader="none" w:pos="20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Exclusion of the forfeiture of stock options to acquire 117,896 shares of our common stock subsequent to September 30, 2025 through November 13, 2025;</w:t>
      </w:r>
    </w:p>
    <w:p>
      <w:pPr>
        <w:spacing w:after="0" w:line="61" w:lineRule="exact"/>
        <w:rPr>
          <w:rFonts w:ascii="Times New Roman" w:cs="Times New Roman" w:eastAsia="Times New Roman" w:hAnsi="Times New Roman"/>
          <w:sz w:val="15"/>
          <w:szCs w:val="15"/>
          <w:color w:val="auto"/>
        </w:rPr>
      </w:pPr>
    </w:p>
    <w:p>
      <w:pPr>
        <w:ind w:left="2040" w:right="579" w:hanging="336"/>
        <w:spacing w:after="0" w:line="273" w:lineRule="auto"/>
        <w:tabs>
          <w:tab w:leader="none" w:pos="20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Exclusion of 653,500 shares of our common stock underlying equity awards granted subsequent to September 30, 2025 through November 13, 2025;</w:t>
      </w:r>
    </w:p>
    <w:p>
      <w:pPr>
        <w:spacing w:after="0" w:line="61" w:lineRule="exact"/>
        <w:rPr>
          <w:rFonts w:ascii="Times New Roman" w:cs="Times New Roman" w:eastAsia="Times New Roman" w:hAnsi="Times New Roman"/>
          <w:sz w:val="15"/>
          <w:szCs w:val="15"/>
          <w:color w:val="auto"/>
        </w:rPr>
      </w:pPr>
    </w:p>
    <w:p>
      <w:pPr>
        <w:ind w:left="2040" w:right="319" w:hanging="336"/>
        <w:spacing w:after="0" w:line="273" w:lineRule="auto"/>
        <w:tabs>
          <w:tab w:leader="none" w:pos="20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Exclusion of the exercise of stock options to acquire 57,982 shares of our common stock subsequent to September 30, 2025 through November 13, 2025;</w:t>
      </w:r>
    </w:p>
    <w:p>
      <w:pPr>
        <w:spacing w:after="0" w:line="61" w:lineRule="exact"/>
        <w:rPr>
          <w:rFonts w:ascii="Times New Roman" w:cs="Times New Roman" w:eastAsia="Times New Roman" w:hAnsi="Times New Roman"/>
          <w:sz w:val="15"/>
          <w:szCs w:val="15"/>
          <w:color w:val="auto"/>
        </w:rPr>
      </w:pPr>
    </w:p>
    <w:p>
      <w:pPr>
        <w:ind w:left="2040" w:hanging="336"/>
        <w:spacing w:after="0"/>
        <w:tabs>
          <w:tab w:leader="none" w:pos="20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vesting or settlement of restricted stock units subsequent to September 30, 2025 through November 13, 2025;</w:t>
      </w:r>
    </w:p>
    <w:p>
      <w:pPr>
        <w:spacing w:after="0" w:line="2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S-7</w:t>
      </w:r>
    </w:p>
    <w:p>
      <w:pPr>
        <w:sectPr>
          <w:pgSz w:w="11900" w:h="16838" w:orient="portrait"/>
          <w:cols w:equalWidth="0" w:num="1">
            <w:col w:w="10159"/>
          </w:cols>
          <w:pgMar w:left="300" w:top="40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1391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8020" cy="1391920"/>
                    </a:xfrm>
                    <a:prstGeom prst="rect">
                      <a:avLst/>
                    </a:prstGeom>
                    <a:noFill/>
                  </pic:spPr>
                </pic:pic>
              </a:graphicData>
            </a:graphic>
          </wp:anchor>
        </w:drawing>
      </w:r>
    </w:p>
    <w:p>
      <w:pPr>
        <w:spacing w:after="0" w:line="386" w:lineRule="exact"/>
        <w:rPr>
          <w:sz w:val="20"/>
          <w:szCs w:val="20"/>
          <w:color w:val="auto"/>
        </w:rPr>
      </w:pPr>
    </w:p>
    <w:p>
      <w:pPr>
        <w:ind w:left="2040" w:hanging="336"/>
        <w:spacing w:after="0"/>
        <w:tabs>
          <w:tab w:leader="none" w:pos="20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the outstanding warrants or pre-funded warrants;</w:t>
      </w:r>
    </w:p>
    <w:p>
      <w:pPr>
        <w:spacing w:after="0" w:line="104" w:lineRule="exact"/>
        <w:rPr>
          <w:rFonts w:ascii="Times New Roman" w:cs="Times New Roman" w:eastAsia="Times New Roman" w:hAnsi="Times New Roman"/>
          <w:sz w:val="15"/>
          <w:szCs w:val="15"/>
          <w:color w:val="auto"/>
        </w:rPr>
      </w:pPr>
    </w:p>
    <w:p>
      <w:pPr>
        <w:ind w:left="2040" w:hanging="336"/>
        <w:spacing w:after="0"/>
        <w:tabs>
          <w:tab w:leader="none" w:pos="20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by the underwriters of their option to purchase additional shares of our common stock; and</w:t>
      </w:r>
    </w:p>
    <w:p>
      <w:pPr>
        <w:spacing w:after="0" w:line="104" w:lineRule="exact"/>
        <w:rPr>
          <w:rFonts w:ascii="Times New Roman" w:cs="Times New Roman" w:eastAsia="Times New Roman" w:hAnsi="Times New Roman"/>
          <w:sz w:val="15"/>
          <w:szCs w:val="15"/>
          <w:color w:val="auto"/>
        </w:rPr>
      </w:pPr>
    </w:p>
    <w:p>
      <w:pPr>
        <w:ind w:left="2040" w:hanging="336"/>
        <w:spacing w:after="0"/>
        <w:tabs>
          <w:tab w:leader="none" w:pos="20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the pre-funded warrants offered hereby.</w:t>
      </w:r>
    </w:p>
    <w:p>
      <w:pPr>
        <w:spacing w:after="0" w:line="93" w:lineRule="exact"/>
        <w:rPr>
          <w:sz w:val="20"/>
          <w:szCs w:val="20"/>
          <w:color w:val="auto"/>
        </w:rPr>
      </w:pPr>
    </w:p>
    <w:p>
      <w:pPr>
        <w:ind w:left="1280" w:right="159"/>
        <w:spacing w:after="0" w:line="252" w:lineRule="auto"/>
        <w:rPr>
          <w:sz w:val="20"/>
          <w:szCs w:val="20"/>
          <w:color w:val="auto"/>
        </w:rPr>
      </w:pPr>
      <w:r>
        <w:rPr>
          <w:rFonts w:ascii="Times New Roman" w:cs="Times New Roman" w:eastAsia="Times New Roman" w:hAnsi="Times New Roman"/>
          <w:sz w:val="15"/>
          <w:szCs w:val="15"/>
          <w:color w:val="auto"/>
        </w:rPr>
        <w:t>Additional shares of our common stock may be sold from time to time under the Sales Agreement. As of the date of this prospectus supplement, we have sold 32,055,402 shares of our common stock under the Sales Agreement at an average price of $2.34, which has resulted in net proceeds of approximately $72.7 million. In October 2025, we filed a new shelf registration statement on Form S-3 with the SEC and an accompanying base prospectus for the offer and sale of up to $350 million of our securities (the “2025 Shelf Registration Statement”), including a $75.0 million prospectus supplement for the offer and sale of our common stock with a sales value of up to $75.0 million pursuant to the Sales Agreement. The 2025 Shelf Registration Statement has not yet been declared effective by the SEC as of the date of this prospectus supplement.</w:t>
      </w: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S-8</w:t>
      </w:r>
    </w:p>
    <w:p>
      <w:pPr>
        <w:sectPr>
          <w:pgSz w:w="11900" w:h="16838" w:orient="portrait"/>
          <w:cols w:equalWidth="0" w:num="1">
            <w:col w:w="10159"/>
          </w:cols>
          <w:pgMar w:left="300" w:top="40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82" w:lineRule="exact"/>
        <w:rPr>
          <w:sz w:val="20"/>
          <w:szCs w:val="20"/>
          <w:color w:val="auto"/>
        </w:rPr>
      </w:pPr>
    </w:p>
    <w:p>
      <w:pPr>
        <w:ind w:left="1120" w:right="20"/>
        <w:spacing w:after="0" w:line="251" w:lineRule="auto"/>
        <w:rPr>
          <w:sz w:val="20"/>
          <w:szCs w:val="20"/>
          <w:color w:val="auto"/>
        </w:rPr>
      </w:pPr>
      <w:r>
        <w:rPr>
          <w:rFonts w:ascii="Times New Roman" w:cs="Times New Roman" w:eastAsia="Times New Roman" w:hAnsi="Times New Roman"/>
          <w:sz w:val="15"/>
          <w:szCs w:val="15"/>
          <w:i w:val="1"/>
          <w:iCs w:val="1"/>
          <w:color w:val="auto"/>
        </w:rPr>
        <w:t>Investing in our securities involves a high degree of risk. Before investing in our securities, you should carefully consider the risks described below, together with all of the other information contained in this prospectus supplement and the accompanying prospectus and incorporated by reference herein and therein, including from our most recent Annual Report on Form 10-K and Quarterly Reports on Form 10-Q and from our Current Reports on Form 8-K, as well as any amendments or updates to our risk factors thereto reflected in subsequent filings with the SEC.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w:t>
      </w:r>
    </w:p>
    <w:p>
      <w:pPr>
        <w:spacing w:after="0" w:line="156" w:lineRule="exact"/>
        <w:rPr>
          <w:sz w:val="20"/>
          <w:szCs w:val="20"/>
          <w:color w:val="auto"/>
        </w:rPr>
      </w:pPr>
    </w:p>
    <w:p>
      <w:pPr>
        <w:ind w:left="1120" w:right="80"/>
        <w:spacing w:after="0" w:line="276" w:lineRule="auto"/>
        <w:rPr>
          <w:sz w:val="20"/>
          <w:szCs w:val="20"/>
          <w:color w:val="auto"/>
        </w:rPr>
      </w:pPr>
      <w:r>
        <w:rPr>
          <w:rFonts w:ascii="Times New Roman" w:cs="Times New Roman" w:eastAsia="Times New Roman" w:hAnsi="Times New Roman"/>
          <w:sz w:val="15"/>
          <w:szCs w:val="15"/>
          <w:i w:val="1"/>
          <w:iCs w:val="1"/>
          <w:color w:val="auto"/>
        </w:rPr>
        <w:t>If any of the matters included in the following risks were to occur, our business, financial condition, results of operations, cash flows or prospects could be materially and adversely affected. In such case, you may lose all or part of your investment.</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Risks Related to this Offering</w:t>
      </w:r>
    </w:p>
    <w:p>
      <w:pPr>
        <w:spacing w:after="0" w:line="9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You will experience immediate and substantial dilution if you purchase our securities in this offering.</w:t>
      </w:r>
    </w:p>
    <w:p>
      <w:pPr>
        <w:spacing w:after="0" w:line="97" w:lineRule="exact"/>
        <w:rPr>
          <w:sz w:val="20"/>
          <w:szCs w:val="20"/>
          <w:color w:val="auto"/>
        </w:rPr>
      </w:pPr>
    </w:p>
    <w:p>
      <w:pPr>
        <w:ind w:left="1120"/>
        <w:spacing w:after="0" w:line="253" w:lineRule="auto"/>
        <w:rPr>
          <w:sz w:val="20"/>
          <w:szCs w:val="20"/>
          <w:color w:val="auto"/>
        </w:rPr>
      </w:pPr>
      <w:r>
        <w:rPr>
          <w:rFonts w:ascii="Times New Roman" w:cs="Times New Roman" w:eastAsia="Times New Roman" w:hAnsi="Times New Roman"/>
          <w:sz w:val="15"/>
          <w:szCs w:val="15"/>
          <w:color w:val="auto"/>
        </w:rPr>
        <w:t>Since the indicative price per share of our common stock and the price per pre-funded warrant in this offering is higher than the pro forma as-adjusted net tangible book value per share of our common stock outstanding prior to this offering, you will suffer substantial dilution with respect to the securities you purchase in this offering. Our pro forma net tangible book value as of September 30, 2025 was approximately $122.0 million, or $0.52 per share of our common stock, based on 214,409,450 shares of our common stock outstanding on September 30, 2025, plus 18,655,402 shares of common stock issued pursuant to the Sales Agreement subsequent to September 30, 2025 through November 13, 2025.</w:t>
      </w:r>
    </w:p>
    <w:p>
      <w:pPr>
        <w:spacing w:after="0" w:line="155" w:lineRule="exact"/>
        <w:rPr>
          <w:sz w:val="20"/>
          <w:szCs w:val="20"/>
          <w:color w:val="auto"/>
        </w:rPr>
      </w:pPr>
    </w:p>
    <w:p>
      <w:pPr>
        <w:ind w:left="1120"/>
        <w:spacing w:after="0" w:line="250" w:lineRule="auto"/>
        <w:rPr>
          <w:sz w:val="20"/>
          <w:szCs w:val="20"/>
          <w:color w:val="auto"/>
        </w:rPr>
      </w:pPr>
      <w:r>
        <w:rPr>
          <w:rFonts w:ascii="Times New Roman" w:cs="Times New Roman" w:eastAsia="Times New Roman" w:hAnsi="Times New Roman"/>
          <w:sz w:val="15"/>
          <w:szCs w:val="15"/>
          <w:color w:val="auto"/>
        </w:rPr>
        <w:t>Based on the public offering price of $2.50 per share of common stock and $2.4999 per pre-funded warrant (which equals the public offering price per share of common stock less the $0.0001 per share exercise price of each such pre-funded warrant) (and including shares of common stock issued and any proceeds received upon exercise of the pre-funded warrants, but excluding any resulting accounting associated with the pre-funded warrants), and after deducting underwriting discounts and commissions and estimated offering expenses payable by us, our pro forma as-adjusted net tangible book value as of September 30, 2025 would have been approximately $239.1 million, or approximately $0.84 per share of our common stock. As a result, investors purchasing securities in this offering will experience immediate dilution of $1.66 per share. As a result of the dilution to investors purchasing securities in this offering, investors may receive significantly less than the purchase price paid in this offering, if anything, in the event of our liquidation. See the section entitled “Dilution” on page S-16 of this prospectus supplement for a more detailed discussion of the dilution you will incur if you purchase shares of our common stock or pre-funded warrants in this offering.</w:t>
      </w:r>
    </w:p>
    <w:p>
      <w:pPr>
        <w:spacing w:after="0" w:line="156" w:lineRule="exact"/>
        <w:rPr>
          <w:sz w:val="20"/>
          <w:szCs w:val="20"/>
          <w:color w:val="auto"/>
        </w:rPr>
      </w:pPr>
    </w:p>
    <w:p>
      <w:pPr>
        <w:ind w:left="1120" w:right="20"/>
        <w:spacing w:after="0" w:line="249" w:lineRule="auto"/>
        <w:rPr>
          <w:sz w:val="20"/>
          <w:szCs w:val="20"/>
          <w:color w:val="auto"/>
        </w:rPr>
      </w:pPr>
      <w:r>
        <w:rPr>
          <w:rFonts w:ascii="Times New Roman" w:cs="Times New Roman" w:eastAsia="Times New Roman" w:hAnsi="Times New Roman"/>
          <w:sz w:val="15"/>
          <w:szCs w:val="15"/>
          <w:color w:val="auto"/>
        </w:rPr>
        <w:t>In addition, as of September 30, 2025, we had outstanding (i) options to purchase 21,316,902 shares of our common stock at a weighted-average exercise price of $3.01 per share pursuant to our 2020 Equity Incentive Plan (the “2020 Plan”) and the 2021 Plan, (ii) warrants to purchase 6,824,712 shares of our common stock at a weighted-average exercise price of $3.48 per share, (iii) pre-funded warrants to purchase 21,342,442 shares of our common stock at an exercise price of $0.0001 per share, and (iv) 1,539,000 shares of common stock underlying restricted stock units. As of September 30, 2025, there were no shares of our common stock reserved for future issuance under the 2020 Plan, 12,941,157 shares of our common stock reserved for future issuance under the 2021 Plan and 589,957 shares of our common stock reserved for future issuance under the ESPP. The shares of our common stock issuable under the 2020 Plan, the 2021 Plan and the ESPP may be immediately eligible for resale in the open market. Sale of such shares, along with any other market transactions, could adversely affect the market price of our common stock. Additional dilution may result from the issuance of shares of our common stock pursuant to such plans, upon vesting and settlement of any stock awards under any such plan, or upon exercise of any such outstanding options.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S-9</w:t>
      </w:r>
    </w:p>
    <w:p>
      <w:pPr>
        <w:sectPr>
          <w:pgSz w:w="11900" w:h="16838" w:orient="portrait"/>
          <w:cols w:equalWidth="0" w:num="1">
            <w:col w:w="10160"/>
          </w:cols>
          <w:pgMar w:left="300" w:top="400" w:right="1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58" w:lineRule="exact"/>
        <w:rPr>
          <w:sz w:val="20"/>
          <w:szCs w:val="20"/>
          <w:color w:val="auto"/>
        </w:rPr>
      </w:pPr>
    </w:p>
    <w:p>
      <w:pPr>
        <w:ind w:left="1120" w:right="199"/>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Substantial future sales or other issuances of our common stock could depress the market for our common stock and you could experience future dilution as a result of such future sales or other issuances.</w:t>
      </w:r>
    </w:p>
    <w:p>
      <w:pPr>
        <w:spacing w:after="0" w:line="48" w:lineRule="exact"/>
        <w:rPr>
          <w:sz w:val="20"/>
          <w:szCs w:val="20"/>
          <w:color w:val="auto"/>
        </w:rPr>
      </w:pPr>
    </w:p>
    <w:p>
      <w:pPr>
        <w:ind w:left="1120" w:right="99"/>
        <w:spacing w:after="0" w:line="273"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or the perception by the market that those sales could occur, could cause the market price of our common stock to decline or could make it more difficult for us to raise funds through the sale of equity in the future.</w:t>
      </w:r>
    </w:p>
    <w:p>
      <w:pPr>
        <w:spacing w:after="0" w:line="140" w:lineRule="exact"/>
        <w:rPr>
          <w:sz w:val="20"/>
          <w:szCs w:val="20"/>
          <w:color w:val="auto"/>
        </w:rPr>
      </w:pPr>
    </w:p>
    <w:p>
      <w:pPr>
        <w:ind w:left="1120" w:right="59"/>
        <w:spacing w:after="0" w:line="253" w:lineRule="auto"/>
        <w:rPr>
          <w:sz w:val="20"/>
          <w:szCs w:val="20"/>
          <w:color w:val="auto"/>
        </w:rPr>
      </w:pPr>
      <w:r>
        <w:rPr>
          <w:rFonts w:ascii="Times New Roman" w:cs="Times New Roman" w:eastAsia="Times New Roman" w:hAnsi="Times New Roman"/>
          <w:sz w:val="15"/>
          <w:szCs w:val="15"/>
          <w:color w:val="auto"/>
        </w:rPr>
        <w:t>In connection with this offering, we and our directors and executive officers have entered into lock-up agreements for a period of 60 days following this offering. We and our directors and executive officers may be released from such lock-up agreements prior to the expiration of the lock-up period at the sole discretion of Cantor Fitzgerald &amp; Co. For more information, see the section entitled “Underwriting” beginning on page S-27 of this prospectus supplement. Upon expiration or earlier release of the lock-up, we and our directors and executive officers may sell shares into the market, which could adversely affect the market price of shares of our common stock.</w:t>
      </w:r>
    </w:p>
    <w:p>
      <w:pPr>
        <w:spacing w:after="0" w:line="155" w:lineRule="exact"/>
        <w:rPr>
          <w:sz w:val="20"/>
          <w:szCs w:val="20"/>
          <w:color w:val="auto"/>
        </w:rPr>
      </w:pPr>
    </w:p>
    <w:p>
      <w:pPr>
        <w:ind w:left="1120" w:right="99"/>
        <w:spacing w:after="0" w:line="273" w:lineRule="auto"/>
        <w:rPr>
          <w:sz w:val="20"/>
          <w:szCs w:val="20"/>
          <w:color w:val="auto"/>
        </w:rPr>
      </w:pPr>
      <w:r>
        <w:rPr>
          <w:rFonts w:ascii="Times New Roman" w:cs="Times New Roman" w:eastAsia="Times New Roman" w:hAnsi="Times New Roman"/>
          <w:sz w:val="14"/>
          <w:szCs w:val="14"/>
          <w:color w:val="auto"/>
        </w:rPr>
        <w:t>Additional shares of our common stock may be sold from time to time under the Sales Agreement. As of the date of this prospectus supplement, we have sold 32,055,402 shares of our common stock under the Sales Agreement at an average price of $2.34, which has resulted in net proceeds of approximately $72.7 million. In October 2025, we filed the 2025 Shelf Registration Statement, including a $75.0 million prospectus supplement for the offer and sale of our common stock with a sales value of up to $75.0 million pursuant to the Sales Agreement. The 2025 Shelf Registration Statement has not yet been declared effective by the SEC as of the date of this prospectus supplement. To the extent that we sell shares of our common stock pursuant to our at-the-market offering program, investors purchasing shares of common stock in this offering could experience further dilution.</w:t>
      </w:r>
    </w:p>
    <w:p>
      <w:pPr>
        <w:spacing w:after="0" w:line="142" w:lineRule="exact"/>
        <w:rPr>
          <w:sz w:val="20"/>
          <w:szCs w:val="20"/>
          <w:color w:val="auto"/>
        </w:rPr>
      </w:pPr>
    </w:p>
    <w:p>
      <w:pPr>
        <w:ind w:left="1120" w:right="139"/>
        <w:spacing w:after="0" w:line="251" w:lineRule="auto"/>
        <w:rPr>
          <w:sz w:val="20"/>
          <w:szCs w:val="20"/>
          <w:color w:val="auto"/>
        </w:rPr>
      </w:pPr>
      <w:r>
        <w:rPr>
          <w:rFonts w:ascii="Times New Roman" w:cs="Times New Roman" w:eastAsia="Times New Roman" w:hAnsi="Times New Roman"/>
          <w:sz w:val="15"/>
          <w:szCs w:val="15"/>
          <w:color w:val="auto"/>
        </w:rPr>
        <w:t>In addition, certain of our employees, executive officers, and directors have entered or may enter into Rule 10b5-1 trading plans providing for sales of shares of our common stock from time to time. Under a Rule 10b5-1 trading plan, a broker executes trades pursuant to parameters established by the employee, director, or officer when entering into the plan, without further direction from the employee, officer, or director. A Rule 10b5-1 trading plan may be amended or terminated in some circumstances. Our employees, executive officers, and directors also may buy or sell shares without a Rule 10b5-1 trading plan, in accordance with our insider trading prevention policy and procedures, when they are not in possession of material, nonpublic information, subject to the expiration of the lock-up agreements, if applicable, described in “Underwriting” beginning on page S-27 of this prospectus supplement.</w:t>
      </w:r>
    </w:p>
    <w:p>
      <w:pPr>
        <w:spacing w:after="0" w:line="156" w:lineRule="exact"/>
        <w:rPr>
          <w:sz w:val="20"/>
          <w:szCs w:val="20"/>
          <w:color w:val="auto"/>
        </w:rPr>
      </w:pPr>
    </w:p>
    <w:p>
      <w:pPr>
        <w:ind w:left="1120" w:right="139"/>
        <w:spacing w:after="0" w:line="252" w:lineRule="auto"/>
        <w:rPr>
          <w:sz w:val="20"/>
          <w:szCs w:val="20"/>
          <w:color w:val="auto"/>
        </w:rPr>
      </w:pPr>
      <w:r>
        <w:rPr>
          <w:rFonts w:ascii="Times New Roman" w:cs="Times New Roman" w:eastAsia="Times New Roman" w:hAnsi="Times New Roman"/>
          <w:sz w:val="15"/>
          <w:szCs w:val="15"/>
          <w:color w:val="auto"/>
        </w:rPr>
        <w:t>To satisfy our anticipated funding requirements, we may in the future offer and issue additional shares of our common stock or other securities convertible into, exercisable or exchangeable for, or settled in,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exercisable or exchangeable for, or settled in, our common stock in future transactions may be higher or lower than the price per share in this offering.</w:t>
      </w:r>
    </w:p>
    <w:p>
      <w:pPr>
        <w:spacing w:after="0" w:line="239" w:lineRule="exact"/>
        <w:rPr>
          <w:sz w:val="20"/>
          <w:szCs w:val="20"/>
          <w:color w:val="auto"/>
        </w:rPr>
      </w:pPr>
    </w:p>
    <w:p>
      <w:pPr>
        <w:ind w:left="1120" w:right="79"/>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have broad discretion in how we use the net proceeds of this offering and, despite our efforts, we may not use these net proceeds effectively or in ways with which you agree.</w:t>
      </w:r>
    </w:p>
    <w:p>
      <w:pPr>
        <w:spacing w:after="0" w:line="48" w:lineRule="exact"/>
        <w:rPr>
          <w:sz w:val="20"/>
          <w:szCs w:val="20"/>
          <w:color w:val="auto"/>
        </w:rPr>
      </w:pPr>
    </w:p>
    <w:p>
      <w:pPr>
        <w:ind w:left="1120" w:right="39"/>
        <w:spacing w:after="0" w:line="253" w:lineRule="auto"/>
        <w:rPr>
          <w:sz w:val="20"/>
          <w:szCs w:val="20"/>
          <w:color w:val="auto"/>
        </w:rPr>
      </w:pPr>
      <w:r>
        <w:rPr>
          <w:rFonts w:ascii="Times New Roman" w:cs="Times New Roman" w:eastAsia="Times New Roman" w:hAnsi="Times New Roman"/>
          <w:sz w:val="15"/>
          <w:szCs w:val="15"/>
          <w:color w:val="auto"/>
        </w:rPr>
        <w:t>We intend to use the net proceeds from this offering, together with our existing cash and cash equivalents, for commercial preparedness for the potential launch of VYD2311, continued research and development related to our pipeline programs such as RSV and measles, continued advancement of the SPEAR Study Group efforts related to assessing the effects of mAb therapy for Long COVID and COVID-19 PVS, and for working capital and other general corporate purposes. However, we have not determined the specific allocation of the net proceeds among these potential uses. Our management will have broad discretion over the use and investment of</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S-10</w:t>
      </w:r>
    </w:p>
    <w:p>
      <w:pPr>
        <w:sectPr>
          <w:pgSz w:w="11900" w:h="16838" w:orient="portrait"/>
          <w:cols w:equalWidth="0" w:num="1">
            <w:col w:w="10159"/>
          </w:cols>
          <w:pgMar w:left="300" w:top="40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40"/>
        <w:spacing w:after="0" w:line="253" w:lineRule="auto"/>
        <w:rPr>
          <w:sz w:val="20"/>
          <w:szCs w:val="20"/>
          <w:color w:val="auto"/>
        </w:rPr>
      </w:pPr>
      <w:r>
        <w:rPr>
          <w:rFonts w:ascii="Times New Roman" w:cs="Times New Roman" w:eastAsia="Times New Roman" w:hAnsi="Times New Roman"/>
          <w:sz w:val="15"/>
          <w:szCs w:val="15"/>
          <w:color w:val="auto"/>
        </w:rPr>
        <w:t>the net proceeds of this offering, and, accordingly, investors in this offering will need to rely upon the judgment of our management with respect to the use of proceeds, with only limited information concerning our specific intentions. Our stockholders may not agree with the manner in which our management chooses to allocate and spend the net proceeds. Moreover, our management may use the net proceeds for corporate purposes that may not increase the market price of our common stock. Please see the section entitled “Use of Proceeds” on page S-15 of this prospectus supplement for further information.</w:t>
      </w:r>
    </w:p>
    <w:p>
      <w:pPr>
        <w:spacing w:after="0" w:line="239" w:lineRule="exact"/>
        <w:rPr>
          <w:sz w:val="20"/>
          <w:szCs w:val="20"/>
          <w:color w:val="auto"/>
        </w:rPr>
      </w:pPr>
    </w:p>
    <w:p>
      <w:pPr>
        <w:ind w:left="1120" w:right="12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do not anticipate paying any cash dividends on our capital stock in the foreseeable future; accordingly, capital appreciation, if any, will be your sole source of gain and you may never receive a return on your investment.</w:t>
      </w:r>
    </w:p>
    <w:p>
      <w:pPr>
        <w:spacing w:after="0" w:line="48" w:lineRule="exact"/>
        <w:rPr>
          <w:sz w:val="20"/>
          <w:szCs w:val="20"/>
          <w:color w:val="auto"/>
        </w:rPr>
      </w:pPr>
    </w:p>
    <w:p>
      <w:pPr>
        <w:ind w:left="1120" w:right="80"/>
        <w:spacing w:after="0" w:line="252" w:lineRule="auto"/>
        <w:rPr>
          <w:sz w:val="20"/>
          <w:szCs w:val="20"/>
          <w:color w:val="auto"/>
        </w:rPr>
      </w:pPr>
      <w:r>
        <w:rPr>
          <w:rFonts w:ascii="Times New Roman" w:cs="Times New Roman" w:eastAsia="Times New Roman" w:hAnsi="Times New Roman"/>
          <w:sz w:val="15"/>
          <w:szCs w:val="15"/>
          <w:color w:val="auto"/>
        </w:rPr>
        <w:t>We have never declared or paid cash dividends on our capital stock, and you should not rely on an investment in our common stock to provide dividend income. We currently intend to retain all of our future earnings, if any, to finance the growth and development of our business and do not anticipate declaring or paying any cash dividends for the foreseeable future. In addition, our loan and security agreement with Silicon Valley Bank prohibits us, and the terms of any future debt agreements may also preclude us, from paying cash dividends. As a result, capital appreciation, if any, of our common stock will be your sole source of gain for the foreseeable future. Furthermore, we may in the future become subject to additional contractual restrictions on, or prohibitions against, the payment of dividends.</w:t>
      </w:r>
    </w:p>
    <w:p>
      <w:pPr>
        <w:spacing w:after="0" w:line="2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There is no public market for the pre-funded warrants being offered in this offering.</w:t>
      </w:r>
    </w:p>
    <w:p>
      <w:pPr>
        <w:spacing w:after="0" w:line="97" w:lineRule="exact"/>
        <w:rPr>
          <w:sz w:val="20"/>
          <w:szCs w:val="20"/>
          <w:color w:val="auto"/>
        </w:rPr>
      </w:pPr>
    </w:p>
    <w:p>
      <w:pPr>
        <w:jc w:val="both"/>
        <w:ind w:left="1120" w:right="180"/>
        <w:spacing w:after="0" w:line="260" w:lineRule="auto"/>
        <w:rPr>
          <w:sz w:val="20"/>
          <w:szCs w:val="20"/>
          <w:color w:val="auto"/>
        </w:rPr>
      </w:pPr>
      <w:r>
        <w:rPr>
          <w:rFonts w:ascii="Times New Roman" w:cs="Times New Roman" w:eastAsia="Times New Roman" w:hAnsi="Times New Roman"/>
          <w:sz w:val="15"/>
          <w:szCs w:val="15"/>
          <w:color w:val="auto"/>
        </w:rPr>
        <w:t>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We may not receive any meaningful amount of additional funds upon the exercise of the pre-funded warrants.</w:t>
      </w:r>
    </w:p>
    <w:p>
      <w:pPr>
        <w:spacing w:after="0" w:line="97" w:lineRule="exact"/>
        <w:rPr>
          <w:sz w:val="20"/>
          <w:szCs w:val="20"/>
          <w:color w:val="auto"/>
        </w:rPr>
      </w:pPr>
    </w:p>
    <w:p>
      <w:pPr>
        <w:ind w:left="1120"/>
        <w:spacing w:after="0" w:line="252" w:lineRule="auto"/>
        <w:rPr>
          <w:sz w:val="20"/>
          <w:szCs w:val="20"/>
          <w:color w:val="auto"/>
        </w:rPr>
      </w:pPr>
      <w:r>
        <w:rPr>
          <w:rFonts w:ascii="Times New Roman" w:cs="Times New Roman" w:eastAsia="Times New Roman" w:hAnsi="Times New Roman"/>
          <w:sz w:val="15"/>
          <w:szCs w:val="15"/>
          <w:color w:val="auto"/>
        </w:rPr>
        <w:t>Each pre-funded warrant will be exercisable by means of payment of the nominal cash purchase price upon exercise or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exercise of the pre-funded warrants or if the pre-funded warrants altogether are not exercised at all. In addition, the pre-funded warrants have an exercise price of $0.0001 per share of common stock, and as a result we will not receive significant additional funds upon their exercise even if not a cashless exercise.</w:t>
      </w:r>
    </w:p>
    <w:p>
      <w:pPr>
        <w:spacing w:after="0" w:line="239" w:lineRule="exact"/>
        <w:rPr>
          <w:sz w:val="20"/>
          <w:szCs w:val="20"/>
          <w:color w:val="auto"/>
        </w:rPr>
      </w:pPr>
    </w:p>
    <w:p>
      <w:pPr>
        <w:ind w:left="1120" w:right="60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Except for the right to participate in certain dividends and distributions, holders of the pre-funded warrants will have no rights as common stockholders until such holders exercise their pre-funded warrants and acquire shares of our common stock.</w:t>
      </w:r>
    </w:p>
    <w:p>
      <w:pPr>
        <w:spacing w:after="0" w:line="48" w:lineRule="exact"/>
        <w:rPr>
          <w:sz w:val="20"/>
          <w:szCs w:val="20"/>
          <w:color w:val="auto"/>
        </w:rPr>
      </w:pPr>
    </w:p>
    <w:p>
      <w:pPr>
        <w:jc w:val="both"/>
        <w:ind w:left="1120" w:right="180"/>
        <w:spacing w:after="0" w:line="287" w:lineRule="auto"/>
        <w:rPr>
          <w:sz w:val="20"/>
          <w:szCs w:val="20"/>
          <w:color w:val="auto"/>
        </w:rPr>
      </w:pPr>
      <w:r>
        <w:rPr>
          <w:rFonts w:ascii="Times New Roman" w:cs="Times New Roman" w:eastAsia="Times New Roman" w:hAnsi="Times New Roman"/>
          <w:sz w:val="14"/>
          <w:szCs w:val="14"/>
          <w:color w:val="auto"/>
        </w:rPr>
        <w:t>Until holders of the pre-funded warrants exercise their pre-funded warrants and acquire shares of our common stock, such holders will have no rights with respect to the shares of our common stock underlying such pre-funded warrants, except that the holder of a pre-funded warrant will be entitled to participate in certain distributions, if any, to all holders of our common stock for no consideration, subject to certain ownership limitations.</w:t>
      </w:r>
    </w:p>
    <w:p>
      <w:pPr>
        <w:spacing w:after="0" w:line="2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Significant holders or beneficial holders of our common stock may not be permitted to exercise pre-funded warrants that they hold.</w:t>
      </w:r>
    </w:p>
    <w:p>
      <w:pPr>
        <w:spacing w:after="0" w:line="97" w:lineRule="exact"/>
        <w:rPr>
          <w:sz w:val="20"/>
          <w:szCs w:val="20"/>
          <w:color w:val="auto"/>
        </w:rPr>
      </w:pPr>
    </w:p>
    <w:p>
      <w:pPr>
        <w:ind w:left="1120" w:right="400"/>
        <w:spacing w:after="0" w:line="273" w:lineRule="auto"/>
        <w:rPr>
          <w:sz w:val="20"/>
          <w:szCs w:val="20"/>
          <w:color w:val="auto"/>
        </w:rPr>
      </w:pPr>
      <w:r>
        <w:rPr>
          <w:rFonts w:ascii="Times New Roman" w:cs="Times New Roman" w:eastAsia="Times New Roman" w:hAnsi="Times New Roman"/>
          <w:sz w:val="15"/>
          <w:szCs w:val="15"/>
          <w:color w:val="auto"/>
        </w:rPr>
        <w:t>A holder of a pre-funded warrant will not be entitled to exercise any portion of any pre-funded warrant which, upon giving effect to such exercise, would cause the aggregate number of shares of our common stock</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S-11</w:t>
      </w:r>
    </w:p>
    <w:p>
      <w:pPr>
        <w:sectPr>
          <w:pgSz w:w="11900" w:h="16838" w:orient="portrait"/>
          <w:cols w:equalWidth="0" w:num="1">
            <w:col w:w="10160"/>
          </w:cols>
          <w:pgMar w:left="300" w:top="400" w:right="1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spacing w:after="0" w:line="252" w:lineRule="auto"/>
        <w:rPr>
          <w:sz w:val="20"/>
          <w:szCs w:val="20"/>
          <w:color w:val="auto"/>
        </w:rPr>
      </w:pPr>
      <w:r>
        <w:rPr>
          <w:rFonts w:ascii="Times New Roman" w:cs="Times New Roman" w:eastAsia="Times New Roman" w:hAnsi="Times New Roman"/>
          <w:sz w:val="15"/>
          <w:szCs w:val="15"/>
          <w:color w:val="auto"/>
        </w:rPr>
        <w:t>beneficially owned by the holder (together with its affiliates) to exceed 4.99% (or 9.99% at the initial election of the holder) of the number of shares of our common stock outstanding immediately after giving effect to the exercise, as such percentage ownership is determined in accordance with the terms of the pre-funded warrants. Such percentage may be increased by the holder of the pre-funded warrant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S-12</w:t>
      </w:r>
    </w:p>
    <w:p>
      <w:pPr>
        <w:sectPr>
          <w:pgSz w:w="11900" w:h="16838" w:orient="portrait"/>
          <w:cols w:equalWidth="0" w:num="1">
            <w:col w:w="10160"/>
          </w:cols>
          <w:pgMar w:left="300" w:top="400" w:right="1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NOTE REGARDING FORWARD-LOOKING STATEMENTS</w:t>
      </w:r>
    </w:p>
    <w:p>
      <w:pPr>
        <w:spacing w:after="0" w:line="184" w:lineRule="exact"/>
        <w:rPr>
          <w:sz w:val="20"/>
          <w:szCs w:val="20"/>
          <w:color w:val="auto"/>
        </w:rPr>
      </w:pPr>
    </w:p>
    <w:p>
      <w:pPr>
        <w:ind w:left="1120"/>
        <w:spacing w:after="0" w:line="279" w:lineRule="auto"/>
        <w:rPr>
          <w:sz w:val="20"/>
          <w:szCs w:val="20"/>
          <w:color w:val="auto"/>
        </w:rPr>
      </w:pPr>
      <w:r>
        <w:rPr>
          <w:rFonts w:ascii="Times New Roman" w:cs="Times New Roman" w:eastAsia="Times New Roman" w:hAnsi="Times New Roman"/>
          <w:sz w:val="14"/>
          <w:szCs w:val="14"/>
          <w:color w:val="auto"/>
        </w:rPr>
        <w:t>Various statements made in this prospectus supplement and in the documents incorporated by reference herein are forward-looking and involve risks and uncertainties. All statements that address activities, events or developments that we intend, expect or believe may occur in the future are forward-looking statements within the meaning of Section 27A of the Securities Act and Section 21E of the Exchange Act. Such statements give our current expectations or forecasts of future events and are not statements of historical or current facts. These statements include, among others, statements about:</w:t>
      </w:r>
    </w:p>
    <w:p>
      <w:pPr>
        <w:spacing w:after="0" w:line="60" w:lineRule="exact"/>
        <w:rPr>
          <w:sz w:val="20"/>
          <w:szCs w:val="20"/>
          <w:color w:val="auto"/>
        </w:rPr>
      </w:pPr>
    </w:p>
    <w:p>
      <w:pPr>
        <w:ind w:left="1920" w:right="40" w:hanging="354"/>
        <w:spacing w:after="0" w:line="208"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related to the commercialization of PEMGARDA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(pemivibart), which received emergency use authorization (“EUA”) from the U.S. Food and Drug Administration (“FDA”) in March 2024, including our expectations about the potential market opportunity;</w:t>
      </w:r>
    </w:p>
    <w:p>
      <w:pPr>
        <w:spacing w:after="0" w:line="85"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 of PEMGARDA to keep pace with SARS-CoV-2 viral evolution;</w:t>
      </w:r>
    </w:p>
    <w:p>
      <w:pPr>
        <w:spacing w:after="0" w:line="104" w:lineRule="exact"/>
        <w:rPr>
          <w:rFonts w:ascii="Times New Roman" w:cs="Times New Roman" w:eastAsia="Times New Roman" w:hAnsi="Times New Roman"/>
          <w:sz w:val="15"/>
          <w:szCs w:val="15"/>
          <w:color w:val="auto"/>
        </w:rPr>
      </w:pPr>
    </w:p>
    <w:p>
      <w:pPr>
        <w:ind w:left="1920" w:right="220" w:hanging="354"/>
        <w:spacing w:after="0" w:line="273"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related to VYD2311, our next generation monoclonal antibody (“mAb”) candidate for COVID-19, and the potential of VYD2311 to offer the ability to deliver clinically meaningful titer levels through more system- and patient-friendly means;</w:t>
      </w:r>
    </w:p>
    <w:p>
      <w:pPr>
        <w:spacing w:after="0" w:line="61" w:lineRule="exact"/>
        <w:rPr>
          <w:rFonts w:ascii="Times New Roman" w:cs="Times New Roman" w:eastAsia="Times New Roman" w:hAnsi="Times New Roman"/>
          <w:sz w:val="15"/>
          <w:szCs w:val="15"/>
          <w:color w:val="auto"/>
        </w:rPr>
      </w:pPr>
    </w:p>
    <w:p>
      <w:pPr>
        <w:ind w:left="1920" w:right="100" w:hanging="354"/>
        <w:spacing w:after="0" w:line="273"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availability of a rapid pathway to potential Biologics License Application (“BLA”) approval for VYD2311 for the prevention of COVID-19 and the compact pivotal clinical trial that could substantiate it;</w:t>
      </w:r>
    </w:p>
    <w:p>
      <w:pPr>
        <w:spacing w:after="0" w:line="61" w:lineRule="exact"/>
        <w:rPr>
          <w:rFonts w:ascii="Times New Roman" w:cs="Times New Roman" w:eastAsia="Times New Roman" w:hAnsi="Times New Roman"/>
          <w:sz w:val="15"/>
          <w:szCs w:val="15"/>
          <w:color w:val="auto"/>
        </w:rPr>
      </w:pPr>
    </w:p>
    <w:p>
      <w:pPr>
        <w:ind w:left="1920" w:hanging="354"/>
        <w:spacing w:after="0" w:line="255"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timing, design, progress and results of preclinical studies and clinical trials of our product candidates, including expectations regarding the DECLARATION and LIBERTY clinical trials that are part of our broader REVOLUTION clinical program, and including statements regarding initiation or completion of studies or trials and related preparatory work, the period during which results of any studies or trials will become available, and potential regulatory submissions;</w:t>
      </w:r>
    </w:p>
    <w:p>
      <w:pPr>
        <w:spacing w:after="0" w:line="75" w:lineRule="exact"/>
        <w:rPr>
          <w:rFonts w:ascii="Times New Roman" w:cs="Times New Roman" w:eastAsia="Times New Roman" w:hAnsi="Times New Roman"/>
          <w:sz w:val="15"/>
          <w:szCs w:val="15"/>
          <w:color w:val="auto"/>
        </w:rPr>
      </w:pPr>
    </w:p>
    <w:p>
      <w:pPr>
        <w:ind w:left="1920" w:right="80" w:hanging="354"/>
        <w:spacing w:after="0" w:line="273"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devotion to delivering protection from serious viral infectious diseases, and our aim to develop mAbs that could be used in prevention or treatment of serious viral diseases, starting with COVID-19 and potentially expanding into other high-need indications;</w:t>
      </w:r>
    </w:p>
    <w:p>
      <w:pPr>
        <w:spacing w:after="0" w:line="61" w:lineRule="exact"/>
        <w:rPr>
          <w:rFonts w:ascii="Times New Roman" w:cs="Times New Roman" w:eastAsia="Times New Roman" w:hAnsi="Times New Roman"/>
          <w:sz w:val="15"/>
          <w:szCs w:val="15"/>
          <w:color w:val="auto"/>
        </w:rPr>
      </w:pPr>
    </w:p>
    <w:p>
      <w:pPr>
        <w:ind w:left="1920" w:right="80" w:hanging="354"/>
        <w:spacing w:after="0" w:line="273"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discovery efforts to assess pipeline expansion beyond SARS-CoV-2, including potential targets such as respiratory syncytial virus and measles;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goal of establishing streamlined development pathways to efficiently introduce new mAb candidates targeting SARS-CoV-2;</w:t>
      </w:r>
    </w:p>
    <w:p>
      <w:pPr>
        <w:spacing w:after="0" w:line="104" w:lineRule="exact"/>
        <w:rPr>
          <w:rFonts w:ascii="Times New Roman" w:cs="Times New Roman" w:eastAsia="Times New Roman" w:hAnsi="Times New Roman"/>
          <w:sz w:val="15"/>
          <w:szCs w:val="15"/>
          <w:color w:val="auto"/>
        </w:rPr>
      </w:pPr>
    </w:p>
    <w:p>
      <w:pPr>
        <w:ind w:left="1920" w:right="40" w:hanging="354"/>
        <w:spacing w:after="0" w:line="260"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regulatory pathway for our product candidates, including the anticipated timing of any submission of filings for regulatory authorization or approval of, and our ability to obtain and maintain regulatory authorizations or approvals for, our product candidates;</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regarding SARS-CoV-2 variant monitoring of antiviral activity as part of our ongoing industrial virology effort;</w:t>
      </w:r>
    </w:p>
    <w:p>
      <w:pPr>
        <w:spacing w:after="0" w:line="104" w:lineRule="exact"/>
        <w:rPr>
          <w:rFonts w:ascii="Times New Roman" w:cs="Times New Roman" w:eastAsia="Times New Roman" w:hAnsi="Times New Roman"/>
          <w:sz w:val="15"/>
          <w:szCs w:val="15"/>
          <w:color w:val="auto"/>
        </w:rPr>
      </w:pPr>
    </w:p>
    <w:p>
      <w:pPr>
        <w:ind w:left="1920" w:right="300" w:hanging="354"/>
        <w:spacing w:after="0" w:line="273"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size of the patient populations, market acceptance and opportunity for and clinical utility of our product candidates, if authorized or approved for commercial use;</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manufacturing capabilities and strategy, and our expectations regarding supply and demand of our product candidates;</w:t>
      </w:r>
    </w:p>
    <w:p>
      <w:pPr>
        <w:spacing w:after="0" w:line="104" w:lineRule="exact"/>
        <w:rPr>
          <w:rFonts w:ascii="Times New Roman" w:cs="Times New Roman" w:eastAsia="Times New Roman" w:hAnsi="Times New Roman"/>
          <w:sz w:val="15"/>
          <w:szCs w:val="15"/>
          <w:color w:val="auto"/>
        </w:rPr>
      </w:pPr>
    </w:p>
    <w:p>
      <w:pPr>
        <w:ind w:left="1920" w:right="320" w:hanging="354"/>
        <w:spacing w:after="0" w:line="273"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commercialize our product candidates, if authorized or approved, including our distribution capabilities and strategy;</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identify and develop future product candidates;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SPEAR Study Group, including its anticipated focus, goals and plans;</w:t>
      </w:r>
    </w:p>
    <w:p>
      <w:pPr>
        <w:spacing w:after="0" w:line="104" w:lineRule="exact"/>
        <w:rPr>
          <w:rFonts w:ascii="Times New Roman" w:cs="Times New Roman" w:eastAsia="Times New Roman" w:hAnsi="Times New Roman"/>
          <w:sz w:val="15"/>
          <w:szCs w:val="15"/>
          <w:color w:val="auto"/>
        </w:rPr>
      </w:pPr>
    </w:p>
    <w:p>
      <w:pPr>
        <w:ind w:left="1920" w:right="20" w:hanging="354"/>
        <w:spacing w:after="0" w:line="273"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our expenses, ongoing losses, future potential revenue, capital requirements and our need for or ability to obtain additional funding;</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S-13</w:t>
      </w:r>
    </w:p>
    <w:p>
      <w:pPr>
        <w:sectPr>
          <w:pgSz w:w="11900" w:h="16838" w:orient="portrait"/>
          <w:cols w:equalWidth="0" w:num="1">
            <w:col w:w="10160"/>
          </w:cols>
          <w:pgMar w:left="300" w:top="400" w:right="1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hanging="354"/>
        <w:spacing w:after="0"/>
        <w:tabs>
          <w:tab w:leader="none" w:pos="19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continue as a going concern;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competitive position and the development of and projections relating to our competitors or our industry;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intended use of proceeds from this offering.</w:t>
      </w:r>
    </w:p>
    <w:p>
      <w:pPr>
        <w:spacing w:after="0" w:line="182" w:lineRule="exact"/>
        <w:rPr>
          <w:sz w:val="20"/>
          <w:szCs w:val="20"/>
          <w:color w:val="auto"/>
        </w:rPr>
      </w:pPr>
    </w:p>
    <w:p>
      <w:pPr>
        <w:ind w:left="1120" w:right="19"/>
        <w:spacing w:after="0" w:line="250" w:lineRule="auto"/>
        <w:rPr>
          <w:sz w:val="20"/>
          <w:szCs w:val="20"/>
          <w:color w:val="auto"/>
        </w:rPr>
      </w:pPr>
      <w:r>
        <w:rPr>
          <w:rFonts w:ascii="Times New Roman" w:cs="Times New Roman" w:eastAsia="Times New Roman" w:hAnsi="Times New Roman"/>
          <w:sz w:val="15"/>
          <w:szCs w:val="15"/>
          <w:color w:val="auto"/>
        </w:rPr>
        <w:t>We cannot guarantee that the results and other expectations expressed, anticipated or implied in any forward- looking statement will be realized. The risks set forth under Item 1A of our Annual Report on Form 10-K for the fiscal year ended December 31, 2024 and any supplementary risks set forth under Item 1A of our Quarterly Reports on Form 10-Q and other documents we file with the SEC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You should read and interpret any forward-looking statements in light of these risks.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58" w:lineRule="exact"/>
        <w:rPr>
          <w:sz w:val="20"/>
          <w:szCs w:val="20"/>
          <w:color w:val="auto"/>
        </w:rPr>
      </w:pPr>
    </w:p>
    <w:p>
      <w:pPr>
        <w:ind w:left="1120" w:right="159"/>
        <w:spacing w:after="0" w:line="255" w:lineRule="auto"/>
        <w:rPr>
          <w:sz w:val="20"/>
          <w:szCs w:val="20"/>
          <w:color w:val="auto"/>
        </w:rPr>
      </w:pPr>
      <w:r>
        <w:rPr>
          <w:rFonts w:ascii="Times New Roman" w:cs="Times New Roman" w:eastAsia="Times New Roman" w:hAnsi="Times New Roman"/>
          <w:sz w:val="15"/>
          <w:szCs w:val="15"/>
          <w:color w:val="auto"/>
        </w:rPr>
        <w:t>You should read this prospectus supplement, the accompanying prospectus and the documents that we incorporate by reference herein and therein completely and with the understanding that our actual future results may be materially different from what we expect. The forward-looking statements contained in this prospectus supplement are made as of the date of this prospectus supplement and we do not assume any obligation to update any forward-looking statements, whether as a result of new information, future events or otherwise, except as required by applicable law.</w:t>
      </w:r>
    </w:p>
    <w:p>
      <w:pPr>
        <w:spacing w:after="0" w:line="153" w:lineRule="exact"/>
        <w:rPr>
          <w:sz w:val="20"/>
          <w:szCs w:val="20"/>
          <w:color w:val="auto"/>
        </w:rPr>
      </w:pPr>
    </w:p>
    <w:p>
      <w:pPr>
        <w:ind w:left="1120" w:right="19"/>
        <w:spacing w:after="0" w:line="253" w:lineRule="auto"/>
        <w:rPr>
          <w:sz w:val="20"/>
          <w:szCs w:val="20"/>
          <w:color w:val="auto"/>
        </w:rPr>
      </w:pPr>
      <w:r>
        <w:rPr>
          <w:rFonts w:ascii="Times New Roman" w:cs="Times New Roman" w:eastAsia="Times New Roman" w:hAnsi="Times New Roman"/>
          <w:sz w:val="15"/>
          <w:szCs w:val="15"/>
          <w:color w:val="auto"/>
        </w:rPr>
        <w:t>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S-14</w:t>
      </w:r>
    </w:p>
    <w:p>
      <w:pPr>
        <w:sectPr>
          <w:pgSz w:w="11900" w:h="16838" w:orient="portrait"/>
          <w:cols w:equalWidth="0" w:num="1">
            <w:col w:w="10159"/>
          </w:cols>
          <w:pgMar w:left="300" w:top="40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84" w:lineRule="exact"/>
        <w:rPr>
          <w:sz w:val="20"/>
          <w:szCs w:val="20"/>
          <w:color w:val="auto"/>
        </w:rPr>
      </w:pPr>
    </w:p>
    <w:p>
      <w:pPr>
        <w:jc w:val="both"/>
        <w:ind w:left="1120" w:right="199"/>
        <w:spacing w:after="0" w:line="260" w:lineRule="auto"/>
        <w:rPr>
          <w:sz w:val="20"/>
          <w:szCs w:val="20"/>
          <w:color w:val="auto"/>
        </w:rPr>
      </w:pPr>
      <w:r>
        <w:rPr>
          <w:rFonts w:ascii="Times New Roman" w:cs="Times New Roman" w:eastAsia="Times New Roman" w:hAnsi="Times New Roman"/>
          <w:sz w:val="15"/>
          <w:szCs w:val="15"/>
          <w:color w:val="auto"/>
        </w:rPr>
        <w:t>We estimate that the net proceeds from this offering, after deducting the underwriting discounts and commissions and the estimated offering expenses payable by us, will be approximately $117.2 million (or approximately $134.8 million if the underwriters exercise their option to purchase additional shares in full). We will receive nominal proceeds, if any, upon exercise of the pre-funded warrants.</w:t>
      </w:r>
    </w:p>
    <w:p>
      <w:pPr>
        <w:spacing w:after="0" w:line="149" w:lineRule="exact"/>
        <w:rPr>
          <w:sz w:val="20"/>
          <w:szCs w:val="20"/>
          <w:color w:val="auto"/>
        </w:rPr>
      </w:pPr>
    </w:p>
    <w:p>
      <w:pPr>
        <w:ind w:left="1120" w:right="39"/>
        <w:spacing w:after="0" w:line="275" w:lineRule="auto"/>
        <w:rPr>
          <w:sz w:val="20"/>
          <w:szCs w:val="20"/>
          <w:color w:val="auto"/>
        </w:rPr>
      </w:pPr>
      <w:r>
        <w:rPr>
          <w:rFonts w:ascii="Times New Roman" w:cs="Times New Roman" w:eastAsia="Times New Roman" w:hAnsi="Times New Roman"/>
          <w:sz w:val="14"/>
          <w:szCs w:val="14"/>
          <w:color w:val="auto"/>
        </w:rPr>
        <w:t>We intend to use the net proceeds from this offering, together with our existing cash and cash equivalents, for commercial preparedness for the potential launch of VYD2311, continued research and development related to our pipeline programs such as RSV and measles, continued advancement of the SPEAR Study Group efforts related to assessing the effects of mAb therapy for Long COVID and COVID-19 PVS, and for working capital and other general corporate purposes. We may also use a portion of the net proceeds from this offering to acquire or invest in complementary businesses, technologies, additional product candidates or other intellectual property, although we have no present commitments or agreements to do so.</w:t>
      </w:r>
    </w:p>
    <w:p>
      <w:pPr>
        <w:spacing w:after="0" w:line="142" w:lineRule="exact"/>
        <w:rPr>
          <w:sz w:val="20"/>
          <w:szCs w:val="20"/>
          <w:color w:val="auto"/>
        </w:rPr>
      </w:pPr>
    </w:p>
    <w:p>
      <w:pPr>
        <w:ind w:left="1120" w:right="39"/>
        <w:spacing w:after="0" w:line="250" w:lineRule="auto"/>
        <w:rPr>
          <w:sz w:val="20"/>
          <w:szCs w:val="20"/>
          <w:color w:val="auto"/>
        </w:rPr>
      </w:pPr>
      <w:r>
        <w:rPr>
          <w:rFonts w:ascii="Times New Roman" w:cs="Times New Roman" w:eastAsia="Times New Roman" w:hAnsi="Times New Roman"/>
          <w:sz w:val="15"/>
          <w:szCs w:val="15"/>
          <w:color w:val="auto"/>
        </w:rPr>
        <w:t>The amounts and timing of our use of the net proceeds from this offering will depend on a number of factors, such as the timing and progress of our commercialization efforts, the timing and progress of our research and development efforts, the timing and progress of any partnering efforts, and the competitive environment for our product and product candidates. As of the date of this prospectus supplement, we cannot specify with certainty all of the particular uses for the net proceeds to us from the sale of our securities offered by us hereunder. Accordingly, our management will have broad discretion in the timing and application of these proceeds. Pending application of the net proceeds as described above, we intend to temporarily invest the proceeds in short-term, interest-bearing instruments. As the net proceeds from this offering, together with our existing cash and cash equivalents and cash collected on future revenues, may not be sufficient to fund our clinical programs, we may raise additional capital to achieve our business objectives.</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S-15</w:t>
      </w:r>
    </w:p>
    <w:p>
      <w:pPr>
        <w:sectPr>
          <w:pgSz w:w="11900" w:h="16838" w:orient="portrait"/>
          <w:cols w:equalWidth="0" w:num="1">
            <w:col w:w="10159"/>
          </w:cols>
          <w:pgMar w:left="300" w:top="40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84" w:lineRule="exact"/>
        <w:rPr>
          <w:sz w:val="20"/>
          <w:szCs w:val="20"/>
          <w:color w:val="auto"/>
        </w:rPr>
      </w:pPr>
    </w:p>
    <w:p>
      <w:pPr>
        <w:ind w:left="1120" w:right="20"/>
        <w:spacing w:after="0" w:line="260" w:lineRule="auto"/>
        <w:rPr>
          <w:sz w:val="20"/>
          <w:szCs w:val="20"/>
          <w:color w:val="auto"/>
        </w:rPr>
      </w:pPr>
      <w:r>
        <w:rPr>
          <w:rFonts w:ascii="Times New Roman" w:cs="Times New Roman" w:eastAsia="Times New Roman" w:hAnsi="Times New Roman"/>
          <w:sz w:val="15"/>
          <w:szCs w:val="15"/>
          <w:color w:val="auto"/>
        </w:rPr>
        <w:t>Purchasers of common stock or pre-funded warrants in this offering will experience immediate dilution to the extent of the difference between the public offering price per share of common stock or pre-funded warrant, as applicable, and the pro forma as-adjusted net tangible book value per share of common stock immediately after this offering.</w:t>
      </w:r>
    </w:p>
    <w:p>
      <w:pPr>
        <w:spacing w:after="0" w:line="149" w:lineRule="exact"/>
        <w:rPr>
          <w:sz w:val="20"/>
          <w:szCs w:val="20"/>
          <w:color w:val="auto"/>
        </w:rPr>
      </w:pPr>
    </w:p>
    <w:p>
      <w:pPr>
        <w:jc w:val="both"/>
        <w:ind w:left="1120" w:right="180"/>
        <w:spacing w:after="0" w:line="260" w:lineRule="auto"/>
        <w:rPr>
          <w:sz w:val="20"/>
          <w:szCs w:val="20"/>
          <w:color w:val="auto"/>
        </w:rPr>
      </w:pPr>
      <w:r>
        <w:rPr>
          <w:rFonts w:ascii="Times New Roman" w:cs="Times New Roman" w:eastAsia="Times New Roman" w:hAnsi="Times New Roman"/>
          <w:sz w:val="15"/>
          <w:szCs w:val="15"/>
          <w:color w:val="auto"/>
        </w:rPr>
        <w:t>Our net tangible book value as of September 30, 2025 was approximately $93.1 million, or $0.43 per share of common stock. Net tangible book value per share is determined by dividing total tangible assets less total liabilities, excluding items such as intangibles, by the aggregate number of shares of common stock outstanding as of September 30, 2025.</w:t>
      </w:r>
    </w:p>
    <w:p>
      <w:pPr>
        <w:spacing w:after="0" w:line="149" w:lineRule="exact"/>
        <w:rPr>
          <w:sz w:val="20"/>
          <w:szCs w:val="20"/>
          <w:color w:val="auto"/>
        </w:rPr>
      </w:pPr>
    </w:p>
    <w:p>
      <w:pPr>
        <w:ind w:left="1120" w:right="20"/>
        <w:spacing w:after="0" w:line="255" w:lineRule="auto"/>
        <w:rPr>
          <w:sz w:val="20"/>
          <w:szCs w:val="20"/>
          <w:color w:val="auto"/>
        </w:rPr>
      </w:pPr>
      <w:r>
        <w:rPr>
          <w:rFonts w:ascii="Times New Roman" w:cs="Times New Roman" w:eastAsia="Times New Roman" w:hAnsi="Times New Roman"/>
          <w:sz w:val="15"/>
          <w:szCs w:val="15"/>
          <w:color w:val="auto"/>
        </w:rPr>
        <w:t>Our pro forma net tangible book value as of September 30, 2025 was approximately $122.0 million, or $0.52 per share of common stock. Pro forma net tangible book value per share represents net tangible book value divided by the number of shares of our common stock outstanding, after giving effect to our issuance of 18,655,402 shares of common stock issued pursuant to the Sales Agreement subsequent to September 30, 2025 through November 13, 2025.</w:t>
      </w:r>
    </w:p>
    <w:p>
      <w:pPr>
        <w:spacing w:after="0" w:line="153" w:lineRule="exact"/>
        <w:rPr>
          <w:sz w:val="20"/>
          <w:szCs w:val="20"/>
          <w:color w:val="auto"/>
        </w:rPr>
      </w:pPr>
    </w:p>
    <w:p>
      <w:pPr>
        <w:ind w:left="1120" w:right="80"/>
        <w:spacing w:after="0" w:line="260" w:lineRule="auto"/>
        <w:rPr>
          <w:sz w:val="20"/>
          <w:szCs w:val="20"/>
          <w:color w:val="auto"/>
        </w:rPr>
      </w:pPr>
      <w:r>
        <w:rPr>
          <w:rFonts w:ascii="Times New Roman" w:cs="Times New Roman" w:eastAsia="Times New Roman" w:hAnsi="Times New Roman"/>
          <w:sz w:val="15"/>
          <w:szCs w:val="15"/>
          <w:color w:val="auto"/>
        </w:rPr>
        <w:t>Dilution per share to new investors represents the difference between the amount per share paid by purchasers of our common stock or pre-funded warrants in this offering and the pro forma as-adjusted net tangible book value per share of our common stock immediately following the completion of this offering.</w:t>
      </w:r>
    </w:p>
    <w:p>
      <w:pPr>
        <w:spacing w:after="0" w:line="149" w:lineRule="exact"/>
        <w:rPr>
          <w:sz w:val="20"/>
          <w:szCs w:val="20"/>
          <w:color w:val="auto"/>
        </w:rPr>
      </w:pPr>
    </w:p>
    <w:p>
      <w:pPr>
        <w:ind w:left="1120" w:right="40"/>
        <w:spacing w:after="0" w:line="249" w:lineRule="auto"/>
        <w:rPr>
          <w:sz w:val="20"/>
          <w:szCs w:val="20"/>
          <w:color w:val="auto"/>
        </w:rPr>
      </w:pPr>
      <w:r>
        <w:rPr>
          <w:rFonts w:ascii="Times New Roman" w:cs="Times New Roman" w:eastAsia="Times New Roman" w:hAnsi="Times New Roman"/>
          <w:sz w:val="15"/>
          <w:szCs w:val="15"/>
          <w:color w:val="auto"/>
        </w:rPr>
        <w:t>After giving effect to the sale of (i) 44,000,000 shares of common stock in this offering at the public offering price of $2.50 per share and (ii) pre-funded warrants to purchase up to 6,000,000 shares of our common stock in this offering at the public offering price of $2.4999 per pre-funded warrant (which equals the price per share at which shares of our common stock are being sold to the public in this offering, minus the $0.0001 per share exercise price of such pre-funded warrant), including shares of common stock issuable upon exercise of the pre-funded warrant (as we finalize the accounting treatment of the pre-funded warrants, we have assumed equity classification), and after deducting the underwriting discounts and commissions and the estimated offering expenses payable by us, our pro forma as-adjusted net tangible book value as of September 30, 2025 would have been approximately $239.1 million, or approximately $0.84 per share of our common stock. This represents an immediate increase in pro forma net tangible book value of $0.32 per share of common stock to our existing stockholders and an immediate dilution in pro forma net tangible book value of $1.66 per share of common stock issued to the new investors purchasing shares of common stock and pre-funded warrants in this offering, as illustrated by the following table:</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Offering price per share of common stock</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tangible book value per share as of September 30, 2025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$0.43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Increase in net tangible book value per share attributable to shares issued pursuant to the Sales Agreement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0.09</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 forma net tangible book value per share as of September 30, 2025</w:t>
            </w:r>
          </w:p>
        </w:tc>
        <w:tc>
          <w:tcPr>
            <w:tcW w:w="780" w:type="dxa"/>
            <w:vAlign w:val="bottom"/>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$0.52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Increase in pro forma net tangible book value per share attributable to new investors in this offering</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0.32</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 forma as-adjusted net tangible book value per share immediately after giving effect to this offering</w:t>
            </w:r>
          </w:p>
        </w:tc>
        <w:tc>
          <w:tcPr>
            <w:tcW w:w="7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0.84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per share to new investors in this offering</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1.66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1120" w:right="220"/>
        <w:spacing w:after="0" w:line="287" w:lineRule="auto"/>
        <w:rPr>
          <w:sz w:val="20"/>
          <w:szCs w:val="20"/>
          <w:color w:val="auto"/>
        </w:rPr>
      </w:pPr>
      <w:r>
        <w:rPr>
          <w:rFonts w:ascii="Times New Roman" w:cs="Times New Roman" w:eastAsia="Times New Roman" w:hAnsi="Times New Roman"/>
          <w:sz w:val="14"/>
          <w:szCs w:val="14"/>
          <w:color w:val="auto"/>
        </w:rPr>
        <w:t>If the underwriters exercise their option in full to purchase additional shares of our common stock in this offering at the public offering price of $2.50 per share, the pro forma as-adjusted net tangible book value per share after the offering (including shares issuable upon the exercise of the pre-funded warrants but excluding any resulting accounting associated therewith and after deducting underwriting discounts and commissions and estimated</w:t>
      </w:r>
    </w:p>
    <w:p>
      <w:pPr>
        <w:spacing w:after="0" w:line="7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S-16</w:t>
      </w:r>
    </w:p>
    <w:p>
      <w:pPr>
        <w:sectPr>
          <w:pgSz w:w="11900" w:h="16838" w:orient="portrait"/>
          <w:cols w:equalWidth="0" w:num="1">
            <w:col w:w="10180"/>
          </w:cols>
          <w:pgMar w:left="300" w:top="400" w:right="1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300"/>
        <w:spacing w:after="0" w:line="273" w:lineRule="auto"/>
        <w:rPr>
          <w:sz w:val="20"/>
          <w:szCs w:val="20"/>
          <w:color w:val="auto"/>
        </w:rPr>
      </w:pPr>
      <w:r>
        <w:rPr>
          <w:rFonts w:ascii="Times New Roman" w:cs="Times New Roman" w:eastAsia="Times New Roman" w:hAnsi="Times New Roman"/>
          <w:sz w:val="15"/>
          <w:szCs w:val="15"/>
          <w:color w:val="auto"/>
        </w:rPr>
        <w:t>expenses payable by us) would be $0.88 per share, the increase in the pro forma net tangible book value per share to existing stockholders would be $0.36 per share and the dilution to purchasers in this offering would be $1.62 per share.</w:t>
      </w:r>
    </w:p>
    <w:p>
      <w:pPr>
        <w:spacing w:after="0" w:line="140" w:lineRule="exact"/>
        <w:rPr>
          <w:sz w:val="20"/>
          <w:szCs w:val="20"/>
          <w:color w:val="auto"/>
        </w:rPr>
      </w:pPr>
    </w:p>
    <w:p>
      <w:pPr>
        <w:ind w:left="1120" w:right="80"/>
        <w:spacing w:after="0" w:line="255" w:lineRule="auto"/>
        <w:rPr>
          <w:sz w:val="20"/>
          <w:szCs w:val="20"/>
          <w:color w:val="auto"/>
        </w:rPr>
      </w:pPr>
      <w:r>
        <w:rPr>
          <w:rFonts w:ascii="Times New Roman" w:cs="Times New Roman" w:eastAsia="Times New Roman" w:hAnsi="Times New Roman"/>
          <w:sz w:val="15"/>
          <w:szCs w:val="15"/>
          <w:color w:val="auto"/>
        </w:rPr>
        <w:t>The above table is based on 214,409,450 shares of our common stock outstanding as of September 30, 2025, plus 18,655,402 shares of common stock issued pursuant to the Sales Agreement subsequent to September 30, 2025 through November 13, 2025, and assumes the full exercise of the pre-funded warrants sold in the offering. Unless specifically stated otherwise, the information in this prospectus supplement is as of September 30, 2025, and excludes:</w:t>
      </w:r>
    </w:p>
    <w:p>
      <w:pPr>
        <w:spacing w:after="0" w:line="76" w:lineRule="exact"/>
        <w:rPr>
          <w:sz w:val="20"/>
          <w:szCs w:val="20"/>
          <w:color w:val="auto"/>
        </w:rPr>
      </w:pPr>
    </w:p>
    <w:p>
      <w:pPr>
        <w:ind w:left="1920" w:right="160" w:hanging="354"/>
        <w:spacing w:after="0" w:line="273" w:lineRule="auto"/>
        <w:tabs>
          <w:tab w:leader="none" w:pos="19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21,316,902 shares of our common stock issuable upon the exercise of stock options outstanding as of September 30, 2025 at a weighted-average exercise price of $3.01 per share;</w:t>
      </w:r>
    </w:p>
    <w:p>
      <w:pPr>
        <w:spacing w:after="0" w:line="61" w:lineRule="exact"/>
        <w:rPr>
          <w:rFonts w:ascii="Times New Roman" w:cs="Times New Roman" w:eastAsia="Times New Roman" w:hAnsi="Times New Roman"/>
          <w:sz w:val="15"/>
          <w:szCs w:val="15"/>
          <w:color w:val="auto"/>
        </w:rPr>
      </w:pPr>
    </w:p>
    <w:p>
      <w:pPr>
        <w:ind w:left="1920" w:right="180" w:hanging="354"/>
        <w:spacing w:after="0" w:line="273" w:lineRule="auto"/>
        <w:tabs>
          <w:tab w:leader="none" w:pos="19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1,539,000 shares of our common stock issuable upon the vesting and settlement of restricted stock units outstanding as of September 30, 2025;</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12,941,157 shares of our common stock reserved for future issuance under the 2021 Plan as of September 30, 2025;</w:t>
      </w:r>
    </w:p>
    <w:p>
      <w:pPr>
        <w:spacing w:after="0" w:line="104" w:lineRule="exact"/>
        <w:rPr>
          <w:rFonts w:ascii="Times New Roman" w:cs="Times New Roman" w:eastAsia="Times New Roman" w:hAnsi="Times New Roman"/>
          <w:sz w:val="15"/>
          <w:szCs w:val="15"/>
          <w:color w:val="auto"/>
        </w:rPr>
      </w:pPr>
    </w:p>
    <w:p>
      <w:pPr>
        <w:ind w:left="1920" w:right="240" w:hanging="354"/>
        <w:spacing w:after="0" w:line="273" w:lineRule="auto"/>
        <w:tabs>
          <w:tab w:leader="none" w:pos="19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6,824,712 shares of our common stock issuable upon exercise of warrants outstanding as of September 30, 2025, which had a weighted average exercise price of $3.48 per share at that date;</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589,957 shares of our common stock reserved for future issuance under the ESPP as of September 30, 2025; and</w:t>
      </w:r>
    </w:p>
    <w:p>
      <w:pPr>
        <w:spacing w:after="0" w:line="104" w:lineRule="exact"/>
        <w:rPr>
          <w:rFonts w:ascii="Times New Roman" w:cs="Times New Roman" w:eastAsia="Times New Roman" w:hAnsi="Times New Roman"/>
          <w:sz w:val="15"/>
          <w:szCs w:val="15"/>
          <w:color w:val="auto"/>
        </w:rPr>
      </w:pPr>
    </w:p>
    <w:p>
      <w:pPr>
        <w:ind w:left="1920" w:hanging="354"/>
        <w:spacing w:after="0" w:line="273" w:lineRule="auto"/>
        <w:tabs>
          <w:tab w:leader="none" w:pos="19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21,342,442 shares of our common stock issuable upon exercise of pre-funded warrants outstanding as of September 30, 2025 at an exercise price of $0.0001 per share.</w:t>
      </w:r>
    </w:p>
    <w:p>
      <w:pPr>
        <w:spacing w:after="0" w:line="140" w:lineRule="exact"/>
        <w:rPr>
          <w:sz w:val="20"/>
          <w:szCs w:val="20"/>
          <w:color w:val="auto"/>
        </w:rPr>
      </w:pPr>
    </w:p>
    <w:p>
      <w:pPr>
        <w:ind w:left="1120"/>
        <w:spacing w:after="0" w:line="253" w:lineRule="auto"/>
        <w:rPr>
          <w:sz w:val="20"/>
          <w:szCs w:val="20"/>
          <w:color w:val="auto"/>
        </w:rPr>
      </w:pPr>
      <w:r>
        <w:rPr>
          <w:rFonts w:ascii="Times New Roman" w:cs="Times New Roman" w:eastAsia="Times New Roman" w:hAnsi="Times New Roman"/>
          <w:sz w:val="15"/>
          <w:szCs w:val="15"/>
          <w:color w:val="auto"/>
        </w:rPr>
        <w:t>To the extent that options or warrants are exercised or restricted stock units settle, or if we issue additional options, restricted stock units, warrants or other securities to purchase or acquire our common stock in the future and those options, restricted stock units, warrants or other securities are exercised, converted or settled, you may experience further dilution.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S-17</w:t>
      </w:r>
    </w:p>
    <w:p>
      <w:pPr>
        <w:sectPr>
          <w:pgSz w:w="11900" w:h="16838" w:orient="portrait"/>
          <w:cols w:equalWidth="0" w:num="1">
            <w:col w:w="10160"/>
          </w:cols>
          <w:pgMar w:left="300" w:top="400" w:right="1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DESCRIPTION OF PRE-FUNDED WARRANTS</w:t>
      </w:r>
    </w:p>
    <w:p>
      <w:pPr>
        <w:spacing w:after="0" w:line="184" w:lineRule="exact"/>
        <w:rPr>
          <w:sz w:val="20"/>
          <w:szCs w:val="20"/>
          <w:color w:val="auto"/>
        </w:rPr>
      </w:pPr>
    </w:p>
    <w:p>
      <w:pPr>
        <w:ind w:left="1120" w:right="139"/>
        <w:spacing w:after="0" w:line="260" w:lineRule="auto"/>
        <w:rPr>
          <w:sz w:val="20"/>
          <w:szCs w:val="20"/>
          <w:color w:val="auto"/>
        </w:rPr>
      </w:pPr>
      <w:r>
        <w:rPr>
          <w:rFonts w:ascii="Times New Roman" w:cs="Times New Roman" w:eastAsia="Times New Roman" w:hAnsi="Times New Roman"/>
          <w:sz w:val="15"/>
          <w:szCs w:val="15"/>
          <w:color w:val="auto"/>
        </w:rPr>
        <w:t>The following is a summary of certain terms and conditions of the pre-funded warrants being offered in this offering. The following description is subject in all respects to the provisions contained in the pre-funded warrants. We are also registering the shares of common stock issuable from time to time upon exercise of the pre-funded warrants.</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Form</w:t>
      </w:r>
    </w:p>
    <w:p>
      <w:pPr>
        <w:spacing w:after="0" w:line="95" w:lineRule="exact"/>
        <w:rPr>
          <w:sz w:val="20"/>
          <w:szCs w:val="20"/>
          <w:color w:val="auto"/>
        </w:rPr>
      </w:pPr>
    </w:p>
    <w:p>
      <w:pPr>
        <w:ind w:left="1120" w:right="179"/>
        <w:spacing w:after="0" w:line="273" w:lineRule="auto"/>
        <w:rPr>
          <w:sz w:val="20"/>
          <w:szCs w:val="20"/>
          <w:color w:val="auto"/>
        </w:rPr>
      </w:pPr>
      <w:r>
        <w:rPr>
          <w:rFonts w:ascii="Times New Roman" w:cs="Times New Roman" w:eastAsia="Times New Roman" w:hAnsi="Times New Roman"/>
          <w:sz w:val="15"/>
          <w:szCs w:val="15"/>
          <w:color w:val="auto"/>
        </w:rPr>
        <w:t>The pre-funded warrants will be issued in certificated form as individual warrant agreements to certain investors. The form of pre-funded warrant will be filed as an exhibit to a Current Report on Form 8-K that we expect to file with the SEC in connection with this offering.</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Term</w:t>
      </w:r>
    </w:p>
    <w:p>
      <w:pPr>
        <w:spacing w:after="0" w:line="9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The pre-funded warrants will expire on the date the warrant is exercised in full.</w:t>
      </w:r>
    </w:p>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Exercisability</w:t>
      </w:r>
    </w:p>
    <w:p>
      <w:pPr>
        <w:spacing w:after="0" w:line="95" w:lineRule="exact"/>
        <w:rPr>
          <w:sz w:val="20"/>
          <w:szCs w:val="20"/>
          <w:color w:val="auto"/>
        </w:rPr>
      </w:pPr>
    </w:p>
    <w:p>
      <w:pPr>
        <w:ind w:left="1120" w:right="79"/>
        <w:spacing w:after="0" w:line="251" w:lineRule="auto"/>
        <w:rPr>
          <w:sz w:val="20"/>
          <w:szCs w:val="20"/>
          <w:color w:val="auto"/>
        </w:rPr>
      </w:pPr>
      <w:r>
        <w:rPr>
          <w:rFonts w:ascii="Times New Roman" w:cs="Times New Roman" w:eastAsia="Times New Roman" w:hAnsi="Times New Roman"/>
          <w:sz w:val="15"/>
          <w:szCs w:val="15"/>
          <w:color w:val="auto"/>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in immediately available funds, the holder may, in its sole discretion, elect to exercise the pre-funded warrant through a cashless exercise, in which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any fractional shares, we will pay the holder an amount in cash equal to the fractional amount multiplied by the last closing trading price of our common stock on the exercise date.</w:t>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Exercise Limitations</w:t>
      </w:r>
    </w:p>
    <w:p>
      <w:pPr>
        <w:spacing w:after="0" w:line="95" w:lineRule="exact"/>
        <w:rPr>
          <w:sz w:val="20"/>
          <w:szCs w:val="20"/>
          <w:color w:val="auto"/>
        </w:rPr>
      </w:pPr>
    </w:p>
    <w:p>
      <w:pPr>
        <w:ind w:left="1120" w:right="19"/>
        <w:spacing w:after="0" w:line="252" w:lineRule="auto"/>
        <w:rPr>
          <w:sz w:val="20"/>
          <w:szCs w:val="20"/>
          <w:color w:val="auto"/>
        </w:rPr>
      </w:pPr>
      <w:r>
        <w:rPr>
          <w:rFonts w:ascii="Times New Roman" w:cs="Times New Roman" w:eastAsia="Times New Roman" w:hAnsi="Times New Roman"/>
          <w:sz w:val="15"/>
          <w:szCs w:val="15"/>
          <w:color w:val="auto"/>
        </w:rPr>
        <w:t>Under the pre-funded warrants, we may not effect the exercise of any pre-funded warrant, and a holder will not be entitled to exercise any portion of any pre-funded warrant that, upon giving effect to such exercise, would cause the aggregate number of shares of our common stock beneficially owned by such holder (together with its affiliates) to exceed 4.99% (or 9.99% at the initial election of the holder) of the number of shares of our common stock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Exercise Price</w:t>
      </w:r>
    </w:p>
    <w:p>
      <w:pPr>
        <w:spacing w:after="0" w:line="95" w:lineRule="exact"/>
        <w:rPr>
          <w:sz w:val="20"/>
          <w:szCs w:val="20"/>
          <w:color w:val="auto"/>
        </w:rPr>
      </w:pPr>
    </w:p>
    <w:p>
      <w:pPr>
        <w:ind w:left="1120" w:right="19"/>
        <w:spacing w:after="0" w:line="279" w:lineRule="auto"/>
        <w:rPr>
          <w:sz w:val="20"/>
          <w:szCs w:val="20"/>
          <w:color w:val="auto"/>
        </w:rPr>
      </w:pPr>
      <w:r>
        <w:rPr>
          <w:rFonts w:ascii="Times New Roman" w:cs="Times New Roman" w:eastAsia="Times New Roman" w:hAnsi="Times New Roman"/>
          <w:sz w:val="14"/>
          <w:szCs w:val="14"/>
          <w:color w:val="auto"/>
        </w:rPr>
        <w:t>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subdivisions, stock splits, stock combinations, reclassifications, reorganizations or similar events affecting our common stock, as well as upon any distribution of assets, including cash, stock or other property, to our stockholders.</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Transferability</w:t>
      </w:r>
    </w:p>
    <w:p>
      <w:pPr>
        <w:spacing w:after="0" w:line="95" w:lineRule="exact"/>
        <w:rPr>
          <w:sz w:val="20"/>
          <w:szCs w:val="20"/>
          <w:color w:val="auto"/>
        </w:rPr>
      </w:pPr>
    </w:p>
    <w:p>
      <w:pPr>
        <w:ind w:left="1120" w:right="279"/>
        <w:spacing w:after="0" w:line="273" w:lineRule="auto"/>
        <w:rPr>
          <w:sz w:val="20"/>
          <w:szCs w:val="20"/>
          <w:color w:val="auto"/>
        </w:rPr>
      </w:pPr>
      <w:r>
        <w:rPr>
          <w:rFonts w:ascii="Times New Roman" w:cs="Times New Roman" w:eastAsia="Times New Roman" w:hAnsi="Times New Roman"/>
          <w:sz w:val="15"/>
          <w:szCs w:val="15"/>
          <w:color w:val="auto"/>
        </w:rPr>
        <w:t>Subject to applicable laws and the restrictions on transfer set forth in the pre-funded warrants, the pre-funded warrants may be offered for sale, sold, transferred or assigned without our consent.</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S-18</w:t>
      </w:r>
    </w:p>
    <w:p>
      <w:pPr>
        <w:sectPr>
          <w:pgSz w:w="11900" w:h="16838" w:orient="portrait"/>
          <w:cols w:equalWidth="0" w:num="1">
            <w:col w:w="10159"/>
          </w:cols>
          <w:pgMar w:left="300" w:top="40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Exchange Listing</w:t>
      </w:r>
    </w:p>
    <w:p>
      <w:pPr>
        <w:spacing w:after="0" w:line="95" w:lineRule="exact"/>
        <w:rPr>
          <w:sz w:val="20"/>
          <w:szCs w:val="20"/>
          <w:color w:val="auto"/>
        </w:rPr>
      </w:pPr>
    </w:p>
    <w:p>
      <w:pPr>
        <w:ind w:left="1120" w:right="159"/>
        <w:spacing w:after="0" w:line="310" w:lineRule="auto"/>
        <w:rPr>
          <w:sz w:val="20"/>
          <w:szCs w:val="20"/>
          <w:color w:val="auto"/>
        </w:rPr>
      </w:pPr>
      <w:r>
        <w:rPr>
          <w:rFonts w:ascii="Times New Roman" w:cs="Times New Roman" w:eastAsia="Times New Roman" w:hAnsi="Times New Roman"/>
          <w:sz w:val="14"/>
          <w:szCs w:val="14"/>
          <w:color w:val="auto"/>
        </w:rPr>
        <w:t>There is no established trading market for the pre-funded warrants, and we do not expect a market to develop. We do not intend to apply for the listing of the pre-funded warrants on The Nasdaq Global Market, any other national securities exchange or any other nationally recognized trading system.</w:t>
      </w:r>
    </w:p>
    <w:p>
      <w:pPr>
        <w:spacing w:after="0" w:line="20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Fundamental Transactions</w:t>
      </w:r>
    </w:p>
    <w:p>
      <w:pPr>
        <w:spacing w:after="0" w:line="95" w:lineRule="exact"/>
        <w:rPr>
          <w:sz w:val="20"/>
          <w:szCs w:val="20"/>
          <w:color w:val="auto"/>
        </w:rPr>
      </w:pPr>
    </w:p>
    <w:p>
      <w:pPr>
        <w:ind w:left="1120" w:right="19"/>
        <w:spacing w:after="0" w:line="249" w:lineRule="auto"/>
        <w:rPr>
          <w:sz w:val="20"/>
          <w:szCs w:val="20"/>
          <w:color w:val="auto"/>
        </w:rPr>
      </w:pPr>
      <w:r>
        <w:rPr>
          <w:rFonts w:ascii="Times New Roman" w:cs="Times New Roman" w:eastAsia="Times New Roman" w:hAnsi="Times New Roman"/>
          <w:sz w:val="15"/>
          <w:szCs w:val="15"/>
          <w:color w:val="auto"/>
        </w:rPr>
        <w:t>Upon the consummation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amount and kind of securities, cash or other property that such holders would have received had they exercised the pre-funded warrants immediately prior to such fundamental transaction, without regard to any limitations on exercise contained in the pre-funded warrants. In the event the holder of a pre-funded warrant does not exercise the pre-funded warrant as contemplated by the fundamental transaction provisions in the pre-funded warrant, the pre-funded warrant will be deemed exercised in full without regard to any limitations on exercise contained in the pre-funded warrant pursuant to the “cashless exercise” provision in the pre-funded warrant upon the effective date of the consummation of such fundamental transaction.</w:t>
      </w:r>
    </w:p>
    <w:p>
      <w:pPr>
        <w:spacing w:after="0" w:line="2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No Rights as a Stockholder</w:t>
      </w:r>
    </w:p>
    <w:p>
      <w:pPr>
        <w:spacing w:after="0" w:line="95" w:lineRule="exact"/>
        <w:rPr>
          <w:sz w:val="20"/>
          <w:szCs w:val="20"/>
          <w:color w:val="auto"/>
        </w:rPr>
      </w:pPr>
    </w:p>
    <w:p>
      <w:pPr>
        <w:ind w:left="1120" w:right="19"/>
        <w:spacing w:after="0" w:line="251" w:lineRule="auto"/>
        <w:rPr>
          <w:sz w:val="20"/>
          <w:szCs w:val="20"/>
          <w:color w:val="auto"/>
        </w:rPr>
      </w:pPr>
      <w:r>
        <w:rPr>
          <w:rFonts w:ascii="Times New Roman" w:cs="Times New Roman" w:eastAsia="Times New Roman" w:hAnsi="Times New Roman"/>
          <w:sz w:val="15"/>
          <w:szCs w:val="15"/>
          <w:color w:val="auto"/>
        </w:rPr>
        <w:t>Except by virtue of such holder’s ownership of shares of our common stock, the holder of a pre-funded warrant does not have the rights or privileges of a holder of our common stock, including any voting rights, until such holder exercises the pre-funded warrant. In the event of certain distributions, if any, to all holders of our common stock for no consideration, the holder of a pre-funded warrant will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holder’s other attribution parties exceeding the exercise limitations described above, a portion of such distribution shall be held in abeyance for the benefit of such holder until such time as the ownership limitations would not be exceeded.</w:t>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Warrant Agent</w:t>
      </w:r>
    </w:p>
    <w:p>
      <w:pPr>
        <w:spacing w:after="0" w:line="9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We will initially serve as the warrant agent under the pre-funded warrants.</w:t>
      </w:r>
    </w:p>
    <w:p>
      <w:pPr>
        <w:spacing w:after="0" w:line="1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S-19</w:t>
      </w:r>
    </w:p>
    <w:p>
      <w:pPr>
        <w:sectPr>
          <w:pgSz w:w="11900" w:h="16838" w:orient="portrait"/>
          <w:cols w:equalWidth="0" w:num="1">
            <w:col w:w="10159"/>
          </w:cols>
          <w:pgMar w:left="300" w:top="40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w:t>
      </w:r>
    </w:p>
    <w:p>
      <w:pPr>
        <w:spacing w:after="0" w:line="184" w:lineRule="exact"/>
        <w:rPr>
          <w:sz w:val="20"/>
          <w:szCs w:val="20"/>
          <w:color w:val="auto"/>
        </w:rPr>
      </w:pPr>
    </w:p>
    <w:p>
      <w:pPr>
        <w:ind w:left="1120" w:right="20"/>
        <w:spacing w:after="0" w:line="249" w:lineRule="auto"/>
        <w:rPr>
          <w:sz w:val="20"/>
          <w:szCs w:val="20"/>
          <w:color w:val="auto"/>
        </w:rPr>
      </w:pPr>
      <w:r>
        <w:rPr>
          <w:rFonts w:ascii="Times New Roman" w:cs="Times New Roman" w:eastAsia="Times New Roman" w:hAnsi="Times New Roman"/>
          <w:sz w:val="15"/>
          <w:szCs w:val="15"/>
          <w:color w:val="auto"/>
        </w:rPr>
        <w:t>The following discussion is a summary of the material U.S. federal income tax consequences of the purchase, ownership and disposition of shares of our common stock and pre-funded warrants issued pursuant to this offering and the ownership and disposition of shares of our common stock received upon exercise of the pre-funded warrants (collectively, the “Securities”),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U.S. Internal Revenue Service (the “IRS”) in effect as of the date of this offering. These authorities may change or be subject to differing interpretations. Any such change or differing interpretation may be applied retroactively in a manner that could adversely affect a holder of the Securities. We have not sought and will not seek any rulings from the IRS regarding the matters discussed below. There can be no assurance the IRS or a court will not take a contrary position regarding the tax consequences of the purchase, ownership and disposition of the Securities.</w:t>
      </w:r>
    </w:p>
    <w:p>
      <w:pPr>
        <w:spacing w:after="0" w:line="161" w:lineRule="exact"/>
        <w:rPr>
          <w:sz w:val="20"/>
          <w:szCs w:val="20"/>
          <w:color w:val="auto"/>
        </w:rPr>
      </w:pPr>
    </w:p>
    <w:p>
      <w:pPr>
        <w:jc w:val="both"/>
        <w:ind w:left="1120"/>
        <w:spacing w:after="0" w:line="279" w:lineRule="auto"/>
        <w:rPr>
          <w:sz w:val="20"/>
          <w:szCs w:val="20"/>
          <w:color w:val="auto"/>
        </w:rPr>
      </w:pPr>
      <w:r>
        <w:rPr>
          <w:rFonts w:ascii="Times New Roman" w:cs="Times New Roman" w:eastAsia="Times New Roman" w:hAnsi="Times New Roman"/>
          <w:sz w:val="14"/>
          <w:szCs w:val="14"/>
          <w:color w:val="auto"/>
        </w:rPr>
        <w:t>This discussion is limited to holders that hold the Securities as a “capital asset” within the meaning of Section 1221 of the Code (generally, property held for investment). This discussion does not address all U.S. federal income tax consequences relevant to a holder’s particular circumstances, including the impact of the alternative minimum tax, the Medicare contribution tax on net investment income, or the special tax accounting rules under Section 451(b) of the Code. In addition, it does not address consequences relevant to holders subject to particular rules, including, without limitation:</w:t>
      </w:r>
    </w:p>
    <w:p>
      <w:pPr>
        <w:spacing w:after="0" w:line="60" w:lineRule="exact"/>
        <w:rPr>
          <w:sz w:val="20"/>
          <w:szCs w:val="20"/>
          <w:color w:val="auto"/>
        </w:rPr>
      </w:pPr>
    </w:p>
    <w:p>
      <w:pPr>
        <w:ind w:left="1920" w:hanging="354"/>
        <w:spacing w:after="0"/>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expatriates and certain former citizens or long-term residents of the U.S.;</w:t>
      </w:r>
    </w:p>
    <w:p>
      <w:pPr>
        <w:spacing w:after="0" w:line="104" w:lineRule="exact"/>
        <w:rPr>
          <w:rFonts w:ascii="Times New Roman" w:cs="Times New Roman" w:eastAsia="Times New Roman" w:hAnsi="Times New Roman"/>
          <w:sz w:val="15"/>
          <w:szCs w:val="15"/>
          <w:color w:val="auto"/>
        </w:rPr>
      </w:pPr>
    </w:p>
    <w:p>
      <w:pPr>
        <w:ind w:left="1920" w:right="260" w:hanging="354"/>
        <w:spacing w:after="0" w:line="273" w:lineRule="auto"/>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the Securities as part of a hedge, straddle or other risk reduction strategy or as part of a conversion transaction or other integrated investment;</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insurance companies, mutual funds, and other financial institutions;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dealers or traders in securities;</w:t>
      </w:r>
    </w:p>
    <w:p>
      <w:pPr>
        <w:spacing w:after="0" w:line="104" w:lineRule="exact"/>
        <w:rPr>
          <w:rFonts w:ascii="Times New Roman" w:cs="Times New Roman" w:eastAsia="Times New Roman" w:hAnsi="Times New Roman"/>
          <w:sz w:val="15"/>
          <w:szCs w:val="15"/>
          <w:color w:val="auto"/>
        </w:rPr>
      </w:pPr>
    </w:p>
    <w:p>
      <w:pPr>
        <w:ind w:left="1920" w:right="120" w:hanging="354"/>
        <w:spacing w:after="0" w:line="273" w:lineRule="auto"/>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 “passive foreign investment companies,” and corporations that accumulate earnings to avoid U.S. federal income tax;</w:t>
      </w:r>
    </w:p>
    <w:p>
      <w:pPr>
        <w:spacing w:after="0" w:line="61" w:lineRule="exact"/>
        <w:rPr>
          <w:rFonts w:ascii="Times New Roman" w:cs="Times New Roman" w:eastAsia="Times New Roman" w:hAnsi="Times New Roman"/>
          <w:sz w:val="15"/>
          <w:szCs w:val="15"/>
          <w:color w:val="auto"/>
        </w:rPr>
      </w:pPr>
    </w:p>
    <w:p>
      <w:pPr>
        <w:ind w:left="1920" w:right="60" w:hanging="354"/>
        <w:spacing w:after="0" w:line="273" w:lineRule="auto"/>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 corporations,” partnerships or other entities or arrangements treated as partnerships for U.S. federal income tax purposes, or other pass-through entities (and, in each case, investors therein);</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 or governmental organizations;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deemed to sell the Securities under the constructive sale provisions of the Code;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for whom our stock constitutes “qualified small business stock” within the meaning of Section 1202 of the Code;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or receive the Securities pursuant to the exercise of any employee stock option or otherwise as compensation;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persons the functional currency of which is not the U.S. dollar;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tax-qualified retirement plans; and</w:t>
      </w:r>
    </w:p>
    <w:p>
      <w:pPr>
        <w:spacing w:after="0" w:line="104" w:lineRule="exact"/>
        <w:rPr>
          <w:rFonts w:ascii="Times New Roman" w:cs="Times New Roman" w:eastAsia="Times New Roman" w:hAnsi="Times New Roman"/>
          <w:sz w:val="15"/>
          <w:szCs w:val="15"/>
          <w:color w:val="auto"/>
        </w:rPr>
      </w:pPr>
    </w:p>
    <w:p>
      <w:pPr>
        <w:ind w:left="1920" w:right="140" w:hanging="354"/>
        <w:spacing w:after="0" w:line="273" w:lineRule="auto"/>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foreign pension funds” as defined in Section 897(1)(2) of the Code and “withholding qualified holders” as defined in Treasury Regulation Section 1.1445-1(g)(11).</w:t>
      </w:r>
    </w:p>
    <w:p>
      <w:pPr>
        <w:spacing w:after="0" w:line="140" w:lineRule="exact"/>
        <w:rPr>
          <w:sz w:val="20"/>
          <w:szCs w:val="20"/>
          <w:color w:val="auto"/>
        </w:rPr>
      </w:pPr>
    </w:p>
    <w:p>
      <w:pPr>
        <w:ind w:left="1120"/>
        <w:spacing w:after="0" w:line="255" w:lineRule="auto"/>
        <w:rPr>
          <w:sz w:val="20"/>
          <w:szCs w:val="20"/>
          <w:color w:val="auto"/>
        </w:rPr>
      </w:pPr>
      <w:r>
        <w:rPr>
          <w:rFonts w:ascii="Times New Roman" w:cs="Times New Roman" w:eastAsia="Times New Roman" w:hAnsi="Times New Roman"/>
          <w:sz w:val="15"/>
          <w:szCs w:val="15"/>
          <w:color w:val="auto"/>
        </w:rPr>
        <w:t>If a partnership (or other entity or arrangement treated as a partnership for U.S. federal income tax purposes) holds the Securities, the tax treatment of a partner in the partnership will depend on the status of the partner, the activities of the partnership and certain determinations made at the partner level. Accordingly, partnerships holding the Securities and the partners in such partnerships should consult their tax advisors regarding the U.S. federal income tax consequences to them.</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S-20</w:t>
      </w:r>
    </w:p>
    <w:p>
      <w:pPr>
        <w:sectPr>
          <w:pgSz w:w="11900" w:h="16838" w:orient="portrait"/>
          <w:cols w:equalWidth="0" w:num="1">
            <w:col w:w="10160"/>
          </w:cols>
          <w:pgMar w:left="300" w:top="400" w:right="1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120"/>
        <w:spacing w:after="0" w:line="254" w:lineRule="auto"/>
        <w:rPr>
          <w:sz w:val="20"/>
          <w:szCs w:val="20"/>
          <w:color w:val="auto"/>
        </w:rPr>
      </w:pPr>
      <w:r>
        <w:rPr>
          <w:rFonts w:ascii="Times New Roman" w:cs="Times New Roman" w:eastAsia="Times New Roman" w:hAnsi="Times New Roman"/>
          <w:sz w:val="15"/>
          <w:szCs w:val="15"/>
          <w:b w:val="1"/>
          <w:bCs w:val="1"/>
          <w:color w:val="auto"/>
        </w:rPr>
        <w:t>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THE SECURITIES ARISING UNDER THE U.S. FEDERAL ESTATE OR GIFT TAX LAWS OR UNDER THE LAWS OF ANY STATE, LOCAL OR NON-U.S. TAXING JURISDICTION OR UNDER ANY APPLICABLE INCOME TAX TREATY.</w:t>
      </w:r>
    </w:p>
    <w:p>
      <w:pPr>
        <w:spacing w:after="0" w:line="1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For purposes of this discussion, a “U.S. holder” is any beneficial owner of Securities that, for U.S. federal income tax purposes, is:</w:t>
      </w:r>
    </w:p>
    <w:p>
      <w:pPr>
        <w:spacing w:after="0" w:line="105" w:lineRule="exact"/>
        <w:rPr>
          <w:sz w:val="20"/>
          <w:szCs w:val="20"/>
          <w:color w:val="auto"/>
        </w:rPr>
      </w:pPr>
    </w:p>
    <w:p>
      <w:pPr>
        <w:ind w:left="1920" w:hanging="354"/>
        <w:spacing w:after="0"/>
        <w:tabs>
          <w:tab w:leader="none" w:pos="19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U.S.;</w:t>
      </w:r>
    </w:p>
    <w:p>
      <w:pPr>
        <w:spacing w:after="0" w:line="104" w:lineRule="exact"/>
        <w:rPr>
          <w:rFonts w:ascii="Times New Roman" w:cs="Times New Roman" w:eastAsia="Times New Roman" w:hAnsi="Times New Roman"/>
          <w:sz w:val="15"/>
          <w:szCs w:val="15"/>
          <w:color w:val="auto"/>
        </w:rPr>
      </w:pPr>
    </w:p>
    <w:p>
      <w:pPr>
        <w:ind w:left="1920" w:hanging="354"/>
        <w:spacing w:after="0" w:line="273" w:lineRule="auto"/>
        <w:tabs>
          <w:tab w:leader="none" w:pos="19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treated as a corporation for U.S. federal income tax purposes) created or organized under the laws of the U.S., any state thereof, or the District of Columbia;</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 regardless of its source; or</w:t>
      </w:r>
    </w:p>
    <w:p>
      <w:pPr>
        <w:spacing w:after="0" w:line="104" w:lineRule="exact"/>
        <w:rPr>
          <w:rFonts w:ascii="Times New Roman" w:cs="Times New Roman" w:eastAsia="Times New Roman" w:hAnsi="Times New Roman"/>
          <w:sz w:val="15"/>
          <w:szCs w:val="15"/>
          <w:color w:val="auto"/>
        </w:rPr>
      </w:pPr>
    </w:p>
    <w:p>
      <w:pPr>
        <w:ind w:left="1920" w:hanging="354"/>
        <w:spacing w:after="0" w:line="260" w:lineRule="auto"/>
        <w:tabs>
          <w:tab w:leader="none" w:pos="19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that (1) is subject to the primary supervision of a U.S. court and the control of one or more U.S. persons (within the meaning of Section 7701(a)(30) of the Code), or (2) has made a valid election under applicable Treasury Regulations to continue to be treated as a U.S. person.</w:t>
      </w:r>
    </w:p>
    <w:p>
      <w:pPr>
        <w:spacing w:after="0" w:line="149" w:lineRule="exact"/>
        <w:rPr>
          <w:sz w:val="20"/>
          <w:szCs w:val="20"/>
          <w:color w:val="auto"/>
        </w:rPr>
      </w:pPr>
    </w:p>
    <w:p>
      <w:pPr>
        <w:ind w:left="1120" w:right="560"/>
        <w:spacing w:after="0" w:line="273" w:lineRule="auto"/>
        <w:rPr>
          <w:sz w:val="20"/>
          <w:szCs w:val="20"/>
          <w:color w:val="auto"/>
        </w:rPr>
      </w:pPr>
      <w:r>
        <w:rPr>
          <w:rFonts w:ascii="Times New Roman" w:cs="Times New Roman" w:eastAsia="Times New Roman" w:hAnsi="Times New Roman"/>
          <w:sz w:val="15"/>
          <w:szCs w:val="15"/>
          <w:color w:val="auto"/>
        </w:rPr>
        <w:t>For purposes of this discussion, a “non-U.S. holder” is a beneficial owner of the Securities that is neither a U.S. holder nor an entity treated as a partnership for U.S. federal income tax purposes.</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General Treatment of Pre-Funded Warrants</w:t>
      </w:r>
    </w:p>
    <w:p>
      <w:pPr>
        <w:spacing w:after="0" w:line="95" w:lineRule="exact"/>
        <w:rPr>
          <w:sz w:val="20"/>
          <w:szCs w:val="20"/>
          <w:color w:val="auto"/>
        </w:rPr>
      </w:pPr>
    </w:p>
    <w:p>
      <w:pPr>
        <w:ind w:left="1120" w:right="40"/>
        <w:spacing w:after="0" w:line="250" w:lineRule="auto"/>
        <w:rPr>
          <w:sz w:val="20"/>
          <w:szCs w:val="20"/>
          <w:color w:val="auto"/>
        </w:rPr>
      </w:pPr>
      <w:r>
        <w:rPr>
          <w:rFonts w:ascii="Times New Roman" w:cs="Times New Roman" w:eastAsia="Times New Roman" w:hAnsi="Times New Roman"/>
          <w:sz w:val="15"/>
          <w:szCs w:val="15"/>
          <w:color w:val="auto"/>
        </w:rPr>
        <w:t>Although the law in this area is not completely settled, because the exercise price of the pre-funded warrants is a nominal amount, the pre-funded warrants generally are expected to be treated as shares of our common stock for U.S. federal income tax purposes, in which case a holder of pre-funded warrants generally would be taxed in the same manner as a holder of common stock as described below. This position is not binding on the IRS, however, and the IRS may treat the pre-funded warrants as warrants to acquire our common stock and, if so, the amount and character of a holder’s gain with respect to an investment in our pre-funded warrants could change. You should discuss with your tax advisor the consequences of the purchase, ownership and disposition of the pre-funded warrants, as well as the exercise of, certain adjustments to, and any payments in respect of the pre-funded warrants (including potential alternative characterizations). The balance of this discussion generally assumes that the characterization of the pre-funded warrants as shares of our common stock described above is respected for U.S. federal income tax purposes.</w:t>
      </w:r>
    </w:p>
    <w:p>
      <w:pPr>
        <w:spacing w:after="0" w:line="2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Tax Considerations Applicable to U.S. Holders</w:t>
      </w:r>
    </w:p>
    <w:p>
      <w:pPr>
        <w:spacing w:after="0" w:line="9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97" w:lineRule="exact"/>
        <w:rPr>
          <w:sz w:val="20"/>
          <w:szCs w:val="20"/>
          <w:color w:val="auto"/>
        </w:rPr>
      </w:pPr>
    </w:p>
    <w:p>
      <w:pPr>
        <w:ind w:left="1120" w:right="60"/>
        <w:spacing w:after="0" w:line="251" w:lineRule="auto"/>
        <w:rPr>
          <w:sz w:val="20"/>
          <w:szCs w:val="20"/>
          <w:color w:val="auto"/>
        </w:rPr>
      </w:pPr>
      <w:r>
        <w:rPr>
          <w:rFonts w:ascii="Times New Roman" w:cs="Times New Roman" w:eastAsia="Times New Roman" w:hAnsi="Times New Roman"/>
          <w:sz w:val="15"/>
          <w:szCs w:val="15"/>
          <w:color w:val="auto"/>
        </w:rPr>
        <w:t>We do not anticipate declaring or paying distributions to holders of the Securities in the foreseeable future. However, if we do make distributions on the Securities, such distributions will constitute dividends for U.S. federal income tax purposes to the extent paid from our current or accumulated earnings and profits, as determined under U.S. federal income tax principles. To the extent those distributions (including constructive distributions) exceed both our current and our accumulated earnings and profits, the excess will constitute a return of capital and will first reduce a U.S. holder’s basis in the Securities, but not below zero, and then will be treated as gain from the sale of Securities as described below under the section entitled “Tax Considerations Applicable to U.S. Holders—Gain or Loss on Disposition of the Securities.” Preferential U.S. federal income tax rates may apply to any dividends paid to noncorporate U.S. holders meeting certain holding period requirements.</w:t>
      </w:r>
    </w:p>
    <w:p>
      <w:pPr>
        <w:spacing w:after="0" w:line="156" w:lineRule="exact"/>
        <w:rPr>
          <w:sz w:val="20"/>
          <w:szCs w:val="20"/>
          <w:color w:val="auto"/>
        </w:rPr>
      </w:pPr>
    </w:p>
    <w:p>
      <w:pPr>
        <w:ind w:left="1120" w:right="60"/>
        <w:spacing w:after="0" w:line="273" w:lineRule="auto"/>
        <w:rPr>
          <w:sz w:val="20"/>
          <w:szCs w:val="20"/>
          <w:color w:val="auto"/>
        </w:rPr>
      </w:pPr>
      <w:r>
        <w:rPr>
          <w:rFonts w:ascii="Times New Roman" w:cs="Times New Roman" w:eastAsia="Times New Roman" w:hAnsi="Times New Roman"/>
          <w:sz w:val="15"/>
          <w:szCs w:val="15"/>
          <w:color w:val="auto"/>
        </w:rPr>
        <w:t>The taxation of property (other than common shares) received with respect to a pre-funded warrant on exercise is unclear. It is possible such a receipt of property would be treated as a distribution on common stock as described</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S-21</w:t>
      </w:r>
    </w:p>
    <w:p>
      <w:pPr>
        <w:sectPr>
          <w:pgSz w:w="11900" w:h="16838" w:orient="portrait"/>
          <w:cols w:equalWidth="0" w:num="1">
            <w:col w:w="10160"/>
          </w:cols>
          <w:pgMar w:left="300" w:top="400" w:right="1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260"/>
        <w:spacing w:after="0" w:line="273" w:lineRule="auto"/>
        <w:rPr>
          <w:sz w:val="20"/>
          <w:szCs w:val="20"/>
          <w:color w:val="auto"/>
        </w:rPr>
      </w:pPr>
      <w:r>
        <w:rPr>
          <w:rFonts w:ascii="Times New Roman" w:cs="Times New Roman" w:eastAsia="Times New Roman" w:hAnsi="Times New Roman"/>
          <w:sz w:val="15"/>
          <w:szCs w:val="15"/>
          <w:color w:val="auto"/>
        </w:rPr>
        <w:t>in this section, although other treatments may also be possible. Investors should consult their tax advisors regarding the proper treatment of any such receipt of property in respect of the pre-funded warrants on exercise.</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Certain Adjustments to the Pre-Funded Warrants</w:t>
      </w:r>
    </w:p>
    <w:p>
      <w:pPr>
        <w:spacing w:after="0" w:line="97" w:lineRule="exact"/>
        <w:rPr>
          <w:sz w:val="20"/>
          <w:szCs w:val="20"/>
          <w:color w:val="auto"/>
        </w:rPr>
      </w:pPr>
    </w:p>
    <w:p>
      <w:pPr>
        <w:ind w:left="1120" w:right="80"/>
        <w:spacing w:after="0" w:line="255" w:lineRule="auto"/>
        <w:rPr>
          <w:sz w:val="20"/>
          <w:szCs w:val="20"/>
          <w:color w:val="auto"/>
        </w:rPr>
      </w:pPr>
      <w:r>
        <w:rPr>
          <w:rFonts w:ascii="Times New Roman" w:cs="Times New Roman" w:eastAsia="Times New Roman" w:hAnsi="Times New Roman"/>
          <w:sz w:val="15"/>
          <w:szCs w:val="15"/>
          <w:color w:val="auto"/>
        </w:rPr>
        <w:t>The number of shares of common stock issued upon the exercise of the pre-funded warrants and the exercise price of pre-funded warrants are subject to adjustment in certain circumstances. Adjustments (or failure to make adjustments) that have the effect of increasing a U.S. Holder’s proportionate interest in our assets or earnings and profits may in some circumstances, result in a constructive distribution to the U.S. Holder. U.S. holders should consult their tax advisors regarding the proper treatment of any adjustments and any distributions with respect to the pre-funded warrants.</w:t>
      </w:r>
    </w:p>
    <w:p>
      <w:pPr>
        <w:spacing w:after="0" w:line="2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Gain or Loss on Disposition of the Securities</w:t>
      </w:r>
    </w:p>
    <w:p>
      <w:pPr>
        <w:spacing w:after="0" w:line="97" w:lineRule="exact"/>
        <w:rPr>
          <w:sz w:val="20"/>
          <w:szCs w:val="20"/>
          <w:color w:val="auto"/>
        </w:rPr>
      </w:pPr>
    </w:p>
    <w:p>
      <w:pPr>
        <w:ind w:left="1120" w:right="40"/>
        <w:spacing w:after="0" w:line="279" w:lineRule="auto"/>
        <w:rPr>
          <w:sz w:val="20"/>
          <w:szCs w:val="20"/>
          <w:color w:val="auto"/>
        </w:rPr>
      </w:pPr>
      <w:r>
        <w:rPr>
          <w:rFonts w:ascii="Times New Roman" w:cs="Times New Roman" w:eastAsia="Times New Roman" w:hAnsi="Times New Roman"/>
          <w:sz w:val="14"/>
          <w:szCs w:val="14"/>
          <w:color w:val="auto"/>
        </w:rPr>
        <w:t>Upon a sale or other taxable disposition of the Securities, a U.S. holder generally will recognize capital gain or loss in an amount equal to the difference between the amount realized and the U.S. holder’s adjusted tax basis in the relevant Securities. Capital gain or loss will constitute long-term capital gain or loss if such U.S. holder’s holding period for the relevant Security exceeds one year. Long-term capital gains derived by certain noncorporate U.S. holders, including individuals, are generally subject to taxation at preferential rates. The deductibility of capital losses is subject to certain limitations.</w:t>
      </w:r>
    </w:p>
    <w:p>
      <w:pPr>
        <w:spacing w:after="0" w:line="2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Exercise of Pre-Funded Warrants</w:t>
      </w:r>
    </w:p>
    <w:p>
      <w:pPr>
        <w:spacing w:after="0" w:line="97" w:lineRule="exact"/>
        <w:rPr>
          <w:sz w:val="20"/>
          <w:szCs w:val="20"/>
          <w:color w:val="auto"/>
        </w:rPr>
      </w:pPr>
    </w:p>
    <w:p>
      <w:pPr>
        <w:ind w:left="1120" w:right="220"/>
        <w:spacing w:after="0" w:line="255" w:lineRule="auto"/>
        <w:rPr>
          <w:sz w:val="20"/>
          <w:szCs w:val="20"/>
          <w:color w:val="auto"/>
        </w:rPr>
      </w:pPr>
      <w:r>
        <w:rPr>
          <w:rFonts w:ascii="Times New Roman" w:cs="Times New Roman" w:eastAsia="Times New Roman" w:hAnsi="Times New Roman"/>
          <w:sz w:val="15"/>
          <w:szCs w:val="15"/>
          <w:color w:val="auto"/>
        </w:rPr>
        <w:t>A U.S. holder may exercise the pre-funded warrant by payment of exercise price or through a cashless exercise. In general, a U.S. holder should not recognize gain or loss for U.S. federal income tax purposes upon exercise of a pre-funded warrant pursuant to either method. If such U.S. holder receives a cash payment for a fractional share that would otherwise have been issuable upon exercise of the pre-funded warrant, it will be treated as a sale subject to the rules described above under “—Gain or Loss on Disposition of the Securities.”</w:t>
      </w:r>
    </w:p>
    <w:p>
      <w:pPr>
        <w:spacing w:after="0" w:line="153" w:lineRule="exact"/>
        <w:rPr>
          <w:sz w:val="20"/>
          <w:szCs w:val="20"/>
          <w:color w:val="auto"/>
        </w:rPr>
      </w:pPr>
    </w:p>
    <w:p>
      <w:pPr>
        <w:ind w:left="1120" w:right="140"/>
        <w:spacing w:after="0" w:line="255" w:lineRule="auto"/>
        <w:rPr>
          <w:sz w:val="20"/>
          <w:szCs w:val="20"/>
          <w:color w:val="auto"/>
        </w:rPr>
      </w:pPr>
      <w:r>
        <w:rPr>
          <w:rFonts w:ascii="Times New Roman" w:cs="Times New Roman" w:eastAsia="Times New Roman" w:hAnsi="Times New Roman"/>
          <w:sz w:val="15"/>
          <w:szCs w:val="15"/>
          <w:color w:val="auto"/>
        </w:rPr>
        <w:t>The taxation of other property (other than common shares) received with respect to a pre-funded warrant on exercise is unclear. It is possible such a receipt of property would be treated as a distribution on common stock as described in the section above entitled “—Distributions,” although other treatments may also be possible. Investors should consult their tax advisors regarding the proper treatment of any such receipt of property in respect of the pre-funded warrants on exercise.</w:t>
      </w:r>
    </w:p>
    <w:p>
      <w:pPr>
        <w:spacing w:after="0" w:line="1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A U.S. holder’s initial tax basis in the share of common stock received upon exercise of the pre-funded warrant generally should be equal to the sum of</w:t>
      </w:r>
    </w:p>
    <w:p>
      <w:pPr>
        <w:spacing w:after="0" w:line="31" w:lineRule="exact"/>
        <w:rPr>
          <w:sz w:val="20"/>
          <w:szCs w:val="20"/>
          <w:color w:val="auto"/>
        </w:rPr>
      </w:pPr>
    </w:p>
    <w:p>
      <w:pPr>
        <w:jc w:val="both"/>
        <w:ind w:left="1120" w:right="20" w:firstLine="2"/>
        <w:spacing w:after="0" w:line="250" w:lineRule="auto"/>
        <w:tabs>
          <w:tab w:leader="none" w:pos="129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U.S. holder’s tax basis in the pre-funded warrant and (ii) the exercise price paid or treated as paid by such U.S. holder on the exercise of the pre-funded warrant. A U.S. holder’s holding period in the common stock received upon exercise generally should include such U.S. holder’s holding period in the pre-funded warrants exchanged therefor.</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97" w:lineRule="exact"/>
        <w:rPr>
          <w:sz w:val="20"/>
          <w:szCs w:val="20"/>
          <w:color w:val="auto"/>
        </w:rPr>
      </w:pPr>
    </w:p>
    <w:p>
      <w:pPr>
        <w:ind w:left="1120" w:right="160"/>
        <w:spacing w:after="0" w:line="255" w:lineRule="auto"/>
        <w:rPr>
          <w:sz w:val="20"/>
          <w:szCs w:val="20"/>
          <w:color w:val="auto"/>
        </w:rPr>
      </w:pPr>
      <w:r>
        <w:rPr>
          <w:rFonts w:ascii="Times New Roman" w:cs="Times New Roman" w:eastAsia="Times New Roman" w:hAnsi="Times New Roman"/>
          <w:sz w:val="15"/>
          <w:szCs w:val="15"/>
          <w:color w:val="auto"/>
        </w:rPr>
        <w:t>Information reporting requirements generally will apply to payments of distributions (including constructive distributions) on the Securities and to the proceeds of a sale or other disposition of Securities paid by us to you unless you are an exempt recipient, such as certain corporations. Backup withholding will apply to those payments if a U.S. holder fails to provide their taxpayer identification number, or certification of exempt status, or if a U.S. holder otherwise fails to comply with applicable requirements to establish an exemption.</w:t>
      </w:r>
    </w:p>
    <w:p>
      <w:pPr>
        <w:spacing w:after="0" w:line="153" w:lineRule="exact"/>
        <w:rPr>
          <w:sz w:val="20"/>
          <w:szCs w:val="20"/>
          <w:color w:val="auto"/>
        </w:rPr>
      </w:pPr>
    </w:p>
    <w:p>
      <w:pPr>
        <w:ind w:left="1120"/>
        <w:spacing w:after="0" w:line="255" w:lineRule="auto"/>
        <w:rPr>
          <w:sz w:val="20"/>
          <w:szCs w:val="20"/>
          <w:color w:val="auto"/>
        </w:rPr>
      </w:pPr>
      <w:r>
        <w:rPr>
          <w:rFonts w:ascii="Times New Roman" w:cs="Times New Roman" w:eastAsia="Times New Roman" w:hAnsi="Times New Roman"/>
          <w:sz w:val="15"/>
          <w:szCs w:val="15"/>
          <w:color w:val="auto"/>
        </w:rPr>
        <w:t>Backup withholding is not an additional tax. Rather, any amounts withheld under the backup withholding rules may be allowed as a refund or a credit against a U.S. holder’s U.S. federal income tax liability, if any, provided the required information is timely furnished to the IRS. Investors should consult their own tax advisors regarding their qualification for exemption from information reporting and backup withholding and the procedure for obtaining such exemption.</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S-22</w:t>
      </w:r>
    </w:p>
    <w:p>
      <w:pPr>
        <w:sectPr>
          <w:pgSz w:w="11900" w:h="16838" w:orient="portrait"/>
          <w:cols w:equalWidth="0" w:num="1">
            <w:col w:w="10160"/>
          </w:cols>
          <w:pgMar w:left="300" w:top="400" w:right="1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Tax Consequences Applicable to Non-U.S. Holders</w:t>
      </w:r>
    </w:p>
    <w:p>
      <w:pPr>
        <w:spacing w:after="0" w:line="9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97" w:lineRule="exact"/>
        <w:rPr>
          <w:sz w:val="20"/>
          <w:szCs w:val="20"/>
          <w:color w:val="auto"/>
        </w:rPr>
      </w:pPr>
    </w:p>
    <w:p>
      <w:pPr>
        <w:ind w:left="1120" w:right="19"/>
        <w:spacing w:after="0" w:line="271" w:lineRule="auto"/>
        <w:rPr>
          <w:sz w:val="20"/>
          <w:szCs w:val="20"/>
          <w:color w:val="auto"/>
        </w:rPr>
      </w:pPr>
      <w:r>
        <w:rPr>
          <w:rFonts w:ascii="Times New Roman" w:cs="Times New Roman" w:eastAsia="Times New Roman" w:hAnsi="Times New Roman"/>
          <w:sz w:val="14"/>
          <w:szCs w:val="14"/>
          <w:color w:val="auto"/>
        </w:rPr>
        <w:t>We do not anticipate declaring or paying distributions to holders of the Securities in the foreseeable future. However, if we do make distributions on the Securities, such distributions (including constructive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Securities, but not below zero. Any excess will be treated as capital gain and will be treated as described below under the section entitled “Sale or Other Disposition of Securities.”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46" w:lineRule="exact"/>
        <w:rPr>
          <w:sz w:val="20"/>
          <w:szCs w:val="20"/>
          <w:color w:val="auto"/>
        </w:rPr>
      </w:pPr>
    </w:p>
    <w:p>
      <w:pPr>
        <w:jc w:val="both"/>
        <w:ind w:left="1120" w:right="79"/>
        <w:spacing w:after="0" w:line="260" w:lineRule="auto"/>
        <w:rPr>
          <w:sz w:val="20"/>
          <w:szCs w:val="20"/>
          <w:color w:val="auto"/>
        </w:rPr>
      </w:pPr>
      <w:r>
        <w:rPr>
          <w:rFonts w:ascii="Times New Roman" w:cs="Times New Roman" w:eastAsia="Times New Roman" w:hAnsi="Times New Roman"/>
          <w:sz w:val="15"/>
          <w:szCs w:val="15"/>
          <w:color w:val="auto"/>
        </w:rPr>
        <w:t>Subject to the discussion below on backup withholding and FATCA (as defined below), dividends paid to a non-U.S. holder of our common stock that are not effectively connected with the non-U.S. holder’s conduct of a trade or business within the U.S. will be subject to U.S. federal withholding tax at a rate of 30% of the gross amount of the dividends (or such lower rate specified by an applicable income tax treaty).</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Non-U.S. holders may be entitled to a reduction in or an exemption from withholding on dividends as a result of (i) an applicable income tax treaty or</w:t>
      </w:r>
    </w:p>
    <w:p>
      <w:pPr>
        <w:spacing w:after="0" w:line="19" w:lineRule="exact"/>
        <w:rPr>
          <w:sz w:val="20"/>
          <w:szCs w:val="20"/>
          <w:color w:val="auto"/>
        </w:rPr>
      </w:pPr>
    </w:p>
    <w:p>
      <w:pPr>
        <w:ind w:left="1120" w:right="139" w:firstLine="2"/>
        <w:spacing w:after="0" w:line="247" w:lineRule="auto"/>
        <w:tabs>
          <w:tab w:leader="none" w:pos="133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holding the Securities in connection with the conduct of a trade or business within the U.S. and dividends being effectively connected with that trade or business. To claim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U.S. and the country in which the non-U.S. holder resides or is established, or (b) IRS Form W-8ECI stating that the dividends are not subject to withholding tax because they are effectively connected with the conduct by the non-U.S. holder of a trade or business within the U.S., as may be applicable. These certifications must be provided to the applicable withholding agent prior to the payment of dividends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spacing w:after="0" w:line="161" w:lineRule="exact"/>
        <w:rPr>
          <w:sz w:val="20"/>
          <w:szCs w:val="20"/>
          <w:color w:val="auto"/>
        </w:rPr>
      </w:pPr>
    </w:p>
    <w:p>
      <w:pPr>
        <w:ind w:left="1120" w:right="59"/>
        <w:spacing w:after="0" w:line="250" w:lineRule="auto"/>
        <w:rPr>
          <w:sz w:val="20"/>
          <w:szCs w:val="20"/>
          <w:color w:val="auto"/>
        </w:rPr>
      </w:pPr>
      <w:r>
        <w:rPr>
          <w:rFonts w:ascii="Times New Roman" w:cs="Times New Roman" w:eastAsia="Times New Roman" w:hAnsi="Times New Roman"/>
          <w:sz w:val="15"/>
          <w:szCs w:val="15"/>
          <w:color w:val="auto"/>
        </w:rPr>
        <w:t>If dividends paid to a non-U.S. holder are effectively connected with the non-U.S. holder’s conduct of a trade or business within the U.S. (and, if required by an applicable income tax treaty, the non-U.S. holder maintains a permanent establishment in the U.S.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spacing w:after="0" w:line="158" w:lineRule="exact"/>
        <w:rPr>
          <w:sz w:val="20"/>
          <w:szCs w:val="20"/>
          <w:color w:val="auto"/>
        </w:rPr>
      </w:pPr>
    </w:p>
    <w:p>
      <w:pPr>
        <w:jc w:val="both"/>
        <w:ind w:left="1120" w:right="39"/>
        <w:spacing w:after="0" w:line="260" w:lineRule="auto"/>
        <w:rPr>
          <w:sz w:val="20"/>
          <w:szCs w:val="20"/>
          <w:color w:val="auto"/>
        </w:rPr>
      </w:pPr>
      <w:r>
        <w:rPr>
          <w:rFonts w:ascii="Times New Roman" w:cs="Times New Roman" w:eastAsia="Times New Roman" w:hAnsi="Times New Roman"/>
          <w:sz w:val="15"/>
          <w:szCs w:val="15"/>
          <w:color w:val="auto"/>
        </w:rPr>
        <w:t>The taxation of property (other than common shares) received with respect to a pre-funded warrant on exercise is unclear. It is possible such a receipt of property would be treated as a distribution as described in this section, although other treatments may also be possible. Investors should consult their tax advisors regarding the proper treatment of any such receipt of property in respect of the pre-funded warrants on exercise.</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Certain Adjustments to the Pre-Funded Warrants</w:t>
      </w:r>
    </w:p>
    <w:p>
      <w:pPr>
        <w:spacing w:after="0" w:line="97" w:lineRule="exact"/>
        <w:rPr>
          <w:sz w:val="20"/>
          <w:szCs w:val="20"/>
          <w:color w:val="auto"/>
        </w:rPr>
      </w:pPr>
    </w:p>
    <w:p>
      <w:pPr>
        <w:ind w:left="1120" w:right="599"/>
        <w:spacing w:after="0" w:line="273" w:lineRule="auto"/>
        <w:rPr>
          <w:sz w:val="20"/>
          <w:szCs w:val="20"/>
          <w:color w:val="auto"/>
        </w:rPr>
      </w:pPr>
      <w:r>
        <w:rPr>
          <w:rFonts w:ascii="Times New Roman" w:cs="Times New Roman" w:eastAsia="Times New Roman" w:hAnsi="Times New Roman"/>
          <w:sz w:val="15"/>
          <w:szCs w:val="15"/>
          <w:color w:val="auto"/>
        </w:rPr>
        <w:t>As described under “Certain Adjustments to the Pre-Funded Warrants,” an adjustment to the pre-funded warrants could result in a constructive distribution to a non-U.S. Holder, which would be treated as described under</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S-23</w:t>
      </w:r>
    </w:p>
    <w:p>
      <w:pPr>
        <w:sectPr>
          <w:pgSz w:w="11900" w:h="16838" w:orient="portrait"/>
          <w:cols w:equalWidth="0" w:num="1">
            <w:col w:w="10159"/>
          </w:cols>
          <w:pgMar w:left="300" w:top="400"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160"/>
        <w:spacing w:after="0" w:line="310" w:lineRule="auto"/>
        <w:rPr>
          <w:sz w:val="20"/>
          <w:szCs w:val="20"/>
          <w:color w:val="auto"/>
        </w:rPr>
      </w:pPr>
      <w:r>
        <w:rPr>
          <w:rFonts w:ascii="Times New Roman" w:cs="Times New Roman" w:eastAsia="Times New Roman" w:hAnsi="Times New Roman"/>
          <w:sz w:val="14"/>
          <w:szCs w:val="14"/>
          <w:color w:val="auto"/>
        </w:rPr>
        <w:t>“Distributions”. Any resulting withholding tax attributable to deemed dividends would be collected from other amounts payable or distributable to the non-U.S. Holder. Non-U.S. Holders should consult their tax advisors regarding the proper treatment of any adjustments to the pre-funded warrants.</w:t>
      </w:r>
    </w:p>
    <w:p>
      <w:pPr>
        <w:spacing w:after="0" w:line="116" w:lineRule="exact"/>
        <w:rPr>
          <w:sz w:val="20"/>
          <w:szCs w:val="20"/>
          <w:color w:val="auto"/>
        </w:rPr>
      </w:pPr>
    </w:p>
    <w:p>
      <w:pPr>
        <w:ind w:left="1120" w:right="20"/>
        <w:spacing w:after="0" w:line="253" w:lineRule="auto"/>
        <w:rPr>
          <w:sz w:val="20"/>
          <w:szCs w:val="20"/>
          <w:color w:val="auto"/>
        </w:rPr>
      </w:pPr>
      <w:r>
        <w:rPr>
          <w:rFonts w:ascii="Times New Roman" w:cs="Times New Roman" w:eastAsia="Times New Roman" w:hAnsi="Times New Roman"/>
          <w:sz w:val="15"/>
          <w:szCs w:val="15"/>
          <w:color w:val="auto"/>
        </w:rPr>
        <w:t>In addition, regulations governing “dividend equivalents” under Section 871(m) of the Code may apply to the pre-funded warrants. Under those regulations, an implicit or explicit payment under the pre-funded warrants that references a dividend distribution on our common stock generally would be taxable to a non-U.S. holder as described under “Distributions” above. Such dividend equivalent amount would be taxable and subject to withholding whether or not there is actual payment of cash or other property, and we may satisfy any withholding obligations we have in respect of the pre-funded warrants by withholding from other amounts due to a non-U.S. holder.</w:t>
      </w:r>
    </w:p>
    <w:p>
      <w:pPr>
        <w:spacing w:after="0" w:line="155" w:lineRule="exact"/>
        <w:rPr>
          <w:sz w:val="20"/>
          <w:szCs w:val="20"/>
          <w:color w:val="auto"/>
        </w:rPr>
      </w:pPr>
    </w:p>
    <w:p>
      <w:pPr>
        <w:ind w:left="1120" w:right="800"/>
        <w:spacing w:after="0" w:line="273" w:lineRule="auto"/>
        <w:rPr>
          <w:sz w:val="20"/>
          <w:szCs w:val="20"/>
          <w:color w:val="auto"/>
        </w:rPr>
      </w:pPr>
      <w:r>
        <w:rPr>
          <w:rFonts w:ascii="Times New Roman" w:cs="Times New Roman" w:eastAsia="Times New Roman" w:hAnsi="Times New Roman"/>
          <w:sz w:val="15"/>
          <w:szCs w:val="15"/>
          <w:color w:val="auto"/>
        </w:rPr>
        <w:t>Non-U.S. holders are encouraged to consult their own tax advisors regarding the proper treatment of any adjustments and the application of Section 871(m) of the Code to the pre-funded warrants.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Sale or Other Disposition of the Securities</w:t>
      </w:r>
    </w:p>
    <w:p>
      <w:pPr>
        <w:spacing w:after="0" w:line="97" w:lineRule="exact"/>
        <w:rPr>
          <w:sz w:val="20"/>
          <w:szCs w:val="20"/>
          <w:color w:val="auto"/>
        </w:rPr>
      </w:pPr>
    </w:p>
    <w:p>
      <w:pPr>
        <w:ind w:left="1120" w:right="420"/>
        <w:spacing w:after="0" w:line="273" w:lineRule="auto"/>
        <w:rPr>
          <w:sz w:val="20"/>
          <w:szCs w:val="20"/>
          <w:color w:val="auto"/>
        </w:rPr>
      </w:pPr>
      <w:r>
        <w:rPr>
          <w:rFonts w:ascii="Times New Roman" w:cs="Times New Roman" w:eastAsia="Times New Roman" w:hAnsi="Times New Roman"/>
          <w:sz w:val="15"/>
          <w:szCs w:val="15"/>
          <w:color w:val="auto"/>
        </w:rPr>
        <w:t>Subject to the discussions below on backup withholding and FATCA, a non-U.S. holder will not be subject to U.S. federal income tax on any gain realized upon the sale or other disposition of the Securities unless:</w:t>
      </w:r>
    </w:p>
    <w:p>
      <w:pPr>
        <w:spacing w:after="0" w:line="62" w:lineRule="exact"/>
        <w:rPr>
          <w:sz w:val="20"/>
          <w:szCs w:val="20"/>
          <w:color w:val="auto"/>
        </w:rPr>
      </w:pPr>
    </w:p>
    <w:p>
      <w:pPr>
        <w:ind w:left="1920" w:hanging="354"/>
        <w:spacing w:after="0" w:line="273" w:lineRule="auto"/>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the non-U.S. holder’s conduct of a trade or business within the U.S. (and, if required by an applicable income tax treaty, the non-U.S. holder maintains a permanent establishment in the U.S. to which such gain is attributable);</w:t>
      </w:r>
    </w:p>
    <w:p>
      <w:pPr>
        <w:spacing w:after="0" w:line="61" w:lineRule="exact"/>
        <w:rPr>
          <w:rFonts w:ascii="Times New Roman" w:cs="Times New Roman" w:eastAsia="Times New Roman" w:hAnsi="Times New Roman"/>
          <w:sz w:val="15"/>
          <w:szCs w:val="15"/>
          <w:color w:val="auto"/>
        </w:rPr>
      </w:pPr>
    </w:p>
    <w:p>
      <w:pPr>
        <w:ind w:left="1920" w:right="40" w:hanging="354"/>
        <w:spacing w:after="0" w:line="273" w:lineRule="auto"/>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is a nonresident alien individual present in the U.S. for 183 days or more during the taxable year of the disposition and certain other requirements are met; or</w:t>
      </w:r>
    </w:p>
    <w:p>
      <w:pPr>
        <w:spacing w:after="0" w:line="61" w:lineRule="exact"/>
        <w:rPr>
          <w:rFonts w:ascii="Times New Roman" w:cs="Times New Roman" w:eastAsia="Times New Roman" w:hAnsi="Times New Roman"/>
          <w:sz w:val="15"/>
          <w:szCs w:val="15"/>
          <w:color w:val="auto"/>
        </w:rPr>
      </w:pPr>
    </w:p>
    <w:p>
      <w:pPr>
        <w:ind w:left="1920" w:right="520" w:hanging="354"/>
        <w:spacing w:after="0" w:line="273" w:lineRule="auto"/>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constitute U.S. real property interests (“USRPIs”) by reason of our status as a U.S. real property holding corporation (“USRPHC”) for U.S. federal income tax purposes.</w:t>
      </w:r>
    </w:p>
    <w:p>
      <w:pPr>
        <w:spacing w:after="0" w:line="140" w:lineRule="exact"/>
        <w:rPr>
          <w:sz w:val="20"/>
          <w:szCs w:val="20"/>
          <w:color w:val="auto"/>
        </w:rPr>
      </w:pPr>
    </w:p>
    <w:p>
      <w:pPr>
        <w:ind w:left="1120" w:right="120"/>
        <w:spacing w:after="0" w:line="260" w:lineRule="auto"/>
        <w:rPr>
          <w:sz w:val="20"/>
          <w:szCs w:val="20"/>
          <w:color w:val="auto"/>
        </w:rPr>
      </w:pPr>
      <w:r>
        <w:rPr>
          <w:rFonts w:ascii="Times New Roman" w:cs="Times New Roman" w:eastAsia="Times New Roman" w:hAnsi="Times New Roman"/>
          <w:sz w:val="15"/>
          <w:szCs w:val="15"/>
          <w:color w:val="auto"/>
        </w:rPr>
        <w:t>Gain described in the first bullet point above generally will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49" w:lineRule="exact"/>
        <w:rPr>
          <w:sz w:val="20"/>
          <w:szCs w:val="20"/>
          <w:color w:val="auto"/>
        </w:rPr>
      </w:pPr>
    </w:p>
    <w:p>
      <w:pPr>
        <w:ind w:left="1120" w:right="20"/>
        <w:spacing w:after="0" w:line="255" w:lineRule="auto"/>
        <w:rPr>
          <w:sz w:val="20"/>
          <w:szCs w:val="20"/>
          <w:color w:val="auto"/>
        </w:rPr>
      </w:pPr>
      <w:r>
        <w:rPr>
          <w:rFonts w:ascii="Times New Roman" w:cs="Times New Roman" w:eastAsia="Times New Roman" w:hAnsi="Times New Roman"/>
          <w:sz w:val="15"/>
          <w:szCs w:val="15"/>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U.S.) provided the non-U.S. holder has timely filed U.S. federal income tax returns with respect to such losses.</w:t>
      </w:r>
    </w:p>
    <w:p>
      <w:pPr>
        <w:spacing w:after="0" w:line="153" w:lineRule="exact"/>
        <w:rPr>
          <w:sz w:val="20"/>
          <w:szCs w:val="20"/>
          <w:color w:val="auto"/>
        </w:rPr>
      </w:pPr>
    </w:p>
    <w:p>
      <w:pPr>
        <w:ind w:left="1120" w:right="20"/>
        <w:spacing w:after="0" w:line="250" w:lineRule="auto"/>
        <w:rPr>
          <w:sz w:val="20"/>
          <w:szCs w:val="20"/>
          <w:color w:val="auto"/>
        </w:rPr>
      </w:pPr>
      <w:r>
        <w:rPr>
          <w:rFonts w:ascii="Times New Roman" w:cs="Times New Roman" w:eastAsia="Times New Roman" w:hAnsi="Times New Roman"/>
          <w:sz w:val="15"/>
          <w:szCs w:val="15"/>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such as The Nasdaq Global Market, and such non-U.S. holder owned, actually and constructively, 5% or less of our common stock throughout the shorter of the five-year period ending on the date of the sale or other taxable disposition or the non-U.S. Holder’s holding period. There can be no assurance that our common stock will be regularly traded on an established securities market for purposes of the rules described above. Special rules may apply to non-U.S. holders of pre-funded warrants, who should consult their tax advisors.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S-24</w:t>
      </w:r>
    </w:p>
    <w:p>
      <w:pPr>
        <w:sectPr>
          <w:pgSz w:w="11900" w:h="16838" w:orient="portrait"/>
          <w:cols w:equalWidth="0" w:num="1">
            <w:col w:w="10160"/>
          </w:cols>
          <w:pgMar w:left="300" w:top="400" w:right="1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219"/>
        <w:spacing w:after="0" w:line="273" w:lineRule="auto"/>
        <w:rPr>
          <w:sz w:val="20"/>
          <w:szCs w:val="20"/>
          <w:color w:val="auto"/>
        </w:rPr>
      </w:pPr>
      <w:r>
        <w:rPr>
          <w:rFonts w:ascii="Times New Roman" w:cs="Times New Roman" w:eastAsia="Times New Roman" w:hAnsi="Times New Roman"/>
          <w:sz w:val="15"/>
          <w:szCs w:val="15"/>
          <w:color w:val="auto"/>
        </w:rPr>
        <w:t>Non-U.S. holders should consult their tax advisors regarding potentially applicable income tax treaties that may provide for different rules than those described above.</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Exercise of Pre-Funded Warrants</w:t>
      </w:r>
    </w:p>
    <w:p>
      <w:pPr>
        <w:spacing w:after="0" w:line="97" w:lineRule="exact"/>
        <w:rPr>
          <w:sz w:val="20"/>
          <w:szCs w:val="20"/>
          <w:color w:val="auto"/>
        </w:rPr>
      </w:pPr>
    </w:p>
    <w:p>
      <w:pPr>
        <w:jc w:val="both"/>
        <w:ind w:left="1120" w:right="199"/>
        <w:spacing w:after="0" w:line="255" w:lineRule="auto"/>
        <w:rPr>
          <w:sz w:val="20"/>
          <w:szCs w:val="20"/>
          <w:color w:val="auto"/>
        </w:rPr>
      </w:pPr>
      <w:r>
        <w:rPr>
          <w:rFonts w:ascii="Times New Roman" w:cs="Times New Roman" w:eastAsia="Times New Roman" w:hAnsi="Times New Roman"/>
          <w:sz w:val="15"/>
          <w:szCs w:val="15"/>
          <w:color w:val="auto"/>
        </w:rPr>
        <w:t>A non-U.S. holder may exercise the pre-funded warrant by payment of the exercise price or through a cashless exercise. In general, a non-U.S. holder should not recognize gain or loss for U.S. federal income tax purposes upon exercise of a pre-funded warrant pursuant to either method. If such non-U.S. holder receives a cash payment for a fractional share that would otherwise have been issuable upon exercise of the pre-funded warrant, it will be treated as a sale subject to the rules described above under “—Sale or Other Disposition of the Securities.”</w:t>
      </w:r>
    </w:p>
    <w:p>
      <w:pPr>
        <w:spacing w:after="0" w:line="153" w:lineRule="exact"/>
        <w:rPr>
          <w:sz w:val="20"/>
          <w:szCs w:val="20"/>
          <w:color w:val="auto"/>
        </w:rPr>
      </w:pPr>
    </w:p>
    <w:p>
      <w:pPr>
        <w:ind w:left="1120" w:right="59"/>
        <w:spacing w:after="0" w:line="260" w:lineRule="auto"/>
        <w:rPr>
          <w:sz w:val="20"/>
          <w:szCs w:val="20"/>
          <w:color w:val="auto"/>
        </w:rPr>
      </w:pPr>
      <w:r>
        <w:rPr>
          <w:rFonts w:ascii="Times New Roman" w:cs="Times New Roman" w:eastAsia="Times New Roman" w:hAnsi="Times New Roman"/>
          <w:sz w:val="15"/>
          <w:szCs w:val="15"/>
          <w:color w:val="auto"/>
        </w:rPr>
        <w:t>The taxation of property (other than common shares) received with respect to a pre-funded warrant on exercise is unclear. It is possible such a receipt of property would be treated as a distribution on common stock as described above, although other treatments may also be possible. Investors should consult their tax advisors regarding the proper treatment of any such receipt of property in respect of the pre-funded warrants on exercise.</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97" w:lineRule="exact"/>
        <w:rPr>
          <w:sz w:val="20"/>
          <w:szCs w:val="20"/>
          <w:color w:val="auto"/>
        </w:rPr>
      </w:pPr>
    </w:p>
    <w:p>
      <w:pPr>
        <w:ind w:left="1120" w:right="239"/>
        <w:spacing w:after="0" w:line="251" w:lineRule="auto"/>
        <w:rPr>
          <w:sz w:val="20"/>
          <w:szCs w:val="20"/>
          <w:color w:val="auto"/>
        </w:rPr>
      </w:pPr>
      <w:r>
        <w:rPr>
          <w:rFonts w:ascii="Times New Roman" w:cs="Times New Roman" w:eastAsia="Times New Roman" w:hAnsi="Times New Roman"/>
          <w:sz w:val="15"/>
          <w:szCs w:val="15"/>
          <w:color w:val="auto"/>
        </w:rPr>
        <w:t>Subject to the discussion below on FATCA, a non-U.S. holder will not be subject to backup withholding with respect to distributions we make on the Securities to the non-U.S. holder, provided the applicable withholding agent does not have actual knowledge or reason to know such holder is a U.S.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the Securities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156" w:lineRule="exact"/>
        <w:rPr>
          <w:sz w:val="20"/>
          <w:szCs w:val="20"/>
          <w:color w:val="auto"/>
        </w:rPr>
      </w:pPr>
    </w:p>
    <w:p>
      <w:pPr>
        <w:ind w:left="1120" w:right="59"/>
        <w:spacing w:after="0" w:line="271" w:lineRule="auto"/>
        <w:rPr>
          <w:sz w:val="20"/>
          <w:szCs w:val="20"/>
          <w:color w:val="auto"/>
        </w:rPr>
      </w:pPr>
      <w:r>
        <w:rPr>
          <w:rFonts w:ascii="Times New Roman" w:cs="Times New Roman" w:eastAsia="Times New Roman" w:hAnsi="Times New Roman"/>
          <w:sz w:val="14"/>
          <w:szCs w:val="14"/>
          <w:color w:val="auto"/>
        </w:rPr>
        <w:t>Information reporting and backup withholding may apply to the proceeds of a sale or other taxable disposition of the Securities within the U.S., and information reporting may (although backup withholding generally will not) apply to the proceeds of a sale or other taxable disposition of the Securities outside the U.S.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the Securities conducted through a non-U.S. office of a non-U.S. broker generally will not be subject to backup withholding or information reporting. Non-U.S. holders should consult their tax advisors regarding the application of the information reporting and backup withholding rules to them.</w:t>
      </w:r>
    </w:p>
    <w:p>
      <w:pPr>
        <w:spacing w:after="0" w:line="146" w:lineRule="exact"/>
        <w:rPr>
          <w:sz w:val="20"/>
          <w:szCs w:val="20"/>
          <w:color w:val="auto"/>
        </w:rPr>
      </w:pPr>
    </w:p>
    <w:p>
      <w:pPr>
        <w:ind w:left="1120" w:right="59"/>
        <w:spacing w:after="0" w:line="273" w:lineRule="auto"/>
        <w:rPr>
          <w:sz w:val="20"/>
          <w:szCs w:val="20"/>
          <w:color w:val="auto"/>
        </w:rPr>
      </w:pPr>
      <w:r>
        <w:rPr>
          <w:rFonts w:ascii="Times New Roman" w:cs="Times New Roman" w:eastAsia="Times New Roman" w:hAnsi="Times New Roman"/>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FATCA</w:t>
      </w:r>
    </w:p>
    <w:p>
      <w:pPr>
        <w:spacing w:after="0" w:line="97" w:lineRule="exact"/>
        <w:rPr>
          <w:sz w:val="20"/>
          <w:szCs w:val="20"/>
          <w:color w:val="auto"/>
        </w:rPr>
      </w:pPr>
    </w:p>
    <w:p>
      <w:pPr>
        <w:ind w:left="1120" w:right="59"/>
        <w:spacing w:after="0" w:line="253" w:lineRule="auto"/>
        <w:rPr>
          <w:sz w:val="20"/>
          <w:szCs w:val="20"/>
          <w:color w:val="auto"/>
        </w:rPr>
      </w:pPr>
      <w:r>
        <w:rPr>
          <w:rFonts w:ascii="Times New Roman" w:cs="Times New Roman" w:eastAsia="Times New Roman" w:hAnsi="Times New Roman"/>
          <w:sz w:val="15"/>
          <w:szCs w:val="15"/>
          <w:color w:val="auto"/>
        </w:rPr>
        <w:t>Withholding taxes may be imposed under Sections 1471 to 1474 of the Code (“FATCA”) on certain payments made to non-U.S. financial institutions and certain other non-U.S. entities. Specifically, a 30% withholding tax may be imposed on dividends (including deemed dividends) paid on the Securities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S-25</w:t>
      </w:r>
    </w:p>
    <w:p>
      <w:pPr>
        <w:sectPr>
          <w:pgSz w:w="11900" w:h="16838" w:orient="portrait"/>
          <w:cols w:equalWidth="0" w:num="1">
            <w:col w:w="10159"/>
          </w:cols>
          <w:pgMar w:left="300" w:top="40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spacing w:after="0" w:line="249" w:lineRule="auto"/>
        <w:rPr>
          <w:sz w:val="20"/>
          <w:szCs w:val="20"/>
          <w:color w:val="auto"/>
        </w:rPr>
      </w:pPr>
      <w:r>
        <w:rPr>
          <w:rFonts w:ascii="Times New Roman" w:cs="Times New Roman" w:eastAsia="Times New Roman" w:hAnsi="Times New Roman"/>
          <w:sz w:val="15"/>
          <w:szCs w:val="15"/>
          <w:color w:val="auto"/>
        </w:rPr>
        <w:t>information regarding each substantial U.S. owner, or (3) the foreign financial institution or non-financial foreign entity otherwise qualifies for an exemption from these rules, in each case subject to the proposed Treasury Regulations discussed below.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Because we may not know the extent to which a distribution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 Foreign financial institutions located in jurisdictions that have an intergovernmental agreement with the U.S. governing FATCA may be subject to different rules.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S-26</w:t>
      </w:r>
    </w:p>
    <w:p>
      <w:pPr>
        <w:sectPr>
          <w:pgSz w:w="11900" w:h="16838" w:orient="portrait"/>
          <w:cols w:equalWidth="0" w:num="1">
            <w:col w:w="10160"/>
          </w:cols>
          <w:pgMar w:left="300" w:top="400" w:right="1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UNDERWRITING</w:t>
      </w:r>
    </w:p>
    <w:p>
      <w:pPr>
        <w:spacing w:after="0" w:line="184" w:lineRule="exact"/>
        <w:rPr>
          <w:sz w:val="20"/>
          <w:szCs w:val="20"/>
          <w:color w:val="auto"/>
        </w:rPr>
      </w:pPr>
    </w:p>
    <w:p>
      <w:pPr>
        <w:ind w:left="1120" w:right="120" w:firstLine="362"/>
        <w:spacing w:after="0" w:line="255" w:lineRule="auto"/>
        <w:rPr>
          <w:sz w:val="20"/>
          <w:szCs w:val="20"/>
          <w:color w:val="auto"/>
        </w:rPr>
      </w:pPr>
      <w:r>
        <w:rPr>
          <w:rFonts w:ascii="Times New Roman" w:cs="Times New Roman" w:eastAsia="Times New Roman" w:hAnsi="Times New Roman"/>
          <w:sz w:val="15"/>
          <w:szCs w:val="15"/>
          <w:color w:val="auto"/>
        </w:rPr>
        <w:t>Subject to the terms and conditions set forth in the underwriting agreement, dated November 17, 2025, between us and Cantor Fitzgerald &amp; Co., as representative of the underwriters named below (the “Representative”) and the sole book-running manager of this offering, we have agreed to sell to the underwriters, and each of the underwriters has agreed, severally and not jointly, to purchase from us, the shares of common stock and pre-funded warrants shown opposite its name below:</w:t>
      </w:r>
    </w:p>
    <w:p>
      <w:pPr>
        <w:spacing w:after="0" w:line="155" w:lineRule="exact"/>
        <w:rPr>
          <w:sz w:val="20"/>
          <w:szCs w:val="20"/>
          <w:color w:val="auto"/>
        </w:rPr>
      </w:pPr>
    </w:p>
    <w:tbl>
      <w:tblPr>
        <w:tblLayout w:type="fixed"/>
        <w:tblInd w:w="2200" w:type="dxa"/>
        <w:tblCellMar>
          <w:top w:w="0" w:type="dxa"/>
          <w:left w:w="0" w:type="dxa"/>
          <w:bottom w:w="0" w:type="dxa"/>
          <w:right w:w="0" w:type="dxa"/>
        </w:tblCellMar>
      </w:tblPr>
      <w:tr>
        <w:trPr>
          <w:trHeight w:val="138"/>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Underwriter</w:t>
            </w:r>
          </w:p>
        </w:tc>
        <w:tc>
          <w:tcPr>
            <w:tcW w:w="2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2020" w:type="dxa"/>
            <w:vAlign w:val="bottom"/>
            <w:gridSpan w:val="3"/>
          </w:tcPr>
          <w:p>
            <w:pPr>
              <w:jc w:val="center"/>
              <w:ind w:left="651"/>
              <w:spacing w:after="0"/>
              <w:rPr>
                <w:sz w:val="20"/>
                <w:szCs w:val="20"/>
                <w:color w:val="auto"/>
              </w:rPr>
            </w:pPr>
            <w:r>
              <w:rPr>
                <w:rFonts w:ascii="Times New Roman" w:cs="Times New Roman" w:eastAsia="Times New Roman" w:hAnsi="Times New Roman"/>
                <w:sz w:val="12"/>
                <w:szCs w:val="12"/>
                <w:b w:val="1"/>
                <w:bCs w:val="1"/>
                <w:color w:val="auto"/>
              </w:rPr>
              <w:t>Number of Pre-Funded</w:t>
            </w:r>
          </w:p>
        </w:tc>
        <w:tc>
          <w:tcPr>
            <w:tcW w:w="0" w:type="dxa"/>
            <w:vAlign w:val="bottom"/>
          </w:tcPr>
          <w:p>
            <w:pPr>
              <w:spacing w:after="0"/>
              <w:rPr>
                <w:sz w:val="1"/>
                <w:szCs w:val="1"/>
                <w:color w:val="auto"/>
              </w:rPr>
            </w:pPr>
          </w:p>
        </w:tc>
      </w:tr>
      <w:tr>
        <w:trPr>
          <w:trHeight w:val="141"/>
        </w:trPr>
        <w:tc>
          <w:tcPr>
            <w:tcW w:w="2860" w:type="dxa"/>
            <w:vAlign w:val="bottom"/>
            <w:gridSpan w:val="3"/>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Warrants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8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Cantor Fitzgerald &amp; Co.</w:t>
            </w:r>
          </w:p>
        </w:tc>
        <w:tc>
          <w:tcPr>
            <w:tcW w:w="200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37,400,000</w:t>
            </w:r>
          </w:p>
        </w:tc>
        <w:tc>
          <w:tcPr>
            <w:tcW w:w="198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5,100,000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H.C. Wainwright &amp; Co., LLC</w:t>
            </w:r>
          </w:p>
        </w:tc>
        <w:tc>
          <w:tcPr>
            <w:tcW w:w="10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6,600,000</w:t>
            </w:r>
          </w:p>
        </w:tc>
        <w:tc>
          <w:tcPr>
            <w:tcW w:w="7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44,000,000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1120" w:right="20" w:firstLine="362"/>
        <w:spacing w:after="0" w:line="253" w:lineRule="auto"/>
        <w:rPr>
          <w:sz w:val="20"/>
          <w:szCs w:val="20"/>
          <w:color w:val="auto"/>
        </w:rPr>
      </w:pPr>
      <w:r>
        <w:rPr>
          <w:rFonts w:ascii="Times New Roman" w:cs="Times New Roman" w:eastAsia="Times New Roman" w:hAnsi="Times New Roman"/>
          <w:sz w:val="15"/>
          <w:szCs w:val="15"/>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5" w:lineRule="exact"/>
        <w:rPr>
          <w:sz w:val="20"/>
          <w:szCs w:val="20"/>
          <w:color w:val="auto"/>
        </w:rPr>
      </w:pPr>
    </w:p>
    <w:p>
      <w:pPr>
        <w:jc w:val="both"/>
        <w:ind w:left="1120" w:right="60" w:firstLine="362"/>
        <w:spacing w:after="0" w:line="255" w:lineRule="auto"/>
        <w:rPr>
          <w:sz w:val="20"/>
          <w:szCs w:val="20"/>
          <w:color w:val="auto"/>
        </w:rPr>
      </w:pPr>
      <w:r>
        <w:rPr>
          <w:rFonts w:ascii="Times New Roman" w:cs="Times New Roman" w:eastAsia="Times New Roman" w:hAnsi="Times New Roman"/>
          <w:sz w:val="15"/>
          <w:szCs w:val="15"/>
          <w:color w:val="auto"/>
        </w:rPr>
        <w:t>The underwriters are offering the shares of common stock and pre-funded warrants subject to their acceptance of the shares of common stock and pre-funded warrants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2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Option to Purchase Additional Shares</w:t>
      </w:r>
    </w:p>
    <w:p>
      <w:pPr>
        <w:spacing w:after="0" w:line="95" w:lineRule="exact"/>
        <w:rPr>
          <w:sz w:val="20"/>
          <w:szCs w:val="20"/>
          <w:color w:val="auto"/>
        </w:rPr>
      </w:pPr>
    </w:p>
    <w:p>
      <w:pPr>
        <w:ind w:left="1120" w:right="20" w:firstLine="362"/>
        <w:spacing w:after="0" w:line="279" w:lineRule="auto"/>
        <w:rPr>
          <w:sz w:val="20"/>
          <w:szCs w:val="20"/>
          <w:color w:val="auto"/>
        </w:rPr>
      </w:pPr>
      <w:r>
        <w:rPr>
          <w:rFonts w:ascii="Times New Roman" w:cs="Times New Roman" w:eastAsia="Times New Roman" w:hAnsi="Times New Roman"/>
          <w:sz w:val="14"/>
          <w:szCs w:val="14"/>
          <w:color w:val="auto"/>
        </w:rPr>
        <w:t>We have granted to the underwriters an option, exercisable 30 days from the date of this prospectus supplement, to purchase, from time to time, in whole or in part, up to an aggregate of 7,500,000 shares from us at the public offering price set forth on the cover page of this prospectus supplement, less underwriting discounts and commissions. If the underwriters exercise this option, each underwriter will be obligated, subject to certain conditions, to purchase a number of additional shares approximately proportionate to that underwriter’s initial purchase commitment as indicated in the table above.</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Commission and Expenses</w:t>
      </w:r>
    </w:p>
    <w:p>
      <w:pPr>
        <w:spacing w:after="0" w:line="95" w:lineRule="exact"/>
        <w:rPr>
          <w:sz w:val="20"/>
          <w:szCs w:val="20"/>
          <w:color w:val="auto"/>
        </w:rPr>
      </w:pPr>
    </w:p>
    <w:p>
      <w:pPr>
        <w:ind w:left="1120" w:firstLine="362"/>
        <w:spacing w:after="0" w:line="255" w:lineRule="auto"/>
        <w:rPr>
          <w:sz w:val="20"/>
          <w:szCs w:val="20"/>
          <w:color w:val="auto"/>
        </w:rPr>
      </w:pPr>
      <w:r>
        <w:rPr>
          <w:rFonts w:ascii="Times New Roman" w:cs="Times New Roman" w:eastAsia="Times New Roman" w:hAnsi="Times New Roman"/>
          <w:sz w:val="15"/>
          <w:szCs w:val="15"/>
          <w:color w:val="auto"/>
        </w:rPr>
        <w:t>The underwriters have advised us that they propose to offer the shares of common stock and pre-funded warrants to the public at the public offering price set forth on the cover page of this prospectus supplement and to certain dealers, which may include the underwriters, at that price less a concession not in excess of $0.09 per share of common stock and $0.09 per pre-funded warrant. After the initial offering, the Representative may change the offering price and other selling terms.</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S-27</w:t>
      </w:r>
    </w:p>
    <w:p>
      <w:pPr>
        <w:sectPr>
          <w:pgSz w:w="11900" w:h="16838" w:orient="portrait"/>
          <w:cols w:equalWidth="0" w:num="1">
            <w:col w:w="10160"/>
          </w:cols>
          <w:pgMar w:left="300" w:top="400" w:right="1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400" w:firstLine="362"/>
        <w:spacing w:after="0" w:line="260" w:lineRule="auto"/>
        <w:rPr>
          <w:sz w:val="20"/>
          <w:szCs w:val="20"/>
          <w:color w:val="auto"/>
        </w:rPr>
      </w:pPr>
      <w:r>
        <w:rPr>
          <w:rFonts w:ascii="Times New Roman" w:cs="Times New Roman" w:eastAsia="Times New Roman" w:hAnsi="Times New Roman"/>
          <w:sz w:val="15"/>
          <w:szCs w:val="15"/>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41"/>
        </w:trPr>
        <w:tc>
          <w:tcPr>
            <w:tcW w:w="3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7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Per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ind w:left="140"/>
              <w:spacing w:after="0" w:line="94" w:lineRule="exact"/>
              <w:rPr>
                <w:sz w:val="20"/>
                <w:szCs w:val="20"/>
                <w:color w:val="auto"/>
              </w:rPr>
            </w:pPr>
            <w:r>
              <w:rPr>
                <w:rFonts w:ascii="Times New Roman" w:cs="Times New Roman" w:eastAsia="Times New Roman" w:hAnsi="Times New Roman"/>
                <w:sz w:val="9"/>
                <w:szCs w:val="9"/>
                <w:b w:val="1"/>
                <w:bCs w:val="1"/>
                <w:color w:val="auto"/>
              </w:rPr>
              <w:t>Per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2"/>
                <w:szCs w:val="12"/>
                <w:b w:val="1"/>
                <w:bCs w:val="1"/>
                <w:color w:val="auto"/>
              </w:rPr>
              <w:t>Pre-Funded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Without Option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With Option</w:t>
            </w:r>
          </w:p>
        </w:tc>
        <w:tc>
          <w:tcPr>
            <w:tcW w:w="0" w:type="dxa"/>
            <w:vAlign w:val="bottom"/>
          </w:tcPr>
          <w:p>
            <w:pPr>
              <w:spacing w:after="0"/>
              <w:rPr>
                <w:sz w:val="1"/>
                <w:szCs w:val="1"/>
                <w:color w:val="auto"/>
              </w:rPr>
            </w:pPr>
          </w:p>
        </w:tc>
      </w:tr>
      <w:tr>
        <w:trPr>
          <w:trHeight w:val="141"/>
        </w:trPr>
        <w:tc>
          <w:tcPr>
            <w:tcW w:w="3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Share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Warrant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7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Public offering price</w:t>
            </w:r>
          </w:p>
        </w:tc>
        <w:tc>
          <w:tcPr>
            <w:tcW w:w="13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color w:val="auto"/>
                <w:w w:val="95"/>
              </w:rPr>
              <w:t>$ 2.50</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ind w:left="160"/>
              <w:spacing w:after="0" w:line="169" w:lineRule="exact"/>
              <w:rPr>
                <w:sz w:val="20"/>
                <w:szCs w:val="20"/>
                <w:color w:val="auto"/>
              </w:rPr>
            </w:pPr>
            <w:r>
              <w:rPr>
                <w:rFonts w:ascii="Times New Roman" w:cs="Times New Roman" w:eastAsia="Times New Roman" w:hAnsi="Times New Roman"/>
                <w:sz w:val="15"/>
                <w:szCs w:val="15"/>
                <w:color w:val="auto"/>
                <w:w w:val="96"/>
              </w:rPr>
              <w:t>2.4999</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124,999,400.00</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143,749,400.00</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Underwriting discounts and commissions</w:t>
            </w:r>
          </w:p>
        </w:tc>
        <w:tc>
          <w:tcPr>
            <w:tcW w:w="1660" w:type="dxa"/>
            <w:vAlign w:val="bottom"/>
            <w:gridSpan w:val="2"/>
          </w:tcPr>
          <w:p>
            <w:pPr>
              <w:jc w:val="center"/>
              <w:ind w:left="1226"/>
              <w:spacing w:after="0"/>
              <w:rPr>
                <w:sz w:val="20"/>
                <w:szCs w:val="20"/>
                <w:color w:val="auto"/>
              </w:rPr>
            </w:pPr>
            <w:r>
              <w:rPr>
                <w:rFonts w:ascii="Times New Roman" w:cs="Times New Roman" w:eastAsia="Times New Roman" w:hAnsi="Times New Roman"/>
                <w:sz w:val="15"/>
                <w:szCs w:val="15"/>
                <w:color w:val="auto"/>
                <w:w w:val="95"/>
              </w:rPr>
              <w:t>$ 0.15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6"/>
              </w:rPr>
              <w:t>0.1500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8,625,000.00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to us, before expenses</w:t>
            </w:r>
          </w:p>
        </w:tc>
        <w:tc>
          <w:tcPr>
            <w:tcW w:w="1660" w:type="dxa"/>
            <w:vAlign w:val="bottom"/>
            <w:gridSpan w:val="2"/>
            <w:shd w:val="clear" w:color="auto" w:fill="CCEEFF"/>
          </w:tcPr>
          <w:p>
            <w:pPr>
              <w:jc w:val="center"/>
              <w:ind w:left="1226"/>
              <w:spacing w:after="0"/>
              <w:rPr>
                <w:sz w:val="20"/>
                <w:szCs w:val="20"/>
                <w:color w:val="auto"/>
              </w:rPr>
            </w:pPr>
            <w:r>
              <w:rPr>
                <w:rFonts w:ascii="Times New Roman" w:cs="Times New Roman" w:eastAsia="Times New Roman" w:hAnsi="Times New Roman"/>
                <w:sz w:val="15"/>
                <w:szCs w:val="15"/>
                <w:color w:val="auto"/>
                <w:w w:val="95"/>
              </w:rPr>
              <w:t>$ 2.35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96"/>
              </w:rPr>
              <w:t>2.3499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117,499,400.00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135,124,400.00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120" w:right="20" w:firstLine="362"/>
        <w:spacing w:after="0" w:line="255" w:lineRule="auto"/>
        <w:rPr>
          <w:sz w:val="20"/>
          <w:szCs w:val="20"/>
          <w:color w:val="auto"/>
        </w:rPr>
      </w:pPr>
      <w:r>
        <w:rPr>
          <w:rFonts w:ascii="Times New Roman" w:cs="Times New Roman" w:eastAsia="Times New Roman" w:hAnsi="Times New Roman"/>
          <w:sz w:val="15"/>
          <w:szCs w:val="15"/>
          <w:color w:val="auto"/>
        </w:rPr>
        <w:t>We estimate expenses payable by us in connection with this offering, other than the underwriting discounts and commissions referred to above, will be approximately $270,000. We have also agreed to reimburse the underwriters up to $75,000 for certain of their counsel’s fees and expenses, which reimbursed fee is deemed underwriting compensation for this offering by the Financial Industry Regulatory Authority. Additionally, the underwriters have agreed to reimburse us for certain expenses payable by us in connection with this offering.</w:t>
      </w:r>
    </w:p>
    <w:p>
      <w:pPr>
        <w:spacing w:after="0" w:line="2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95" w:lineRule="exact"/>
        <w:rPr>
          <w:sz w:val="20"/>
          <w:szCs w:val="20"/>
          <w:color w:val="auto"/>
        </w:rPr>
      </w:pPr>
    </w:p>
    <w:p>
      <w:pPr>
        <w:ind w:left="1120" w:right="20" w:firstLine="362"/>
        <w:spacing w:after="0" w:line="260" w:lineRule="auto"/>
        <w:rPr>
          <w:sz w:val="20"/>
          <w:szCs w:val="20"/>
          <w:color w:val="auto"/>
        </w:rPr>
      </w:pPr>
      <w:r>
        <w:rPr>
          <w:rFonts w:ascii="Times New Roman" w:cs="Times New Roman" w:eastAsia="Times New Roman" w:hAnsi="Times New Roman"/>
          <w:sz w:val="15"/>
          <w:szCs w:val="15"/>
          <w:color w:val="auto"/>
        </w:rPr>
        <w:t>Our common stock is listed on The Nasdaq Global Market under the trading symbol “IVVD.” There is no established public trading market for the pre-funded warrants, and we do not expect a market to develop. We do not intend to list the pre-funded warrants on The Nasdaq Global Market or any other national securities exchange or nationally recognized trading system.</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No Sales of Similar Securities</w:t>
      </w:r>
    </w:p>
    <w:p>
      <w:pPr>
        <w:spacing w:after="0" w:line="95" w:lineRule="exact"/>
        <w:rPr>
          <w:sz w:val="20"/>
          <w:szCs w:val="20"/>
          <w:color w:val="auto"/>
        </w:rPr>
      </w:pPr>
    </w:p>
    <w:p>
      <w:pPr>
        <w:ind w:left="1120" w:right="100" w:firstLine="362"/>
        <w:spacing w:after="0" w:line="273" w:lineRule="auto"/>
        <w:rPr>
          <w:sz w:val="20"/>
          <w:szCs w:val="20"/>
          <w:color w:val="auto"/>
        </w:rPr>
      </w:pPr>
      <w:r>
        <w:rPr>
          <w:rFonts w:ascii="Times New Roman" w:cs="Times New Roman" w:eastAsia="Times New Roman" w:hAnsi="Times New Roman"/>
          <w:sz w:val="15"/>
          <w:szCs w:val="15"/>
          <w:color w:val="auto"/>
        </w:rPr>
        <w:t>We, our officers and our directors have agreed, subject to certain specified exceptions, not to directly or indirectly, through and including the 60th day after the date of the underwriting agreement (the “Lock-Up Period”):</w:t>
      </w:r>
    </w:p>
    <w:p>
      <w:pPr>
        <w:spacing w:after="0" w:line="62" w:lineRule="exact"/>
        <w:rPr>
          <w:sz w:val="20"/>
          <w:szCs w:val="20"/>
          <w:color w:val="auto"/>
        </w:rPr>
      </w:pPr>
    </w:p>
    <w:p>
      <w:pPr>
        <w:ind w:left="1920" w:right="140" w:hanging="354"/>
        <w:spacing w:after="0" w:line="255" w:lineRule="auto"/>
        <w:tabs>
          <w:tab w:leader="none" w:pos="19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offer to sell, contract to sell or lend, effect any short sale or establish or increase a “put equivalent position” within the meaning of Rule 16a-l(h) under the Exchange Act, or liquidate or decrease any “call equivalent position” (as defined in Rule 16a-1(b) under the Exchange Act), pledge, hypothecate or grant any security interest in, or in any other way transfer or dispose of, any common stock or any securities convertible into or exchangeable or exercisable for common stock;</w:t>
      </w:r>
    </w:p>
    <w:p>
      <w:pPr>
        <w:spacing w:after="0" w:line="75" w:lineRule="exact"/>
        <w:rPr>
          <w:rFonts w:ascii="Times New Roman" w:cs="Times New Roman" w:eastAsia="Times New Roman" w:hAnsi="Times New Roman"/>
          <w:sz w:val="15"/>
          <w:szCs w:val="15"/>
          <w:color w:val="auto"/>
        </w:rPr>
      </w:pPr>
    </w:p>
    <w:p>
      <w:pPr>
        <w:ind w:left="1920" w:right="100" w:hanging="354"/>
        <w:spacing w:after="0" w:line="260" w:lineRule="auto"/>
        <w:tabs>
          <w:tab w:leader="none" w:pos="19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demand for, or exercise any right with respect to, the registration of any shares of common stock or the filing of any registration statement, prospectus or prospectus supplement (or an amendment or supplement thereto) in connection therewith, under the Securities Act;</w:t>
      </w:r>
    </w:p>
    <w:p>
      <w:pPr>
        <w:spacing w:after="0" w:line="71" w:lineRule="exact"/>
        <w:rPr>
          <w:rFonts w:ascii="Times New Roman" w:cs="Times New Roman" w:eastAsia="Times New Roman" w:hAnsi="Times New Roman"/>
          <w:sz w:val="15"/>
          <w:szCs w:val="15"/>
          <w:color w:val="auto"/>
        </w:rPr>
      </w:pPr>
    </w:p>
    <w:p>
      <w:pPr>
        <w:ind w:left="1920" w:right="60" w:hanging="354"/>
        <w:spacing w:after="0" w:line="260" w:lineRule="auto"/>
        <w:tabs>
          <w:tab w:leader="none" w:pos="19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swap, hedge or any other agreement or transaction that transfers, in whole or in part, the economic consequence of ownership of common stock, whether any such swap or transaction is to be settled by delivery of common stock or other securities, in cash or otherwise; or</w:t>
      </w:r>
    </w:p>
    <w:p>
      <w:pPr>
        <w:spacing w:after="0" w:line="71" w:lineRule="exact"/>
        <w:rPr>
          <w:rFonts w:ascii="Times New Roman" w:cs="Times New Roman" w:eastAsia="Times New Roman" w:hAnsi="Times New Roman"/>
          <w:sz w:val="15"/>
          <w:szCs w:val="15"/>
          <w:color w:val="auto"/>
        </w:rPr>
      </w:pPr>
    </w:p>
    <w:p>
      <w:pPr>
        <w:ind w:left="1920" w:right="880" w:hanging="354"/>
        <w:spacing w:after="0" w:line="273" w:lineRule="auto"/>
        <w:tabs>
          <w:tab w:leader="none" w:pos="19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publicly announce an intention to do any of the foregoing during the Lock-Up Period without the prior written consent of the Representative.</w:t>
      </w:r>
    </w:p>
    <w:p>
      <w:pPr>
        <w:spacing w:after="0" w:line="140" w:lineRule="exact"/>
        <w:rPr>
          <w:sz w:val="20"/>
          <w:szCs w:val="20"/>
          <w:color w:val="auto"/>
        </w:rPr>
      </w:pPr>
    </w:p>
    <w:p>
      <w:pPr>
        <w:ind w:left="1120" w:right="160" w:firstLine="362"/>
        <w:spacing w:after="0" w:line="273" w:lineRule="auto"/>
        <w:rPr>
          <w:sz w:val="20"/>
          <w:szCs w:val="20"/>
          <w:color w:val="auto"/>
        </w:rPr>
      </w:pPr>
      <w:r>
        <w:rPr>
          <w:rFonts w:ascii="Times New Roman" w:cs="Times New Roman" w:eastAsia="Times New Roman" w:hAnsi="Times New Roman"/>
          <w:sz w:val="15"/>
          <w:szCs w:val="15"/>
          <w:color w:val="auto"/>
        </w:rPr>
        <w:t>The Representative may, in its sole discretion and at any time or from time to time before the termination of the 60-day period, release all or any portion of the securities subject to lock-up agreements.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restrictions in the preceding paragraph do not apply in certain circumstances, including, with respect to our officers and directors:</w:t>
      </w:r>
    </w:p>
    <w:p>
      <w:pPr>
        <w:spacing w:after="0" w:line="105" w:lineRule="exact"/>
        <w:rPr>
          <w:sz w:val="20"/>
          <w:szCs w:val="20"/>
          <w:color w:val="auto"/>
        </w:rPr>
      </w:pPr>
    </w:p>
    <w:p>
      <w:pPr>
        <w:ind w:left="5500" w:right="1920" w:hanging="3569"/>
        <w:spacing w:after="0" w:line="442" w:lineRule="auto"/>
        <w:tabs>
          <w:tab w:leader="none" w:pos="2282"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as a bona fide gift or gifts, charitable contribution or for bona fide estate planning purposes; S-28</w:t>
      </w:r>
    </w:p>
    <w:p>
      <w:pPr>
        <w:sectPr>
          <w:pgSz w:w="11900" w:h="16838" w:orient="portrait"/>
          <w:cols w:equalWidth="0" w:num="1">
            <w:col w:w="10180"/>
          </w:cols>
          <w:pgMar w:left="300" w:top="400" w:right="1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2280" w:right="120" w:hanging="349"/>
        <w:spacing w:after="0" w:line="255" w:lineRule="auto"/>
        <w:tabs>
          <w:tab w:leader="none" w:pos="2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to any immediate family member or to any trust for the direct or indirect benefit of the lock-up signatory or the immediate family of the lock-up signatory (for purposes of these restrictions, “immediate family” shall mean the spouse, domestic partner, lineal descendant, father, mother, brother, sister, or any other person with whom the lock-up signatory has a relationship by blood, marriage or adoption not more remote than first cousin);</w:t>
      </w:r>
    </w:p>
    <w:p>
      <w:pPr>
        <w:spacing w:after="0" w:line="75" w:lineRule="exact"/>
        <w:rPr>
          <w:rFonts w:ascii="Times New Roman" w:cs="Times New Roman" w:eastAsia="Times New Roman" w:hAnsi="Times New Roman"/>
          <w:sz w:val="15"/>
          <w:szCs w:val="15"/>
          <w:color w:val="auto"/>
        </w:rPr>
      </w:pPr>
    </w:p>
    <w:p>
      <w:pPr>
        <w:ind w:left="2280" w:hanging="349"/>
        <w:spacing w:after="0"/>
        <w:tabs>
          <w:tab w:leader="none" w:pos="2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pursuant to a qualified domestic order or in connection with a divorce settlement;</w:t>
      </w:r>
    </w:p>
    <w:p>
      <w:pPr>
        <w:spacing w:after="0" w:line="104" w:lineRule="exact"/>
        <w:rPr>
          <w:rFonts w:ascii="Times New Roman" w:cs="Times New Roman" w:eastAsia="Times New Roman" w:hAnsi="Times New Roman"/>
          <w:sz w:val="15"/>
          <w:szCs w:val="15"/>
          <w:color w:val="auto"/>
        </w:rPr>
      </w:pPr>
    </w:p>
    <w:p>
      <w:pPr>
        <w:ind w:left="2280" w:right="260" w:hanging="349"/>
        <w:spacing w:after="0" w:line="273" w:lineRule="auto"/>
        <w:tabs>
          <w:tab w:leader="none" w:pos="2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by will or intestate succession to the legal representative, heir, beneficiary or immediate family of the lock-up signatory upon the death of the lock-up signatory;</w:t>
      </w:r>
    </w:p>
    <w:p>
      <w:pPr>
        <w:spacing w:after="0" w:line="61" w:lineRule="exact"/>
        <w:rPr>
          <w:rFonts w:ascii="Times New Roman" w:cs="Times New Roman" w:eastAsia="Times New Roman" w:hAnsi="Times New Roman"/>
          <w:sz w:val="15"/>
          <w:szCs w:val="15"/>
          <w:color w:val="auto"/>
        </w:rPr>
      </w:pPr>
    </w:p>
    <w:p>
      <w:pPr>
        <w:ind w:left="2280" w:right="120" w:hanging="349"/>
        <w:spacing w:after="0" w:line="250" w:lineRule="auto"/>
        <w:tabs>
          <w:tab w:leader="none" w:pos="2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pursuant to the exercise or exchange by the lock-up signatory of any options to purchase shares of our common stock, including the sales or transfers of shares of common stock or any security convertible into or exercisable or exchangeable for common stock upon the exercise of options to purchase our securities for cash or on a “cashless” or “net exercise” basis to cover exercise price and/or tax withholding obligations of the lock-up signatory in connection with such exercise, pursuant to our stock option, stock bonus or other stock plan or arrangement; provided, however, that the underlying shares of common stock shall continue to be subject to the restrictions on transfer in the lock-up agreement and that any filing under Section 16 of the Exchange Act made in connection with such exercise or exchange shall clearly indicate in the footnotes thereto that (i) the filing relates to the circumstances described herein and (ii) the purpose of such sale or transfer was to cover the exercise price and/or tax withholding obligations, as applicable, of the lock-up signatory in connection with such exercise;</w:t>
      </w:r>
    </w:p>
    <w:p>
      <w:pPr>
        <w:spacing w:after="0" w:line="78" w:lineRule="exact"/>
        <w:rPr>
          <w:rFonts w:ascii="Times New Roman" w:cs="Times New Roman" w:eastAsia="Times New Roman" w:hAnsi="Times New Roman"/>
          <w:sz w:val="15"/>
          <w:szCs w:val="15"/>
          <w:color w:val="auto"/>
        </w:rPr>
      </w:pPr>
    </w:p>
    <w:p>
      <w:pPr>
        <w:ind w:left="2280" w:hanging="349"/>
        <w:spacing w:after="0" w:line="255" w:lineRule="auto"/>
        <w:tabs>
          <w:tab w:leader="none" w:pos="2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pursuant to a bona fide third-party tender offer, merger, consolidation or other similar transaction, that is approved by our board of directors and made to all holders of our securities involving a change of control (as defined in the lock-up agreement) of our company, provided that in the event that such tender offer, merger, consolidation or other such transaction is not completed, such securities held by such lock-up party shall remain subject to the provisions of the lock-up agreement;</w:t>
      </w:r>
    </w:p>
    <w:p>
      <w:pPr>
        <w:spacing w:after="0" w:line="75" w:lineRule="exact"/>
        <w:rPr>
          <w:rFonts w:ascii="Times New Roman" w:cs="Times New Roman" w:eastAsia="Times New Roman" w:hAnsi="Times New Roman"/>
          <w:sz w:val="15"/>
          <w:szCs w:val="15"/>
          <w:color w:val="auto"/>
        </w:rPr>
      </w:pPr>
    </w:p>
    <w:p>
      <w:pPr>
        <w:ind w:left="2280" w:right="60" w:hanging="349"/>
        <w:spacing w:after="0" w:line="252" w:lineRule="auto"/>
        <w:tabs>
          <w:tab w:leader="none" w:pos="2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 10b5-1 trading plan that complies with Rule 10b5-1 under the Exchange Act (a “10b5-1 Trading Plan”) or from amending an existing 10b5-1 Trading Plan so long as there are no sales of our common stock under any such 10b5-1 Trading Plan during the Lock-Up Period; and provided that, the establishment of a 10b5-1 Trading Plan or the amendment of a 10b5-1 Trading Plan shall only be permitted if (1) the establishment or amendment of such plan is not required to be reported in any public report or filing with the SEC or otherwise, during the Lock-Up Period and (2) the lock-up signatory does not otherwise voluntarily effect any public filing or report regarding the establishment or amendment of such plan during the Lock-Up Period; or</w:t>
      </w:r>
    </w:p>
    <w:p>
      <w:pPr>
        <w:spacing w:after="0" w:line="76" w:lineRule="exact"/>
        <w:rPr>
          <w:rFonts w:ascii="Times New Roman" w:cs="Times New Roman" w:eastAsia="Times New Roman" w:hAnsi="Times New Roman"/>
          <w:sz w:val="15"/>
          <w:szCs w:val="15"/>
          <w:color w:val="auto"/>
        </w:rPr>
      </w:pPr>
    </w:p>
    <w:p>
      <w:pPr>
        <w:ind w:left="2280" w:hanging="349"/>
        <w:spacing w:after="0" w:line="250" w:lineRule="auto"/>
        <w:tabs>
          <w:tab w:leader="none" w:pos="2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of our common stock, at any time on or after the date of the underwriting agreement, pursuant to an existing trading plan that was established prior to the execution of the lock-up agreement (an “Existing 10b5-1 Trading Plan”), providing for the sale of our common stock by the lock-up signatory, which trading plan meets the requirements of Rule 10b5-1(c) under the Exchange Act (including sell-to-cover transactions effected to satisfy the payment of withholding tax liability incurred upon the vesting of restricted stock units), provided the existence and details of such Existing 10b5-1 Trading Plan were communicated to the Representative and such Existing 10b5-1 Trading Plan will not be amended or otherwise modified during the Lock-Up Period; provided, further, that if the lock-up signatory reports any such sale on a Form 4 filed with the SEC, the lock-up signatory shall cause such Form 4 to include a statement that such sale was effected pursuant to such Existing 10b5-1 Trading Plan.</w:t>
      </w:r>
    </w:p>
    <w:p>
      <w:pPr>
        <w:spacing w:after="0" w:line="158" w:lineRule="exact"/>
        <w:rPr>
          <w:sz w:val="20"/>
          <w:szCs w:val="20"/>
          <w:color w:val="auto"/>
        </w:rPr>
      </w:pPr>
    </w:p>
    <w:p>
      <w:pPr>
        <w:ind w:left="1120" w:right="80" w:firstLine="362"/>
        <w:spacing w:after="0" w:line="260" w:lineRule="auto"/>
        <w:rPr>
          <w:sz w:val="20"/>
          <w:szCs w:val="20"/>
          <w:color w:val="auto"/>
        </w:rPr>
      </w:pPr>
      <w:r>
        <w:rPr>
          <w:rFonts w:ascii="Times New Roman" w:cs="Times New Roman" w:eastAsia="Times New Roman" w:hAnsi="Times New Roman"/>
          <w:sz w:val="15"/>
          <w:szCs w:val="15"/>
          <w:color w:val="auto"/>
        </w:rPr>
        <w:t>Provided that, with respect to (i) through (iv) above, (1) prior to any such transfer, the Representative receives a signed lock-up agreement for the balance of the Lock-Up Period from each donee, trustee, distributee or transferee, as the case may be, (2) any such transfer shall not involve a disposition for value, (3) in the case of</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S-29</w:t>
      </w:r>
    </w:p>
    <w:p>
      <w:pPr>
        <w:sectPr>
          <w:pgSz w:w="11900" w:h="16838" w:orient="portrait"/>
          <w:cols w:equalWidth="0" w:num="1">
            <w:col w:w="10160"/>
          </w:cols>
          <w:pgMar w:left="300" w:top="400" w:right="1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600"/>
        <w:spacing w:after="0" w:line="273" w:lineRule="auto"/>
        <w:rPr>
          <w:sz w:val="20"/>
          <w:szCs w:val="20"/>
          <w:color w:val="auto"/>
        </w:rPr>
      </w:pPr>
      <w:r>
        <w:rPr>
          <w:rFonts w:ascii="Times New Roman" w:cs="Times New Roman" w:eastAsia="Times New Roman" w:hAnsi="Times New Roman"/>
          <w:sz w:val="15"/>
          <w:szCs w:val="15"/>
          <w:color w:val="auto"/>
        </w:rPr>
        <w:t>clauses (i) through (iii), such transfers are not required to be reported with the SEC under the Exchange Act, and (4) each such person does not otherwise voluntarily effect any public filing or report regarding such transfers.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restrictions in the preceding paragraph do not apply in certain circumstances, including, with respect to us:</w:t>
      </w:r>
    </w:p>
    <w:p>
      <w:pPr>
        <w:spacing w:after="0" w:line="105" w:lineRule="exact"/>
        <w:rPr>
          <w:sz w:val="20"/>
          <w:szCs w:val="20"/>
          <w:color w:val="auto"/>
        </w:rPr>
      </w:pPr>
    </w:p>
    <w:p>
      <w:pPr>
        <w:ind w:left="2280" w:right="300" w:hanging="349"/>
        <w:spacing w:after="0" w:line="273" w:lineRule="auto"/>
        <w:tabs>
          <w:tab w:leader="none" w:pos="2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effect the transactions contemplated by the underwriting agreement, including the delivery of the shares of our common stock issuable upon exercise of the pre-funded warrants;</w:t>
      </w:r>
    </w:p>
    <w:p>
      <w:pPr>
        <w:spacing w:after="0" w:line="61" w:lineRule="exact"/>
        <w:rPr>
          <w:rFonts w:ascii="Times New Roman" w:cs="Times New Roman" w:eastAsia="Times New Roman" w:hAnsi="Times New Roman"/>
          <w:sz w:val="15"/>
          <w:szCs w:val="15"/>
          <w:color w:val="auto"/>
        </w:rPr>
      </w:pPr>
    </w:p>
    <w:p>
      <w:pPr>
        <w:ind w:left="2280" w:right="100" w:hanging="349"/>
        <w:spacing w:after="0" w:line="252" w:lineRule="auto"/>
        <w:tabs>
          <w:tab w:leader="none" w:pos="2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shares of common stock or any security convertible into or exercisable or exchangeable for common stock pursuant to any director or employee equity incentive plan, stock ownership plan, employee stock purchase plan, or dividend reinvestment plan in effect on the date of the underwriting agreement, which are described in the registration statement of which this prospectus supplement forms a part, or pursuant to inducement grants within the meaning of Nasdaq Listing Rule 5635(c)(4), provided that we cause each newly appointed director or executive officer that is a recipient of such shares or options to enter into a lock-up agreement with the Representative for the remainder of the Lock-Up Period;</w:t>
      </w:r>
    </w:p>
    <w:p>
      <w:pPr>
        <w:spacing w:after="0" w:line="76" w:lineRule="exact"/>
        <w:rPr>
          <w:rFonts w:ascii="Times New Roman" w:cs="Times New Roman" w:eastAsia="Times New Roman" w:hAnsi="Times New Roman"/>
          <w:sz w:val="15"/>
          <w:szCs w:val="15"/>
          <w:color w:val="auto"/>
        </w:rPr>
      </w:pPr>
    </w:p>
    <w:p>
      <w:pPr>
        <w:ind w:left="2280" w:hanging="349"/>
        <w:spacing w:after="0" w:line="260" w:lineRule="auto"/>
        <w:tabs>
          <w:tab w:leader="none" w:pos="2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shares of common stock pursuant to the vesting or exercise (including net exercise) of any security convertible into or exercisable or exchangeable for common stock, which are described in the registration statement of which this prospectus supplement forms a part;</w:t>
      </w:r>
    </w:p>
    <w:p>
      <w:pPr>
        <w:spacing w:after="0" w:line="71" w:lineRule="exact"/>
        <w:rPr>
          <w:rFonts w:ascii="Times New Roman" w:cs="Times New Roman" w:eastAsia="Times New Roman" w:hAnsi="Times New Roman"/>
          <w:sz w:val="15"/>
          <w:szCs w:val="15"/>
          <w:color w:val="auto"/>
        </w:rPr>
      </w:pPr>
    </w:p>
    <w:p>
      <w:pPr>
        <w:ind w:left="2280" w:right="160" w:hanging="349"/>
        <w:spacing w:after="0" w:line="251" w:lineRule="auto"/>
        <w:tabs>
          <w:tab w:leader="none" w:pos="2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shares of common stock or any security convertible into or exercisable or exchangeable for common stock in connection with a transaction with a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(x) the aggregate number of shares of common stock or any security convertible into or exercisable or exchangeable for common stock shall not exceed 5% of the total number of shares of common stock issued and outstanding as of the date of the underwriting agreement and (y) each recipient of shares or related securities shall execute a lock-up agreement with the Representative;</w:t>
      </w:r>
    </w:p>
    <w:p>
      <w:pPr>
        <w:spacing w:after="0" w:line="78" w:lineRule="exact"/>
        <w:rPr>
          <w:rFonts w:ascii="Times New Roman" w:cs="Times New Roman" w:eastAsia="Times New Roman" w:hAnsi="Times New Roman"/>
          <w:sz w:val="15"/>
          <w:szCs w:val="15"/>
          <w:color w:val="auto"/>
        </w:rPr>
      </w:pPr>
    </w:p>
    <w:p>
      <w:pPr>
        <w:ind w:left="2280" w:right="120" w:hanging="349"/>
        <w:spacing w:after="0" w:line="255" w:lineRule="auto"/>
        <w:tabs>
          <w:tab w:leader="none" w:pos="2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of a registration statement on Form S-8 relating to shares of common stock or any security convertible into or exercisable or exchangeable for common stock granted (x) pursuant to our benefit plans, which are described in the registration statement of which this prospectus supplement forms a part, or (y) pursuant to inducement grants within the meaning of Nasdaq Listing Rule 5635(c)(4);</w:t>
      </w:r>
    </w:p>
    <w:p>
      <w:pPr>
        <w:spacing w:after="0" w:line="75" w:lineRule="exact"/>
        <w:rPr>
          <w:rFonts w:ascii="Times New Roman" w:cs="Times New Roman" w:eastAsia="Times New Roman" w:hAnsi="Times New Roman"/>
          <w:sz w:val="15"/>
          <w:szCs w:val="15"/>
          <w:color w:val="auto"/>
        </w:rPr>
      </w:pPr>
    </w:p>
    <w:p>
      <w:pPr>
        <w:ind w:left="2280" w:right="100" w:hanging="349"/>
        <w:spacing w:after="0" w:line="260" w:lineRule="auto"/>
        <w:tabs>
          <w:tab w:leader="none" w:pos="2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shares of common stock in connection with sales under the Sales Agreement, provided no sales shall be made under the Sales Agreement until the earlier of (i) the exercise in full by the underwriters of their option to purchase additional shares of common stock or (ii) 30 days after the date of the underwriting agreement; or</w:t>
      </w:r>
    </w:p>
    <w:p>
      <w:pPr>
        <w:spacing w:after="0" w:line="71" w:lineRule="exact"/>
        <w:rPr>
          <w:rFonts w:ascii="Times New Roman" w:cs="Times New Roman" w:eastAsia="Times New Roman" w:hAnsi="Times New Roman"/>
          <w:sz w:val="15"/>
          <w:szCs w:val="15"/>
          <w:color w:val="auto"/>
        </w:rPr>
      </w:pPr>
    </w:p>
    <w:p>
      <w:pPr>
        <w:ind w:left="2280" w:right="480" w:hanging="349"/>
        <w:spacing w:after="0" w:line="260" w:lineRule="auto"/>
        <w:tabs>
          <w:tab w:leader="none" w:pos="2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of one or more pre-effective amendments to our registration statement on Form S-3 filed with the Commission on October 2, 2025 with the SEC (File No. 333-290685) relating to shares of common stock and any security convertible into or exercisable or exchangeable for common stock.</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Market Making, Stabilization and Other Transactions</w:t>
      </w:r>
    </w:p>
    <w:p>
      <w:pPr>
        <w:spacing w:after="0" w:line="95" w:lineRule="exact"/>
        <w:rPr>
          <w:sz w:val="20"/>
          <w:szCs w:val="20"/>
          <w:color w:val="auto"/>
        </w:rPr>
      </w:pPr>
    </w:p>
    <w:p>
      <w:pPr>
        <w:jc w:val="both"/>
        <w:ind w:left="1120" w:right="80" w:firstLine="362"/>
        <w:spacing w:after="0" w:line="255" w:lineRule="auto"/>
        <w:rPr>
          <w:sz w:val="20"/>
          <w:szCs w:val="20"/>
          <w:color w:val="auto"/>
        </w:rPr>
      </w:pPr>
      <w:r>
        <w:rPr>
          <w:rFonts w:ascii="Times New Roman" w:cs="Times New Roman" w:eastAsia="Times New Roman" w:hAnsi="Times New Roman"/>
          <w:sz w:val="15"/>
          <w:szCs w:val="15"/>
          <w:color w:val="auto"/>
        </w:rPr>
        <w:t>The Representative may make a market in the common stock as permitted by applicable laws and regulations. However, the Representative is not obligated to do so, and the Representative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S-30</w:t>
      </w:r>
    </w:p>
    <w:p>
      <w:pPr>
        <w:sectPr>
          <w:pgSz w:w="11900" w:h="16838" w:orient="portrait"/>
          <w:cols w:equalWidth="0" w:num="1">
            <w:col w:w="10160"/>
          </w:cols>
          <w:pgMar w:left="300" w:top="400" w:right="1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140" w:firstLine="362"/>
        <w:spacing w:after="0" w:line="255" w:lineRule="auto"/>
        <w:rPr>
          <w:sz w:val="20"/>
          <w:szCs w:val="20"/>
          <w:color w:val="auto"/>
        </w:rPr>
      </w:pPr>
      <w:r>
        <w:rPr>
          <w:rFonts w:ascii="Times New Roman" w:cs="Times New Roman" w:eastAsia="Times New Roman" w:hAnsi="Times New Roman"/>
          <w:sz w:val="15"/>
          <w:szCs w:val="15"/>
          <w:color w:val="auto"/>
        </w:rPr>
        <w:t>The underwriters have advised us that they, pursuant to Regulation M under the Exchange Act,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53" w:lineRule="exact"/>
        <w:rPr>
          <w:sz w:val="20"/>
          <w:szCs w:val="20"/>
          <w:color w:val="auto"/>
        </w:rPr>
      </w:pPr>
    </w:p>
    <w:p>
      <w:pPr>
        <w:ind w:left="1120" w:right="40" w:firstLine="362"/>
        <w:spacing w:after="0" w:line="253" w:lineRule="auto"/>
        <w:rPr>
          <w:sz w:val="20"/>
          <w:szCs w:val="20"/>
          <w:color w:val="auto"/>
        </w:rPr>
      </w:pPr>
      <w:r>
        <w:rPr>
          <w:rFonts w:ascii="Times New Roman" w:cs="Times New Roman" w:eastAsia="Times New Roman" w:hAnsi="Times New Roman"/>
          <w:sz w:val="15"/>
          <w:szCs w:val="15"/>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5" w:lineRule="exact"/>
        <w:rPr>
          <w:sz w:val="20"/>
          <w:szCs w:val="20"/>
          <w:color w:val="auto"/>
        </w:rPr>
      </w:pPr>
    </w:p>
    <w:p>
      <w:pPr>
        <w:ind w:left="1120" w:right="120" w:firstLine="362"/>
        <w:spacing w:after="0" w:line="255" w:lineRule="auto"/>
        <w:rPr>
          <w:sz w:val="20"/>
          <w:szCs w:val="20"/>
          <w:color w:val="auto"/>
        </w:rPr>
      </w:pPr>
      <w:r>
        <w:rPr>
          <w:rFonts w:ascii="Times New Roman" w:cs="Times New Roman" w:eastAsia="Times New Roman" w:hAnsi="Times New Roman"/>
          <w:sz w:val="15"/>
          <w:szCs w:val="15"/>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53"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58" w:lineRule="exact"/>
        <w:rPr>
          <w:sz w:val="20"/>
          <w:szCs w:val="20"/>
          <w:color w:val="auto"/>
        </w:rPr>
      </w:pPr>
    </w:p>
    <w:p>
      <w:pPr>
        <w:jc w:val="both"/>
        <w:ind w:left="1120" w:right="160" w:firstLine="362"/>
        <w:spacing w:after="0" w:line="287" w:lineRule="auto"/>
        <w:rPr>
          <w:sz w:val="20"/>
          <w:szCs w:val="20"/>
          <w:color w:val="auto"/>
        </w:rPr>
      </w:pPr>
      <w:r>
        <w:rPr>
          <w:rFonts w:ascii="Times New Roman" w:cs="Times New Roman" w:eastAsia="Times New Roman" w:hAnsi="Times New Roman"/>
          <w:sz w:val="14"/>
          <w:szCs w:val="14"/>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may end any of these activities at any time. These transactions may be effected on Nasdaq in the over-the-counter market or otherwise.</w:t>
      </w:r>
    </w:p>
    <w:p>
      <w:pPr>
        <w:spacing w:after="0" w:line="2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Passive Market Making</w:t>
      </w:r>
    </w:p>
    <w:p>
      <w:pPr>
        <w:spacing w:after="0" w:line="95" w:lineRule="exact"/>
        <w:rPr>
          <w:sz w:val="20"/>
          <w:szCs w:val="20"/>
          <w:color w:val="auto"/>
        </w:rPr>
      </w:pPr>
    </w:p>
    <w:p>
      <w:pPr>
        <w:ind w:left="1120" w:right="40" w:firstLine="362"/>
        <w:spacing w:after="0" w:line="251" w:lineRule="auto"/>
        <w:rPr>
          <w:sz w:val="20"/>
          <w:szCs w:val="20"/>
          <w:color w:val="auto"/>
        </w:rPr>
      </w:pPr>
      <w:r>
        <w:rPr>
          <w:rFonts w:ascii="Times New Roman" w:cs="Times New Roman" w:eastAsia="Times New Roman" w:hAnsi="Times New Roman"/>
          <w:sz w:val="15"/>
          <w:szCs w:val="15"/>
          <w:color w:val="auto"/>
        </w:rPr>
        <w:t>The underwriters may also engage in passive market making transactions in our common stock on Nasdaq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if commenced, may end passive market making activities at any time.</w:t>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Electronic Distribution</w:t>
      </w:r>
    </w:p>
    <w:p>
      <w:pPr>
        <w:spacing w:after="0" w:line="95" w:lineRule="exact"/>
        <w:rPr>
          <w:sz w:val="20"/>
          <w:szCs w:val="20"/>
          <w:color w:val="auto"/>
        </w:rPr>
      </w:pPr>
    </w:p>
    <w:p>
      <w:pPr>
        <w:ind w:left="1120" w:right="200" w:firstLine="362"/>
        <w:spacing w:after="0" w:line="273" w:lineRule="auto"/>
        <w:rPr>
          <w:sz w:val="20"/>
          <w:szCs w:val="20"/>
          <w:color w:val="auto"/>
        </w:rPr>
      </w:pPr>
      <w:r>
        <w:rPr>
          <w:rFonts w:ascii="Times New Roman" w:cs="Times New Roman" w:eastAsia="Times New Roman" w:hAnsi="Times New Roman"/>
          <w:sz w:val="15"/>
          <w:szCs w:val="15"/>
          <w:color w:val="auto"/>
        </w:rPr>
        <w:t>A prospectus in electronic format may be made available by e-mail or on the web sites or through online services maintained by one or more of the underwriters, selling group members (if any) or their affiliates. The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S-31</w:t>
      </w:r>
    </w:p>
    <w:p>
      <w:pPr>
        <w:sectPr>
          <w:pgSz w:w="11900" w:h="16838" w:orient="portrait"/>
          <w:cols w:equalWidth="0" w:num="1">
            <w:col w:w="10160"/>
          </w:cols>
          <w:pgMar w:left="300" w:top="400" w:right="1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spacing w:after="0" w:line="255" w:lineRule="auto"/>
        <w:rPr>
          <w:sz w:val="20"/>
          <w:szCs w:val="20"/>
          <w:color w:val="auto"/>
        </w:rPr>
      </w:pPr>
      <w:r>
        <w:rPr>
          <w:rFonts w:ascii="Times New Roman" w:cs="Times New Roman" w:eastAsia="Times New Roman" w:hAnsi="Times New Roman"/>
          <w:sz w:val="15"/>
          <w:szCs w:val="15"/>
          <w:color w:val="auto"/>
        </w:rPr>
        <w:t>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2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Other Activities and Relationships</w:t>
      </w:r>
    </w:p>
    <w:p>
      <w:pPr>
        <w:spacing w:after="0" w:line="95" w:lineRule="exact"/>
        <w:rPr>
          <w:sz w:val="20"/>
          <w:szCs w:val="20"/>
          <w:color w:val="auto"/>
        </w:rPr>
      </w:pPr>
    </w:p>
    <w:p>
      <w:pPr>
        <w:ind w:left="1120" w:right="60" w:firstLine="362"/>
        <w:spacing w:after="0" w:line="253" w:lineRule="auto"/>
        <w:rPr>
          <w:sz w:val="20"/>
          <w:szCs w:val="20"/>
          <w:color w:val="auto"/>
        </w:rPr>
      </w:pPr>
      <w:r>
        <w:rPr>
          <w:rFonts w:ascii="Times New Roman" w:cs="Times New Roman" w:eastAsia="Times New Roman" w:hAnsi="Times New Roman"/>
          <w:sz w:val="15"/>
          <w:szCs w:val="15"/>
          <w:color w:val="auto"/>
        </w:rPr>
        <w:t>The underwriters and certain of their respective affiliates are full service financial institutions engaged in a wide range of activities for their own accounts and the accounts of customers, which may include, among other things, corporate finance, mergers and acquisitions, merchant banking, equity and fixed income sales, trading and research, derivatives, foreign exchange, futures, asset management, custody, clearance and securities lending. The underwriters and certain of their affiliates have, from time to time, performed, and may in the future perform, various investment banking and financial advisory services for us and our affiliates, for which they received or will receive customary fees and expenses.</w:t>
      </w:r>
    </w:p>
    <w:p>
      <w:pPr>
        <w:spacing w:after="0" w:line="155" w:lineRule="exact"/>
        <w:rPr>
          <w:sz w:val="20"/>
          <w:szCs w:val="20"/>
          <w:color w:val="auto"/>
        </w:rPr>
      </w:pPr>
    </w:p>
    <w:p>
      <w:pPr>
        <w:ind w:left="1120" w:right="40" w:firstLine="362"/>
        <w:spacing w:after="0" w:line="252" w:lineRule="auto"/>
        <w:rPr>
          <w:sz w:val="20"/>
          <w:szCs w:val="20"/>
          <w:color w:val="auto"/>
        </w:rPr>
      </w:pPr>
      <w:r>
        <w:rPr>
          <w:rFonts w:ascii="Times New Roman" w:cs="Times New Roman" w:eastAsia="Times New Roman" w:hAnsi="Times New Roman"/>
          <w:sz w:val="15"/>
          <w:szCs w:val="15"/>
          <w:color w:val="auto"/>
        </w:rPr>
        <w:t>In addition, in the ordinary course of its business, the underwriters and their respective affiliates may, directly or indirectly, hold long or short positions, trade and otherwise conduct such activities in or with respect to debt or equity securities and/or bank debt of, and/or derivative products.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Additionally, the Representative is a party to the Sales Agreement.</w:t>
      </w:r>
    </w:p>
    <w:p>
      <w:pPr>
        <w:spacing w:after="0" w:line="155" w:lineRule="exact"/>
        <w:rPr>
          <w:sz w:val="20"/>
          <w:szCs w:val="20"/>
          <w:color w:val="auto"/>
        </w:rPr>
      </w:pPr>
    </w:p>
    <w:p>
      <w:pPr>
        <w:ind w:left="1120" w:right="300"/>
        <w:spacing w:after="0" w:line="310" w:lineRule="auto"/>
        <w:rPr>
          <w:sz w:val="20"/>
          <w:szCs w:val="20"/>
          <w:color w:val="auto"/>
        </w:rPr>
      </w:pPr>
      <w:r>
        <w:rPr>
          <w:rFonts w:ascii="Times New Roman" w:cs="Times New Roman" w:eastAsia="Times New Roman" w:hAnsi="Times New Roman"/>
          <w:sz w:val="14"/>
          <w:szCs w:val="14"/>
          <w:color w:val="auto"/>
        </w:rPr>
        <w:t>We have granted the Representative a right of first refusal, for a period of 12 months from the closing of our August 2025 offering to act as a lead underwriter or in a similar capacity and receive a percentage of the aggregate gross spread of fees in connection with a subsequent equity financing.</w:t>
      </w:r>
    </w:p>
    <w:p>
      <w:pPr>
        <w:spacing w:after="0" w:line="20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Stamp Taxes</w:t>
      </w:r>
    </w:p>
    <w:p>
      <w:pPr>
        <w:spacing w:after="0" w:line="95" w:lineRule="exact"/>
        <w:rPr>
          <w:sz w:val="20"/>
          <w:szCs w:val="20"/>
          <w:color w:val="auto"/>
        </w:rPr>
      </w:pPr>
    </w:p>
    <w:p>
      <w:pPr>
        <w:ind w:left="1120" w:right="260" w:firstLine="362"/>
        <w:spacing w:after="0" w:line="273" w:lineRule="auto"/>
        <w:rPr>
          <w:sz w:val="20"/>
          <w:szCs w:val="20"/>
          <w:color w:val="auto"/>
        </w:rPr>
      </w:pPr>
      <w:r>
        <w:rPr>
          <w:rFonts w:ascii="Times New Roman" w:cs="Times New Roman" w:eastAsia="Times New Roman" w:hAnsi="Times New Roman"/>
          <w:sz w:val="15"/>
          <w:szCs w:val="15"/>
          <w:color w:val="auto"/>
        </w:rPr>
        <w:t>If you purchase securities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S-32</w:t>
      </w:r>
    </w:p>
    <w:p>
      <w:pPr>
        <w:sectPr>
          <w:pgSz w:w="11900" w:h="16838" w:orient="portrait"/>
          <w:cols w:equalWidth="0" w:num="1">
            <w:col w:w="10160"/>
          </w:cols>
          <w:pgMar w:left="300" w:top="400" w:right="1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NOTICE TO INVESTORS</w:t>
      </w:r>
    </w:p>
    <w:p>
      <w:pPr>
        <w:spacing w:after="0" w:line="1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Canada</w:t>
      </w:r>
    </w:p>
    <w:p>
      <w:pPr>
        <w:spacing w:after="0" w:line="95" w:lineRule="exact"/>
        <w:rPr>
          <w:sz w:val="20"/>
          <w:szCs w:val="20"/>
          <w:color w:val="auto"/>
        </w:rPr>
      </w:pPr>
    </w:p>
    <w:p>
      <w:pPr>
        <w:ind w:left="1120" w:right="19" w:firstLine="362"/>
        <w:spacing w:after="0" w:line="255" w:lineRule="auto"/>
        <w:rPr>
          <w:sz w:val="20"/>
          <w:szCs w:val="20"/>
          <w:color w:val="auto"/>
        </w:rPr>
      </w:pPr>
      <w:r>
        <w:rPr>
          <w:rFonts w:ascii="Times New Roman" w:cs="Times New Roman" w:eastAsia="Times New Roman" w:hAnsi="Times New Roman"/>
          <w:sz w:val="15"/>
          <w:szCs w:val="15"/>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securities. No securities commission or similar regulatory authority in Canada has reviewed or in any way passed upon this prospectus supplement or on the merits of the securities and any representation to the contrary is an offence.</w:t>
      </w:r>
    </w:p>
    <w:p>
      <w:pPr>
        <w:spacing w:after="0" w:line="151" w:lineRule="exact"/>
        <w:rPr>
          <w:sz w:val="20"/>
          <w:szCs w:val="20"/>
          <w:color w:val="auto"/>
        </w:rPr>
      </w:pPr>
    </w:p>
    <w:p>
      <w:pPr>
        <w:ind w:left="1120" w:right="19" w:firstLine="362"/>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Canadian investors are advised that this prospectus supplement has been prepared in reliance on section 3A.3 of National Instrument 33-105 </w:t>
      </w:r>
      <w:r>
        <w:rPr>
          <w:rFonts w:ascii="Times New Roman" w:cs="Times New Roman" w:eastAsia="Times New Roman" w:hAnsi="Times New Roman"/>
          <w:sz w:val="15"/>
          <w:szCs w:val="15"/>
          <w:b w:val="1"/>
          <w:bCs w:val="1"/>
          <w:i w:val="1"/>
          <w:iCs w:val="1"/>
          <w:color w:val="auto"/>
        </w:rPr>
        <w:t>Underwriting Conflicts</w:t>
      </w:r>
      <w:r>
        <w:rPr>
          <w:rFonts w:ascii="Times New Roman" w:cs="Times New Roman" w:eastAsia="Times New Roman" w:hAnsi="Times New Roman"/>
          <w:sz w:val="15"/>
          <w:szCs w:val="15"/>
          <w:b w:val="1"/>
          <w:bCs w:val="1"/>
          <w:color w:val="auto"/>
        </w:rPr>
        <w:t xml:space="preserve"> (“NI 33-105”). Pursuant to section 3A.3 of NI 33-105, this prospectus supplement is exempt from the requirement that the issuer and the underwriter(s) provide investors with certain conflicts of interest disclosure pertaining to “connected issuer” and/or “related issuer” relationships that may exist between the issuer and the underwriter(s) as would otherwise be required pursuant to subsection 2.1(1) of NI 33-105.</w:t>
      </w:r>
    </w:p>
    <w:p>
      <w:pPr>
        <w:spacing w:after="0" w:line="2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Resale Restrictions</w:t>
      </w:r>
    </w:p>
    <w:p>
      <w:pPr>
        <w:spacing w:after="0" w:line="95" w:lineRule="exact"/>
        <w:rPr>
          <w:sz w:val="20"/>
          <w:szCs w:val="20"/>
          <w:color w:val="auto"/>
        </w:rPr>
      </w:pPr>
    </w:p>
    <w:p>
      <w:pPr>
        <w:ind w:left="1120" w:right="139" w:firstLine="362"/>
        <w:spacing w:after="0" w:line="251" w:lineRule="auto"/>
        <w:rPr>
          <w:sz w:val="20"/>
          <w:szCs w:val="20"/>
          <w:color w:val="auto"/>
        </w:rPr>
      </w:pPr>
      <w:r>
        <w:rPr>
          <w:rFonts w:ascii="Times New Roman" w:cs="Times New Roman" w:eastAsia="Times New Roman" w:hAnsi="Times New Roman"/>
          <w:sz w:val="15"/>
          <w:szCs w:val="15"/>
          <w:color w:val="auto"/>
        </w:rPr>
        <w:t>The offer and sale of the securities in Canada is being made on a private placement basis only and is exempt from the requirement that the issuer prepares and files a prospectus under applicable Canadian securities laws. Any resale of the securities acquired by a Canadian investor in this offering must be made in accordance with applicable Canadian securities laws, which may vary depending on the relevant jurisdiction, and which may require resales to be made in accordance with Canadian prospectus requirements, pursuant to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2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Representations of Purchasers</w:t>
      </w:r>
    </w:p>
    <w:p>
      <w:pPr>
        <w:spacing w:after="0" w:line="95" w:lineRule="exact"/>
        <w:rPr>
          <w:sz w:val="20"/>
          <w:szCs w:val="20"/>
          <w:color w:val="auto"/>
        </w:rPr>
      </w:pPr>
    </w:p>
    <w:p>
      <w:pPr>
        <w:ind w:left="1120" w:right="19" w:firstLine="362"/>
        <w:spacing w:after="0" w:line="252" w:lineRule="auto"/>
        <w:rPr>
          <w:sz w:val="20"/>
          <w:szCs w:val="20"/>
          <w:color w:val="auto"/>
        </w:rPr>
      </w:pPr>
      <w:r>
        <w:rPr>
          <w:rFonts w:ascii="Times New Roman" w:cs="Times New Roman" w:eastAsia="Times New Roman" w:hAnsi="Times New Roman"/>
          <w:sz w:val="15"/>
          <w:szCs w:val="15"/>
          <w:color w:val="auto"/>
        </w:rPr>
        <w:t xml:space="preserve">Each Canadian investor who purchases the securities will be deemed to have represented to the issuer and the underwriter(s) that the investor (i) is purchasing the securities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Times New Roman" w:cs="Times New Roman" w:eastAsia="Times New Roman" w:hAnsi="Times New Roman"/>
          <w:sz w:val="15"/>
          <w:szCs w:val="15"/>
          <w:i w:val="1"/>
          <w:iCs w:val="1"/>
          <w:color w:val="auto"/>
        </w:rPr>
        <w:t xml:space="preserve">Prospectus Exemptions </w:t>
      </w:r>
      <w:r>
        <w:rPr>
          <w:rFonts w:ascii="Times New Roman" w:cs="Times New Roman" w:eastAsia="Times New Roman" w:hAnsi="Times New Roman"/>
          <w:sz w:val="15"/>
          <w:szCs w:val="15"/>
          <w:color w:val="auto"/>
        </w:rPr>
        <w:t>(“NI 45-106”) or, in Ontario, as such term is defined in section 73.3(1) of the</w:t>
      </w:r>
      <w:r>
        <w:rPr>
          <w:rFonts w:ascii="Times New Roman" w:cs="Times New Roman" w:eastAsia="Times New Roman" w:hAnsi="Times New Roman"/>
          <w:sz w:val="15"/>
          <w:szCs w:val="15"/>
          <w:i w:val="1"/>
          <w:iCs w:val="1"/>
          <w:color w:val="auto"/>
        </w:rPr>
        <w:t xml:space="preserve"> Securities Act </w:t>
      </w:r>
      <w:r>
        <w:rPr>
          <w:rFonts w:ascii="Times New Roman" w:cs="Times New Roman" w:eastAsia="Times New Roman" w:hAnsi="Times New Roman"/>
          <w:sz w:val="15"/>
          <w:szCs w:val="15"/>
          <w:color w:val="auto"/>
        </w:rPr>
        <w:t>(Ontario); and (iii) is a “permitted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client” as such term is defined in section 1.1 of National Instrument 31-103 </w:t>
      </w:r>
      <w:r>
        <w:rPr>
          <w:rFonts w:ascii="Times New Roman" w:cs="Times New Roman" w:eastAsia="Times New Roman" w:hAnsi="Times New Roman"/>
          <w:sz w:val="15"/>
          <w:szCs w:val="15"/>
          <w:i w:val="1"/>
          <w:iCs w:val="1"/>
          <w:color w:val="auto"/>
        </w:rPr>
        <w:t>Registration Requirements, Exemptions and Ongoing Registrant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Obligations</w:t>
      </w:r>
      <w:r>
        <w:rPr>
          <w:rFonts w:ascii="Times New Roman" w:cs="Times New Roman" w:eastAsia="Times New Roman" w:hAnsi="Times New Roman"/>
          <w:sz w:val="15"/>
          <w:szCs w:val="15"/>
          <w:color w:val="auto"/>
        </w:rPr>
        <w:t>.</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Taxation and Eligibility for Investment</w:t>
      </w:r>
    </w:p>
    <w:p>
      <w:pPr>
        <w:spacing w:after="0" w:line="95" w:lineRule="exact"/>
        <w:rPr>
          <w:sz w:val="20"/>
          <w:szCs w:val="20"/>
          <w:color w:val="auto"/>
        </w:rPr>
      </w:pPr>
    </w:p>
    <w:p>
      <w:pPr>
        <w:ind w:left="1120" w:right="19" w:firstLine="362"/>
        <w:spacing w:after="0" w:line="253" w:lineRule="auto"/>
        <w:rPr>
          <w:sz w:val="20"/>
          <w:szCs w:val="20"/>
          <w:color w:val="auto"/>
        </w:rPr>
      </w:pPr>
      <w:r>
        <w:rPr>
          <w:rFonts w:ascii="Times New Roman" w:cs="Times New Roman" w:eastAsia="Times New Roman" w:hAnsi="Times New Roman"/>
          <w:sz w:val="15"/>
          <w:szCs w:val="15"/>
          <w:color w:val="auto"/>
        </w:rPr>
        <w:t>Any discussion of taxation and related matters contained in this prospectus supplement does not purport to be a comprehensive description of all of the tax considerations that may be relevant to a Canadian investor 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Rights of Action for Damages or Rescission</w:t>
      </w:r>
    </w:p>
    <w:p>
      <w:pPr>
        <w:spacing w:after="0" w:line="95" w:lineRule="exact"/>
        <w:rPr>
          <w:sz w:val="20"/>
          <w:szCs w:val="20"/>
          <w:color w:val="auto"/>
        </w:rPr>
      </w:pPr>
    </w:p>
    <w:p>
      <w:pPr>
        <w:ind w:left="1120" w:right="99" w:firstLine="362"/>
        <w:spacing w:after="0" w:line="273" w:lineRule="auto"/>
        <w:rPr>
          <w:sz w:val="20"/>
          <w:szCs w:val="20"/>
          <w:color w:val="auto"/>
        </w:rPr>
      </w:pPr>
      <w:r>
        <w:rPr>
          <w:rFonts w:ascii="Times New Roman" w:cs="Times New Roman" w:eastAsia="Times New Roman" w:hAnsi="Times New Roman"/>
          <w:sz w:val="15"/>
          <w:szCs w:val="15"/>
          <w:color w:val="auto"/>
        </w:rPr>
        <w:t>Securities legislation in certain of the Canadian jurisdictions provides certain purchasers of securities pursuant to an offering memorandum (such as this prospectus supplement), including where the distribution</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S-33</w:t>
      </w:r>
    </w:p>
    <w:p>
      <w:pPr>
        <w:sectPr>
          <w:pgSz w:w="11900" w:h="16838" w:orient="portrait"/>
          <w:cols w:equalWidth="0" w:num="1">
            <w:col w:w="10159"/>
          </w:cols>
          <w:pgMar w:left="300" w:top="40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120" w:right="20"/>
        <w:spacing w:after="0" w:line="251" w:lineRule="auto"/>
        <w:rPr>
          <w:sz w:val="20"/>
          <w:szCs w:val="20"/>
          <w:color w:val="auto"/>
        </w:rPr>
      </w:pPr>
      <w:r>
        <w:rPr>
          <w:rFonts w:ascii="Times New Roman" w:cs="Times New Roman" w:eastAsia="Times New Roman" w:hAnsi="Times New Roman"/>
          <w:sz w:val="15"/>
          <w:szCs w:val="15"/>
          <w:color w:val="auto"/>
        </w:rPr>
        <w:t xml:space="preserve">involves an “eligible foreign security” as such term is defined in Ontario Securities Commission Rule 45-501 </w:t>
      </w:r>
      <w:r>
        <w:rPr>
          <w:rFonts w:ascii="Times New Roman" w:cs="Times New Roman" w:eastAsia="Times New Roman" w:hAnsi="Times New Roman"/>
          <w:sz w:val="15"/>
          <w:szCs w:val="15"/>
          <w:i w:val="1"/>
          <w:iCs w:val="1"/>
          <w:color w:val="auto"/>
        </w:rPr>
        <w:t>Ontario Prospectus and Registration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Exemptions </w:t>
      </w:r>
      <w:r>
        <w:rPr>
          <w:rFonts w:ascii="Times New Roman" w:cs="Times New Roman" w:eastAsia="Times New Roman" w:hAnsi="Times New Roman"/>
          <w:sz w:val="15"/>
          <w:szCs w:val="15"/>
          <w:color w:val="auto"/>
        </w:rPr>
        <w:t>and in Multilateral Instrument 45-107</w:t>
      </w:r>
      <w:r>
        <w:rPr>
          <w:rFonts w:ascii="Times New Roman" w:cs="Times New Roman" w:eastAsia="Times New Roman" w:hAnsi="Times New Roman"/>
          <w:sz w:val="15"/>
          <w:szCs w:val="15"/>
          <w:i w:val="1"/>
          <w:iCs w:val="1"/>
          <w:color w:val="auto"/>
        </w:rPr>
        <w:t xml:space="preserve"> Listing Representation and Statutory Rights of Action Disclosure Exemptions</w:t>
      </w:r>
      <w:r>
        <w:rPr>
          <w:rFonts w:ascii="Times New Roman" w:cs="Times New Roman" w:eastAsia="Times New Roman" w:hAnsi="Times New Roman"/>
          <w:sz w:val="15"/>
          <w:szCs w:val="15"/>
          <w:color w:val="auto"/>
        </w:rPr>
        <w:t>, as applicable, with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Language of Documents</w:t>
      </w:r>
    </w:p>
    <w:p>
      <w:pPr>
        <w:spacing w:after="0" w:line="95" w:lineRule="exact"/>
        <w:rPr>
          <w:sz w:val="20"/>
          <w:szCs w:val="20"/>
          <w:color w:val="auto"/>
        </w:rPr>
      </w:pPr>
    </w:p>
    <w:p>
      <w:pPr>
        <w:ind w:left="1120" w:right="20" w:firstLine="362"/>
        <w:spacing w:after="0" w:line="253" w:lineRule="auto"/>
        <w:rPr>
          <w:sz w:val="20"/>
          <w:szCs w:val="20"/>
          <w:color w:val="auto"/>
        </w:rPr>
      </w:pPr>
      <w:r>
        <w:rPr>
          <w:rFonts w:ascii="Times New Roman" w:cs="Times New Roman" w:eastAsia="Times New Roman" w:hAnsi="Times New Roman"/>
          <w:sz w:val="15"/>
          <w:szCs w:val="15"/>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5"/>
          <w:szCs w:val="15"/>
          <w:i w:val="1"/>
          <w:iCs w:val="1"/>
          <w:color w:val="auto"/>
        </w:rPr>
        <w:t>Par la réception de ce document, chaque investisseur Canadien confirme par les présentes qu’il a expressément exigé que tous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Australia</w:t>
      </w:r>
    </w:p>
    <w:p>
      <w:pPr>
        <w:spacing w:after="0" w:line="95" w:lineRule="exact"/>
        <w:rPr>
          <w:sz w:val="20"/>
          <w:szCs w:val="20"/>
          <w:color w:val="auto"/>
        </w:rPr>
      </w:pPr>
    </w:p>
    <w:p>
      <w:pPr>
        <w:ind w:left="1120" w:right="40" w:firstLine="362"/>
        <w:spacing w:after="0" w:line="260" w:lineRule="auto"/>
        <w:rPr>
          <w:sz w:val="20"/>
          <w:szCs w:val="20"/>
          <w:color w:val="auto"/>
        </w:rPr>
      </w:pPr>
      <w:r>
        <w:rPr>
          <w:rFonts w:ascii="Times New Roman" w:cs="Times New Roman" w:eastAsia="Times New Roman" w:hAnsi="Times New Roman"/>
          <w:sz w:val="15"/>
          <w:szCs w:val="15"/>
          <w:color w:val="auto"/>
        </w:rPr>
        <w:t>This document does not constitute a prospectus, product disclosure statement or other disclosure document under the Australia’s Corporations Act 2001 (Cth) (the “Corporations Act”) of Australia. This document has not been lodged with the Australian Securities &amp; Investments Commission and is only directed to the categories of exempt persons set out below. Accordingly, if you receive this document in Australia:</w:t>
      </w:r>
    </w:p>
    <w:p>
      <w:pPr>
        <w:spacing w:after="0" w:line="6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You confirm and warrant that you are either:</w:t>
      </w:r>
    </w:p>
    <w:p>
      <w:pPr>
        <w:spacing w:after="0" w:line="105" w:lineRule="exact"/>
        <w:rPr>
          <w:sz w:val="20"/>
          <w:szCs w:val="20"/>
          <w:color w:val="auto"/>
        </w:rPr>
      </w:pPr>
    </w:p>
    <w:p>
      <w:pPr>
        <w:ind w:left="1920" w:hanging="354"/>
        <w:spacing w:after="0"/>
        <w:tabs>
          <w:tab w:leader="none" w:pos="19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“sophisticated investor” under section 708(8)(a) or (b) of the Corporations Act;</w:t>
      </w:r>
    </w:p>
    <w:p>
      <w:pPr>
        <w:spacing w:after="0" w:line="104" w:lineRule="exact"/>
        <w:rPr>
          <w:rFonts w:ascii="Times New Roman" w:cs="Times New Roman" w:eastAsia="Times New Roman" w:hAnsi="Times New Roman"/>
          <w:sz w:val="15"/>
          <w:szCs w:val="15"/>
          <w:color w:val="auto"/>
        </w:rPr>
      </w:pPr>
    </w:p>
    <w:p>
      <w:pPr>
        <w:ind w:left="1920" w:right="20" w:hanging="354"/>
        <w:spacing w:after="0" w:line="260" w:lineRule="auto"/>
        <w:tabs>
          <w:tab w:leader="none" w:pos="19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“professional investor” within the meaning of section 708(11)(a) or (b) of the Corporations Act.</w:t>
      </w:r>
    </w:p>
    <w:p>
      <w:pPr>
        <w:spacing w:after="0" w:line="182" w:lineRule="exact"/>
        <w:rPr>
          <w:sz w:val="20"/>
          <w:szCs w:val="20"/>
          <w:color w:val="auto"/>
        </w:rPr>
      </w:pPr>
    </w:p>
    <w:p>
      <w:pPr>
        <w:ind w:left="1120" w:right="720" w:firstLine="362"/>
        <w:spacing w:after="0" w:line="273" w:lineRule="auto"/>
        <w:rPr>
          <w:sz w:val="20"/>
          <w:szCs w:val="20"/>
          <w:color w:val="auto"/>
        </w:rPr>
      </w:pPr>
      <w:r>
        <w:rPr>
          <w:rFonts w:ascii="Times New Roman" w:cs="Times New Roman" w:eastAsia="Times New Roman" w:hAnsi="Times New Roman"/>
          <w:sz w:val="15"/>
          <w:szCs w:val="15"/>
          <w:color w:val="auto"/>
        </w:rPr>
        <w:t>To the extent that you are unable to confirm or warrant that you are an exempt sophisticated investor or professional investor under the Corporations Act any offer made to you under this document is void and incapable of acceptance.</w:t>
      </w:r>
    </w:p>
    <w:p>
      <w:pPr>
        <w:spacing w:after="0" w:line="140" w:lineRule="exact"/>
        <w:rPr>
          <w:sz w:val="20"/>
          <w:szCs w:val="20"/>
          <w:color w:val="auto"/>
        </w:rPr>
      </w:pPr>
    </w:p>
    <w:p>
      <w:pPr>
        <w:ind w:left="1120" w:right="20" w:firstLine="362"/>
        <w:spacing w:after="0" w:line="260" w:lineRule="auto"/>
        <w:rPr>
          <w:sz w:val="20"/>
          <w:szCs w:val="20"/>
          <w:color w:val="auto"/>
        </w:rPr>
      </w:pPr>
      <w:r>
        <w:rPr>
          <w:rFonts w:ascii="Times New Roman" w:cs="Times New Roman" w:eastAsia="Times New Roman" w:hAnsi="Times New Roman"/>
          <w:sz w:val="15"/>
          <w:szCs w:val="15"/>
          <w:color w:val="auto"/>
        </w:rPr>
        <w:t>You warrant and agree that you will not offer any of the securities issued to you pursuant to this document for resale in Australia within 12 months of those securities being issued unless any such resale offer is exempt from the requirement to issue a disclosure document under section 708 of the Corporations Act.</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European Economic Area</w:t>
      </w:r>
    </w:p>
    <w:p>
      <w:pPr>
        <w:spacing w:after="0" w:line="95" w:lineRule="exact"/>
        <w:rPr>
          <w:sz w:val="20"/>
          <w:szCs w:val="20"/>
          <w:color w:val="auto"/>
        </w:rPr>
      </w:pPr>
    </w:p>
    <w:p>
      <w:pPr>
        <w:ind w:left="1120" w:firstLine="362"/>
        <w:spacing w:after="0" w:line="279"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“Member State”), no securities have been offered or will be offered pursuant to the offer described herein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the securities may be offered to the public in that Member State at any time: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S-34</w:t>
      </w:r>
    </w:p>
    <w:p>
      <w:pPr>
        <w:sectPr>
          <w:pgSz w:w="11900" w:h="16838" w:orient="portrait"/>
          <w:cols w:equalWidth="0" w:num="1">
            <w:col w:w="10160"/>
          </w:cols>
          <w:pgMar w:left="300" w:top="400" w:right="1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660" w:hanging="176"/>
        <w:spacing w:after="0"/>
        <w:tabs>
          <w:tab w:leader="none" w:pos="16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Prospectus Regulation;</w:t>
      </w:r>
    </w:p>
    <w:p>
      <w:pPr>
        <w:spacing w:after="0" w:line="182" w:lineRule="exact"/>
        <w:rPr>
          <w:rFonts w:ascii="Times New Roman" w:cs="Times New Roman" w:eastAsia="Times New Roman" w:hAnsi="Times New Roman"/>
          <w:sz w:val="15"/>
          <w:szCs w:val="15"/>
          <w:color w:val="auto"/>
        </w:rPr>
      </w:pPr>
    </w:p>
    <w:p>
      <w:pPr>
        <w:ind w:left="1120" w:right="179" w:firstLine="364"/>
        <w:spacing w:after="0" w:line="273" w:lineRule="auto"/>
        <w:tabs>
          <w:tab w:leader="none" w:pos="169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Prospectus Regulation), subject to obtaining the prior consent of the underwriters for any such offer; or</w:t>
      </w:r>
    </w:p>
    <w:p>
      <w:pPr>
        <w:spacing w:after="0" w:line="139" w:lineRule="exact"/>
        <w:rPr>
          <w:rFonts w:ascii="Times New Roman" w:cs="Times New Roman" w:eastAsia="Times New Roman" w:hAnsi="Times New Roman"/>
          <w:sz w:val="15"/>
          <w:szCs w:val="15"/>
          <w:color w:val="auto"/>
        </w:rPr>
      </w:pPr>
    </w:p>
    <w:p>
      <w:pPr>
        <w:ind w:left="1740" w:hanging="256"/>
        <w:spacing w:after="0"/>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w:t>
      </w:r>
    </w:p>
    <w:p>
      <w:pPr>
        <w:spacing w:after="0" w:line="182" w:lineRule="exact"/>
        <w:rPr>
          <w:sz w:val="20"/>
          <w:szCs w:val="20"/>
          <w:color w:val="auto"/>
        </w:rPr>
      </w:pPr>
    </w:p>
    <w:p>
      <w:pPr>
        <w:ind w:left="1120" w:right="119" w:firstLine="362"/>
        <w:spacing w:after="0" w:line="273" w:lineRule="auto"/>
        <w:rPr>
          <w:sz w:val="20"/>
          <w:szCs w:val="20"/>
          <w:color w:val="auto"/>
        </w:rPr>
      </w:pPr>
      <w:r>
        <w:rPr>
          <w:rFonts w:ascii="Times New Roman" w:cs="Times New Roman" w:eastAsia="Times New Roman" w:hAnsi="Times New Roman"/>
          <w:sz w:val="15"/>
          <w:szCs w:val="15"/>
          <w:color w:val="auto"/>
        </w:rPr>
        <w:t>provided that no such offer of securities shall require the issuer or any underwriter to publish a prospectus pursuant to Article 3 of the Prospectus Regulation or supplement a prospectus pursuant to Article 23 of the Prospectus Regulation.</w:t>
      </w:r>
    </w:p>
    <w:p>
      <w:pPr>
        <w:spacing w:after="0" w:line="140" w:lineRule="exact"/>
        <w:rPr>
          <w:sz w:val="20"/>
          <w:szCs w:val="20"/>
          <w:color w:val="auto"/>
        </w:rPr>
      </w:pPr>
    </w:p>
    <w:p>
      <w:pPr>
        <w:ind w:left="1120" w:right="299" w:firstLine="362"/>
        <w:spacing w:after="0" w:line="310" w:lineRule="auto"/>
        <w:rPr>
          <w:sz w:val="20"/>
          <w:szCs w:val="20"/>
          <w:color w:val="auto"/>
        </w:rPr>
      </w:pPr>
      <w:r>
        <w:rPr>
          <w:rFonts w:ascii="Times New Roman" w:cs="Times New Roman" w:eastAsia="Times New Roman" w:hAnsi="Times New Roman"/>
          <w:sz w:val="14"/>
          <w:szCs w:val="14"/>
          <w:color w:val="auto"/>
        </w:rPr>
        <w:t>Each person in a Member State who acquires any securities in the offer or to whom any offer is made will be deemed to have represented, acknowledged and agreed to and with the issuer and the underwriters that it is a qualified investor within the meaning of the Prospectus Regulation.</w:t>
      </w:r>
    </w:p>
    <w:p>
      <w:pPr>
        <w:spacing w:after="0" w:line="116" w:lineRule="exact"/>
        <w:rPr>
          <w:sz w:val="20"/>
          <w:szCs w:val="20"/>
          <w:color w:val="auto"/>
        </w:rPr>
      </w:pPr>
    </w:p>
    <w:p>
      <w:pPr>
        <w:ind w:left="1120" w:right="79" w:firstLine="362"/>
        <w:spacing w:after="0" w:line="251" w:lineRule="auto"/>
        <w:rPr>
          <w:sz w:val="20"/>
          <w:szCs w:val="20"/>
          <w:color w:val="auto"/>
        </w:rPr>
      </w:pPr>
      <w:r>
        <w:rPr>
          <w:rFonts w:ascii="Times New Roman" w:cs="Times New Roman" w:eastAsia="Times New Roman" w:hAnsi="Times New Roman"/>
          <w:sz w:val="15"/>
          <w:szCs w:val="15"/>
          <w:color w:val="auto"/>
        </w:rPr>
        <w:t>In the case of any securities being offered to a financial intermediary as that term is used in Article 5(1) of the Prospectus Regulation, each such financial intermediary will be deemed to have represented, acknowledged and agreed to and with the issuer and the underwriters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consent of the underwriters has been obtained to each such proposed offer or resale. Neither the issuer nor the underwriters have authorised, nor do they authorise, the making of any offer of securities through any financial intermediary, other than offers made by the underwriters which constitute the final placement of securities contemplated in this document.</w:t>
      </w:r>
    </w:p>
    <w:p>
      <w:pPr>
        <w:spacing w:after="0" w:line="156" w:lineRule="exact"/>
        <w:rPr>
          <w:sz w:val="20"/>
          <w:szCs w:val="20"/>
          <w:color w:val="auto"/>
        </w:rPr>
      </w:pPr>
    </w:p>
    <w:p>
      <w:pPr>
        <w:ind w:left="1120" w:right="119" w:firstLine="362"/>
        <w:spacing w:after="0" w:line="273" w:lineRule="auto"/>
        <w:rPr>
          <w:sz w:val="20"/>
          <w:szCs w:val="20"/>
          <w:color w:val="auto"/>
        </w:rPr>
      </w:pPr>
      <w:r>
        <w:rPr>
          <w:rFonts w:ascii="Times New Roman" w:cs="Times New Roman" w:eastAsia="Times New Roman" w:hAnsi="Times New Roman"/>
          <w:sz w:val="15"/>
          <w:szCs w:val="15"/>
          <w:color w:val="auto"/>
        </w:rPr>
        <w:t>The issuer and the underwriters and their affiliates will rely upon the truth and accuracy of the foregoing representations, acknowledgements and agreements.</w:t>
      </w:r>
    </w:p>
    <w:p>
      <w:pPr>
        <w:spacing w:after="0" w:line="140" w:lineRule="exact"/>
        <w:rPr>
          <w:sz w:val="20"/>
          <w:szCs w:val="20"/>
          <w:color w:val="auto"/>
        </w:rPr>
      </w:pPr>
    </w:p>
    <w:p>
      <w:pPr>
        <w:ind w:left="1120" w:right="379" w:firstLine="362"/>
        <w:spacing w:after="0" w:line="28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32" w:lineRule="exact"/>
        <w:rPr>
          <w:sz w:val="20"/>
          <w:szCs w:val="20"/>
          <w:color w:val="auto"/>
        </w:rPr>
      </w:pPr>
    </w:p>
    <w:p>
      <w:pPr>
        <w:ind w:left="1120" w:right="39" w:firstLine="362"/>
        <w:spacing w:after="0" w:line="255" w:lineRule="auto"/>
        <w:rPr>
          <w:sz w:val="20"/>
          <w:szCs w:val="20"/>
          <w:color w:val="auto"/>
        </w:rPr>
      </w:pPr>
      <w:r>
        <w:rPr>
          <w:rFonts w:ascii="Times New Roman" w:cs="Times New Roman" w:eastAsia="Times New Roman" w:hAnsi="Times New Roman"/>
          <w:sz w:val="15"/>
          <w:szCs w:val="15"/>
          <w:color w:val="auto"/>
        </w:rPr>
        <w:t>In Member States, this document is being distributed only to, and is directed only at, persons who are “qualified investors” within the meaning of Article 2(e) of the Prospectus Regulation (“Qualified Investors”). This document must not be acted on or relied on in any Member State by persons who are not Qualified Investors. Any investment or investment activity to which this document relates is available in any Member State only to Qualified Investors and will be engaged in only with such persons.</w:t>
      </w:r>
    </w:p>
    <w:p>
      <w:pPr>
        <w:spacing w:after="0" w:line="2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Hong Kong</w:t>
      </w:r>
    </w:p>
    <w:p>
      <w:pPr>
        <w:spacing w:after="0" w:line="95" w:lineRule="exact"/>
        <w:rPr>
          <w:sz w:val="20"/>
          <w:szCs w:val="20"/>
          <w:color w:val="auto"/>
        </w:rPr>
      </w:pPr>
    </w:p>
    <w:p>
      <w:pPr>
        <w:ind w:left="1120" w:right="39" w:firstLine="362"/>
        <w:spacing w:after="0" w:line="250" w:lineRule="auto"/>
        <w:rPr>
          <w:sz w:val="20"/>
          <w:szCs w:val="20"/>
          <w:color w:val="auto"/>
        </w:rPr>
      </w:pPr>
      <w:r>
        <w:rPr>
          <w:rFonts w:ascii="Times New Roman" w:cs="Times New Roman" w:eastAsia="Times New Roman" w:hAnsi="Times New Roman"/>
          <w:sz w:val="15"/>
          <w:szCs w:val="15"/>
          <w:color w:val="auto"/>
        </w:rPr>
        <w:t>No securities have been, may be or will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thereunder; or in other circumstances which do not result in the document being a “prospectus” as defined in the Companies (Winding UP and Miscellaneous Provisions) Ordinance (Cap. 32) of Hong Kong (the “C(WUMP)O”), or which do not constitute an offer to the public within the meaning of the C(WUMP)O. No document, invitation or advertisement relating to the securities has been issued or may be issued or will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S-35</w:t>
      </w:r>
    </w:p>
    <w:p>
      <w:pPr>
        <w:sectPr>
          <w:pgSz w:w="11900" w:h="16838" w:orient="portrait"/>
          <w:cols w:equalWidth="0" w:num="1">
            <w:col w:w="10159"/>
          </w:cols>
          <w:pgMar w:left="300" w:top="40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60" w:firstLine="362"/>
        <w:spacing w:after="0" w:line="253" w:lineRule="auto"/>
        <w:rPr>
          <w:sz w:val="20"/>
          <w:szCs w:val="20"/>
          <w:color w:val="auto"/>
        </w:rPr>
      </w:pPr>
      <w:r>
        <w:rPr>
          <w:rFonts w:ascii="Times New Roman" w:cs="Times New Roman" w:eastAsia="Times New Roman" w:hAnsi="Times New Roman"/>
          <w:sz w:val="15"/>
          <w:szCs w:val="15"/>
          <w:color w:val="auto"/>
        </w:rPr>
        <w:t>This document has not been and will not be registered with the Registrar of Companies in Hong Kong. Accordingly, this document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document and the relevant offering documents and that he is not acquiring, and has not been offered any securities in circumstances that contravene any such restrictions.</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Japan</w:t>
      </w:r>
    </w:p>
    <w:p>
      <w:pPr>
        <w:spacing w:after="0" w:line="95" w:lineRule="exact"/>
        <w:rPr>
          <w:sz w:val="20"/>
          <w:szCs w:val="20"/>
          <w:color w:val="auto"/>
        </w:rPr>
      </w:pPr>
    </w:p>
    <w:p>
      <w:pPr>
        <w:ind w:left="1120" w:right="100" w:firstLine="362"/>
        <w:spacing w:after="0" w:line="252" w:lineRule="auto"/>
        <w:rPr>
          <w:sz w:val="20"/>
          <w:szCs w:val="20"/>
          <w:color w:val="auto"/>
        </w:rPr>
      </w:pPr>
      <w:r>
        <w:rPr>
          <w:rFonts w:ascii="Times New Roman" w:cs="Times New Roman" w:eastAsia="Times New Roman" w:hAnsi="Times New Roman"/>
          <w:sz w:val="15"/>
          <w:szCs w:val="15"/>
          <w:color w:val="auto"/>
        </w:rPr>
        <w:t>The offering has not been and will not be registered under the Financial Instruments and Exchange Act of Japan (Act No. 25 of 1948 of Japan, as amended) (the “FIEA”), and the Initial Purchaser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FIEA and any other applicable laws, regulations and ministerial guidelines of Japan.</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Singapore</w:t>
      </w:r>
    </w:p>
    <w:p>
      <w:pPr>
        <w:spacing w:after="0" w:line="95" w:lineRule="exact"/>
        <w:rPr>
          <w:sz w:val="20"/>
          <w:szCs w:val="20"/>
          <w:color w:val="auto"/>
        </w:rPr>
      </w:pPr>
    </w:p>
    <w:p>
      <w:pPr>
        <w:ind w:left="1120" w:right="40" w:firstLine="362"/>
        <w:spacing w:after="0" w:line="250" w:lineRule="auto"/>
        <w:rPr>
          <w:sz w:val="20"/>
          <w:szCs w:val="20"/>
          <w:color w:val="auto"/>
        </w:rPr>
      </w:pPr>
      <w:r>
        <w:rPr>
          <w:rFonts w:ascii="Times New Roman" w:cs="Times New Roman" w:eastAsia="Times New Roman" w:hAnsi="Times New Roman"/>
          <w:sz w:val="15"/>
          <w:szCs w:val="15"/>
          <w:color w:val="auto"/>
        </w:rPr>
        <w:t xml:space="preserve">This document has not been and will not be lodged or registered with the Monetary Authority of Singapore. Accordingly, this document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any person in Singapore other than (i) to an institutional investor under Section 274 of the Securities and Futures Act, Chapter 289 of Singapore (the “SFA”), (ii) to a relevant person as defined under Section 275(2) of the SFA, or any person pursuant to Section 275(1A) of the SFA, and in accordance with the conditions, specified in Section 275 of the SFA and where (where applicable) Regulation 3 of the Securities and Futures (Classes of Investors) Regulations 2018 , or (iii) otherwise pursuant to, and in accordance with the conditions of any other applicable provision of the SFA. </w:t>
      </w:r>
      <w:r>
        <w:rPr>
          <w:rFonts w:ascii="Times New Roman" w:cs="Times New Roman" w:eastAsia="Times New Roman" w:hAnsi="Times New Roman"/>
          <w:sz w:val="15"/>
          <w:szCs w:val="15"/>
          <w:b w:val="1"/>
          <w:bCs w:val="1"/>
          <w:color w:val="auto"/>
        </w:rPr>
        <w:t>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the event that you are not an investor falling within any of the categories set out above, please return this document immediately. You may not forward or circulate this document to any other person in Singapore.</w:t>
      </w:r>
    </w:p>
    <w:p>
      <w:pPr>
        <w:spacing w:after="0" w:line="156" w:lineRule="exact"/>
        <w:rPr>
          <w:sz w:val="20"/>
          <w:szCs w:val="20"/>
          <w:color w:val="auto"/>
        </w:rPr>
      </w:pPr>
    </w:p>
    <w:p>
      <w:pPr>
        <w:jc w:val="both"/>
        <w:ind w:left="1120" w:right="240"/>
        <w:spacing w:after="0" w:line="260" w:lineRule="auto"/>
        <w:rPr>
          <w:sz w:val="20"/>
          <w:szCs w:val="20"/>
          <w:color w:val="auto"/>
        </w:rPr>
      </w:pPr>
      <w:r>
        <w:rPr>
          <w:rFonts w:ascii="Times New Roman" w:cs="Times New Roman" w:eastAsia="Times New Roman" w:hAnsi="Times New Roman"/>
          <w:sz w:val="15"/>
          <w:szCs w:val="15"/>
          <w:color w:val="auto"/>
        </w:rPr>
        <w:t>No offer is made to you with a view to the securities being subsequently offered for sale to any other party. There are on-sale restrictions that may be applicable to investors who acquire securities. As such, investors are advised to acquaint themselves with the provisions of the SFA relating to resale restrictions and comply accordingly.</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Where the securities are subscribed or purchased under Section 275 of the SFA by a relevant person which is:</w:t>
      </w:r>
    </w:p>
    <w:p>
      <w:pPr>
        <w:spacing w:after="0" w:line="105" w:lineRule="exact"/>
        <w:rPr>
          <w:sz w:val="20"/>
          <w:szCs w:val="20"/>
          <w:color w:val="auto"/>
        </w:rPr>
      </w:pPr>
    </w:p>
    <w:p>
      <w:pPr>
        <w:ind w:left="1920" w:right="580" w:hanging="354"/>
        <w:spacing w:after="0" w:line="310" w:lineRule="auto"/>
        <w:tabs>
          <w:tab w:leader="none" w:pos="19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38" w:lineRule="exact"/>
        <w:rPr>
          <w:rFonts w:ascii="Times New Roman" w:cs="Times New Roman" w:eastAsia="Times New Roman" w:hAnsi="Times New Roman"/>
          <w:sz w:val="14"/>
          <w:szCs w:val="14"/>
          <w:color w:val="auto"/>
        </w:rPr>
      </w:pPr>
    </w:p>
    <w:p>
      <w:pPr>
        <w:ind w:left="1920" w:right="300" w:hanging="354"/>
        <w:spacing w:after="0" w:line="273" w:lineRule="auto"/>
        <w:tabs>
          <w:tab w:leader="none" w:pos="19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(where the trustee is not an accredited investor) whose sole purpose is to hold investments and each beneficiary is an accredited investor,</w:t>
      </w:r>
    </w:p>
    <w:p>
      <w:pPr>
        <w:spacing w:after="0" w:line="61" w:lineRule="exact"/>
        <w:rPr>
          <w:rFonts w:ascii="Times New Roman" w:cs="Times New Roman" w:eastAsia="Times New Roman" w:hAnsi="Times New Roman"/>
          <w:sz w:val="15"/>
          <w:szCs w:val="15"/>
          <w:color w:val="auto"/>
        </w:rPr>
      </w:pPr>
    </w:p>
    <w:p>
      <w:pPr>
        <w:ind w:left="1920" w:hanging="354"/>
        <w:spacing w:after="0" w:line="260" w:lineRule="auto"/>
        <w:tabs>
          <w:tab w:leader="none" w:pos="19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or securities-based derivatives contracts (each term as defined in Section 2(1) of the SFA) of that corporation or the beneficiaries’ rights and interest (howsoever described) in that trust shall not be transferable within six months after that corporation or that trust has acquired the securities under Section 275 of the SFA except:</w:t>
      </w:r>
    </w:p>
    <w:p>
      <w:pPr>
        <w:spacing w:after="0" w:line="71" w:lineRule="exact"/>
        <w:rPr>
          <w:rFonts w:ascii="Times New Roman" w:cs="Times New Roman" w:eastAsia="Times New Roman" w:hAnsi="Times New Roman"/>
          <w:sz w:val="15"/>
          <w:szCs w:val="15"/>
          <w:color w:val="auto"/>
        </w:rPr>
      </w:pPr>
    </w:p>
    <w:p>
      <w:pPr>
        <w:ind w:left="1920" w:right="300" w:hanging="354"/>
        <w:spacing w:after="0" w:line="273" w:lineRule="auto"/>
        <w:tabs>
          <w:tab w:leader="none" w:pos="19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under Section 274 of the SFA or to a relevant person defined in Section 275(2) of the SFA, or to any person pursuant to an offer referred to in Section 275(1A) or Section 276(4)(i)(B) of the SFA;</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S-36</w:t>
      </w:r>
    </w:p>
    <w:p>
      <w:pPr>
        <w:sectPr>
          <w:pgSz w:w="11900" w:h="16838" w:orient="portrait"/>
          <w:cols w:equalWidth="0" w:num="1">
            <w:col w:w="10160"/>
          </w:cols>
          <w:pgMar w:left="300" w:top="400" w:right="1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hanging="354"/>
        <w:spacing w:after="0"/>
        <w:tabs>
          <w:tab w:leader="none" w:pos="19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given for the transfer;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transfer is by operation of law;</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Section 276(7) of the SFA; or</w:t>
      </w:r>
    </w:p>
    <w:p>
      <w:pPr>
        <w:spacing w:after="0" w:line="104" w:lineRule="exact"/>
        <w:rPr>
          <w:rFonts w:ascii="Times New Roman" w:cs="Times New Roman" w:eastAsia="Times New Roman" w:hAnsi="Times New Roman"/>
          <w:sz w:val="15"/>
          <w:szCs w:val="15"/>
          <w:color w:val="auto"/>
        </w:rPr>
      </w:pPr>
    </w:p>
    <w:p>
      <w:pPr>
        <w:ind w:left="1920" w:right="620" w:hanging="354"/>
        <w:spacing w:after="0" w:line="273" w:lineRule="auto"/>
        <w:tabs>
          <w:tab w:leader="none" w:pos="19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Regulation 37A of the Securities and Futures (Offers of Investments) (Securities and Securities-based Derivatives Contracts) Regulations 2018 of Singapore.</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Switzerland</w:t>
      </w:r>
    </w:p>
    <w:p>
      <w:pPr>
        <w:spacing w:after="0" w:line="95" w:lineRule="exact"/>
        <w:rPr>
          <w:sz w:val="20"/>
          <w:szCs w:val="20"/>
          <w:color w:val="auto"/>
        </w:rPr>
      </w:pPr>
    </w:p>
    <w:p>
      <w:pPr>
        <w:ind w:left="1120" w:right="20" w:firstLine="362"/>
        <w:spacing w:after="0" w:line="275" w:lineRule="auto"/>
        <w:rPr>
          <w:sz w:val="20"/>
          <w:szCs w:val="20"/>
          <w:color w:val="auto"/>
        </w:rPr>
      </w:pPr>
      <w:r>
        <w:rPr>
          <w:rFonts w:ascii="Times New Roman" w:cs="Times New Roman" w:eastAsia="Times New Roman" w:hAnsi="Times New Roman"/>
          <w:sz w:val="14"/>
          <w:szCs w:val="14"/>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42" w:lineRule="exact"/>
        <w:rPr>
          <w:sz w:val="20"/>
          <w:szCs w:val="20"/>
          <w:color w:val="auto"/>
        </w:rPr>
      </w:pPr>
    </w:p>
    <w:p>
      <w:pPr>
        <w:ind w:left="1120" w:right="100" w:firstLine="362"/>
        <w:spacing w:after="0" w:line="253" w:lineRule="auto"/>
        <w:rPr>
          <w:sz w:val="20"/>
          <w:szCs w:val="20"/>
          <w:color w:val="auto"/>
        </w:rPr>
      </w:pPr>
      <w:r>
        <w:rPr>
          <w:rFonts w:ascii="Times New Roman" w:cs="Times New Roman" w:eastAsia="Times New Roman" w:hAnsi="Times New Roman"/>
          <w:sz w:val="15"/>
          <w:szCs w:val="15"/>
          <w:color w:val="auto"/>
        </w:rPr>
        <w:t>Neither this document nor any other offering or marketing material relating to the offering, the issuer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Israel</w:t>
      </w:r>
    </w:p>
    <w:p>
      <w:pPr>
        <w:spacing w:after="0" w:line="95"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This document does not constitute a prospectus under the Israeli Securities Law, 5728-1968 (the “Securities Law”), and has not been filed with or approved by the Israel Securities Authority. In the State of Israel, this document is being distributed only to, and is directed only at, and any offer of the securities is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United Kingdom</w:t>
      </w:r>
    </w:p>
    <w:p>
      <w:pPr>
        <w:spacing w:after="0" w:line="95" w:lineRule="exact"/>
        <w:rPr>
          <w:sz w:val="20"/>
          <w:szCs w:val="20"/>
          <w:color w:val="auto"/>
        </w:rPr>
      </w:pPr>
    </w:p>
    <w:p>
      <w:pPr>
        <w:ind w:left="1120" w:right="160" w:firstLine="362"/>
        <w:spacing w:after="0" w:line="260" w:lineRule="auto"/>
        <w:rPr>
          <w:sz w:val="20"/>
          <w:szCs w:val="20"/>
          <w:color w:val="auto"/>
        </w:rPr>
      </w:pPr>
      <w:r>
        <w:rPr>
          <w:rFonts w:ascii="Times New Roman" w:cs="Times New Roman" w:eastAsia="Times New Roman" w:hAnsi="Times New Roman"/>
          <w:sz w:val="15"/>
          <w:szCs w:val="15"/>
          <w:color w:val="auto"/>
        </w:rPr>
        <w:t>In relation to the United Kingdom, no securities have been offered or will be offered pursuant to the offer described herein to the public in the United Kingdom prior to the publication of a prospectus in relation to the securities which has been approved by the UK Financial Conduct Authority, except that the securities may be offered to the public in the United Kingdom at any time:</w:t>
      </w:r>
    </w:p>
    <w:p>
      <w:pPr>
        <w:spacing w:after="0" w:line="60" w:lineRule="exact"/>
        <w:rPr>
          <w:sz w:val="20"/>
          <w:szCs w:val="20"/>
          <w:color w:val="auto"/>
        </w:rPr>
      </w:pPr>
    </w:p>
    <w:p>
      <w:pPr>
        <w:ind w:left="1660" w:hanging="176"/>
        <w:spacing w:after="0"/>
        <w:tabs>
          <w:tab w:leader="none" w:pos="16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UK Prospectus Regulation;</w:t>
      </w:r>
    </w:p>
    <w:p>
      <w:pPr>
        <w:spacing w:after="0" w:line="182" w:lineRule="exact"/>
        <w:rPr>
          <w:rFonts w:ascii="Times New Roman" w:cs="Times New Roman" w:eastAsia="Times New Roman" w:hAnsi="Times New Roman"/>
          <w:sz w:val="15"/>
          <w:szCs w:val="15"/>
          <w:color w:val="auto"/>
        </w:rPr>
      </w:pPr>
    </w:p>
    <w:p>
      <w:pPr>
        <w:ind w:left="1120" w:right="80" w:firstLine="364"/>
        <w:spacing w:after="0" w:line="273" w:lineRule="auto"/>
        <w:tabs>
          <w:tab w:leader="none" w:pos="1699"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UK Prospectus Regulation), subject to obtaining the prior consent of the underwriters for any such offer; or</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S-37</w:t>
      </w:r>
    </w:p>
    <w:p>
      <w:pPr>
        <w:sectPr>
          <w:pgSz w:w="11900" w:h="16838" w:orient="portrait"/>
          <w:cols w:equalWidth="0" w:num="1">
            <w:col w:w="10160"/>
          </w:cols>
          <w:pgMar w:left="300" w:top="400" w:right="1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(iii) in any other circumstances falling within Section 86 of the Financial Services and Markets Act 2000 (as amended) (the “FSMA”),</w:t>
      </w:r>
    </w:p>
    <w:p>
      <w:pPr>
        <w:spacing w:after="0" w:line="182" w:lineRule="exact"/>
        <w:rPr>
          <w:sz w:val="20"/>
          <w:szCs w:val="20"/>
          <w:color w:val="auto"/>
        </w:rPr>
      </w:pPr>
    </w:p>
    <w:p>
      <w:pPr>
        <w:ind w:left="1120" w:right="20" w:firstLine="362"/>
        <w:spacing w:after="0" w:line="273" w:lineRule="auto"/>
        <w:rPr>
          <w:sz w:val="20"/>
          <w:szCs w:val="20"/>
          <w:color w:val="auto"/>
        </w:rPr>
      </w:pPr>
      <w:r>
        <w:rPr>
          <w:rFonts w:ascii="Times New Roman" w:cs="Times New Roman" w:eastAsia="Times New Roman" w:hAnsi="Times New Roman"/>
          <w:sz w:val="15"/>
          <w:szCs w:val="15"/>
          <w:color w:val="auto"/>
        </w:rPr>
        <w:t>provided that no such offer of the securities shall require the issuer or any underwriter to publish a prospectus pursuant to Section 85 of the FSMA or supplement a prospectus pursuant to Article 23 of the UK Prospectus Regulation.</w:t>
      </w:r>
    </w:p>
    <w:p>
      <w:pPr>
        <w:spacing w:after="0" w:line="140" w:lineRule="exact"/>
        <w:rPr>
          <w:sz w:val="20"/>
          <w:szCs w:val="20"/>
          <w:color w:val="auto"/>
        </w:rPr>
      </w:pPr>
    </w:p>
    <w:p>
      <w:pPr>
        <w:ind w:left="1120" w:right="60" w:firstLine="362"/>
        <w:spacing w:after="0" w:line="310" w:lineRule="auto"/>
        <w:rPr>
          <w:sz w:val="20"/>
          <w:szCs w:val="20"/>
          <w:color w:val="auto"/>
        </w:rPr>
      </w:pPr>
      <w:r>
        <w:rPr>
          <w:rFonts w:ascii="Times New Roman" w:cs="Times New Roman" w:eastAsia="Times New Roman" w:hAnsi="Times New Roman"/>
          <w:sz w:val="14"/>
          <w:szCs w:val="14"/>
          <w:color w:val="auto"/>
        </w:rPr>
        <w:t>Each person in the United Kingdom who acquires any securities in the offer or to whom any offer is made will be deemed to have represented, acknowledged and agreed to and with the issuer and the underwriters that it is a qualified investor within the meaning of the UK Prospectus Regulation.</w:t>
      </w:r>
    </w:p>
    <w:p>
      <w:pPr>
        <w:spacing w:after="0" w:line="116" w:lineRule="exact"/>
        <w:rPr>
          <w:sz w:val="20"/>
          <w:szCs w:val="20"/>
          <w:color w:val="auto"/>
        </w:rPr>
      </w:pPr>
    </w:p>
    <w:p>
      <w:pPr>
        <w:ind w:left="1120" w:right="40" w:firstLine="362"/>
        <w:spacing w:after="0" w:line="251" w:lineRule="auto"/>
        <w:rPr>
          <w:sz w:val="20"/>
          <w:szCs w:val="20"/>
          <w:color w:val="auto"/>
        </w:rPr>
      </w:pPr>
      <w:r>
        <w:rPr>
          <w:rFonts w:ascii="Times New Roman" w:cs="Times New Roman" w:eastAsia="Times New Roman" w:hAnsi="Times New Roman"/>
          <w:sz w:val="15"/>
          <w:szCs w:val="15"/>
          <w:color w:val="auto"/>
        </w:rPr>
        <w:t>In the case of any securities being offered to a financial intermediary as that term is used in Article 5(1) of the UK Prospectus Regulation, each such financial intermediary will be deemed to have represented, acknowledged and agreed to and with the issuer and the underwriters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 Neither the issuer nor the underwriters have authorised, nor do they authorise, the making of any offer of securities through any financial intermediary, other than offers made by the underwriters which constitute the final placement of securities contemplated in this document.</w:t>
      </w:r>
    </w:p>
    <w:p>
      <w:pPr>
        <w:spacing w:after="0" w:line="156" w:lineRule="exact"/>
        <w:rPr>
          <w:sz w:val="20"/>
          <w:szCs w:val="20"/>
          <w:color w:val="auto"/>
        </w:rPr>
      </w:pPr>
    </w:p>
    <w:p>
      <w:pPr>
        <w:ind w:left="1120" w:right="120" w:firstLine="362"/>
        <w:spacing w:after="0" w:line="273" w:lineRule="auto"/>
        <w:rPr>
          <w:sz w:val="20"/>
          <w:szCs w:val="20"/>
          <w:color w:val="auto"/>
        </w:rPr>
      </w:pPr>
      <w:r>
        <w:rPr>
          <w:rFonts w:ascii="Times New Roman" w:cs="Times New Roman" w:eastAsia="Times New Roman" w:hAnsi="Times New Roman"/>
          <w:sz w:val="15"/>
          <w:szCs w:val="15"/>
          <w:color w:val="auto"/>
        </w:rPr>
        <w:t>The issuer and the underwriters and their affiliates will rely upon the truth and accuracy of the foregoing representations, acknowledgements and agreements.</w:t>
      </w:r>
    </w:p>
    <w:p>
      <w:pPr>
        <w:spacing w:after="0" w:line="140" w:lineRule="exact"/>
        <w:rPr>
          <w:sz w:val="20"/>
          <w:szCs w:val="20"/>
          <w:color w:val="auto"/>
        </w:rPr>
      </w:pPr>
    </w:p>
    <w:p>
      <w:pPr>
        <w:ind w:left="1120" w:right="220" w:firstLine="362"/>
        <w:spacing w:after="0" w:line="255"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United Kingdom law by virtue of the European Union (Withdrawal) Act 2018.</w:t>
      </w:r>
    </w:p>
    <w:p>
      <w:pPr>
        <w:spacing w:after="0" w:line="153" w:lineRule="exact"/>
        <w:rPr>
          <w:sz w:val="20"/>
          <w:szCs w:val="20"/>
          <w:color w:val="auto"/>
        </w:rPr>
      </w:pPr>
    </w:p>
    <w:p>
      <w:pPr>
        <w:ind w:left="1120" w:firstLine="362"/>
        <w:spacing w:after="0" w:line="251" w:lineRule="auto"/>
        <w:rPr>
          <w:sz w:val="20"/>
          <w:szCs w:val="20"/>
          <w:color w:val="auto"/>
        </w:rPr>
      </w:pPr>
      <w:r>
        <w:rPr>
          <w:rFonts w:ascii="Times New Roman" w:cs="Times New Roman" w:eastAsia="Times New Roman" w:hAnsi="Times New Roman"/>
          <w:sz w:val="15"/>
          <w:szCs w:val="15"/>
          <w:color w:val="auto"/>
        </w:rPr>
        <w:t>In the United Kingdom, this document is being distributed only to, and is directed only at, persons who are “qualified investors” within the meaning of Article 2(e) of the UK Prospectus Regulation who are also: (i) persons who fall within the definition of “investment professionals” in Article 19(5) of the Financial Services and Markets Act 2000 (Financial Promotion) Order 2005, as amended (the “Order”); (ii) persons falling within Article 49(2) of the Order; or (iii) persons to whom it may otherwise lawfully be communicated (all such persons together being referred to as “relevant persons”). This document must not be acted on or relied on in the United Kingdom by persons who are not relevant persons. Any investment or investment activity to which this document relates is available in the United Kingdom only to relevant persons and will be engaged in only with such persons.</w:t>
      </w:r>
    </w:p>
    <w:p>
      <w:pPr>
        <w:spacing w:after="0" w:line="156" w:lineRule="exact"/>
        <w:rPr>
          <w:sz w:val="20"/>
          <w:szCs w:val="20"/>
          <w:color w:val="auto"/>
        </w:rPr>
      </w:pPr>
    </w:p>
    <w:p>
      <w:pPr>
        <w:ind w:left="1120" w:right="160" w:firstLine="362"/>
        <w:spacing w:after="0" w:line="255" w:lineRule="auto"/>
        <w:rPr>
          <w:sz w:val="20"/>
          <w:szCs w:val="20"/>
          <w:color w:val="auto"/>
        </w:rPr>
      </w:pPr>
      <w:r>
        <w:rPr>
          <w:rFonts w:ascii="Times New Roman" w:cs="Times New Roman" w:eastAsia="Times New Roman" w:hAnsi="Times New Roman"/>
          <w:sz w:val="15"/>
          <w:szCs w:val="15"/>
          <w:color w:val="auto"/>
        </w:rPr>
        <w:t>Any invitation or inducement to engage in investment activity (within the meaning of Section 21 of the FSMA) may only be communicated or caused to be communicated in connection with the issue or sale of the securities in circumstances in which Section 21(1) of the FSMA does not apply. All applicable provisions of the FSMA and the Order must be complied with in respect of anything done by any person in relation to the securities in, from or otherwise involving the United Kingdom.</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S-38</w:t>
      </w:r>
    </w:p>
    <w:p>
      <w:pPr>
        <w:sectPr>
          <w:pgSz w:w="11900" w:h="16838" w:orient="portrait"/>
          <w:cols w:equalWidth="0" w:num="1">
            <w:col w:w="10160"/>
          </w:cols>
          <w:pgMar w:left="300" w:top="400" w:right="1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84" w:lineRule="exact"/>
        <w:rPr>
          <w:sz w:val="20"/>
          <w:szCs w:val="20"/>
          <w:color w:val="auto"/>
        </w:rPr>
      </w:pPr>
    </w:p>
    <w:p>
      <w:pPr>
        <w:ind w:left="1120" w:right="39"/>
        <w:spacing w:after="0" w:line="273" w:lineRule="auto"/>
        <w:rPr>
          <w:sz w:val="20"/>
          <w:szCs w:val="20"/>
          <w:color w:val="auto"/>
        </w:rPr>
      </w:pPr>
      <w:r>
        <w:rPr>
          <w:rFonts w:ascii="Times New Roman" w:cs="Times New Roman" w:eastAsia="Times New Roman" w:hAnsi="Times New Roman"/>
          <w:sz w:val="15"/>
          <w:szCs w:val="15"/>
          <w:color w:val="auto"/>
        </w:rPr>
        <w:t>The validity of the securities offered hereby will be passed upon for us by Hogan Lovells US LLP. The underwriters are being represented in connection with this offering by Cooley LLP, New York, New York.</w:t>
      </w:r>
    </w:p>
    <w:p>
      <w:pPr>
        <w:spacing w:after="0" w:line="3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4" w:lineRule="exact"/>
        <w:rPr>
          <w:sz w:val="20"/>
          <w:szCs w:val="20"/>
          <w:color w:val="auto"/>
        </w:rPr>
      </w:pPr>
    </w:p>
    <w:p>
      <w:pPr>
        <w:ind w:left="1120" w:right="119"/>
        <w:spacing w:after="0" w:line="255" w:lineRule="auto"/>
        <w:rPr>
          <w:sz w:val="20"/>
          <w:szCs w:val="20"/>
          <w:color w:val="auto"/>
        </w:rPr>
      </w:pPr>
      <w:r>
        <w:rPr>
          <w:rFonts w:ascii="Times New Roman" w:cs="Times New Roman" w:eastAsia="Times New Roman" w:hAnsi="Times New Roman"/>
          <w:sz w:val="15"/>
          <w:szCs w:val="15"/>
          <w:color w:val="auto"/>
        </w:rPr>
        <w:t>The financial statements incorporated in this prospectus supplement by reference to the Annual Report on Form 10-K for the year ended December 31, 2024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S-39</w:t>
      </w:r>
    </w:p>
    <w:p>
      <w:pPr>
        <w:sectPr>
          <w:pgSz w:w="11900" w:h="16838" w:orient="portrait"/>
          <w:cols w:equalWidth="0" w:num="1">
            <w:col w:w="10159"/>
          </w:cols>
          <w:pgMar w:left="300" w:top="40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84" w:lineRule="exact"/>
        <w:rPr>
          <w:sz w:val="20"/>
          <w:szCs w:val="20"/>
          <w:color w:val="auto"/>
        </w:rPr>
      </w:pPr>
    </w:p>
    <w:p>
      <w:pPr>
        <w:ind w:left="1120" w:right="19"/>
        <w:spacing w:after="0" w:line="260" w:lineRule="auto"/>
        <w:rPr>
          <w:sz w:val="20"/>
          <w:szCs w:val="20"/>
          <w:color w:val="auto"/>
        </w:rPr>
      </w:pPr>
      <w:r>
        <w:rPr>
          <w:rFonts w:ascii="Times New Roman" w:cs="Times New Roman" w:eastAsia="Times New Roman" w:hAnsi="Times New Roman"/>
          <w:sz w:val="15"/>
          <w:szCs w:val="15"/>
          <w:color w:val="auto"/>
        </w:rPr>
        <w:t>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or incorporated by reference into, the registration statement.</w:t>
      </w:r>
    </w:p>
    <w:p>
      <w:pPr>
        <w:spacing w:after="0" w:line="149" w:lineRule="exact"/>
        <w:rPr>
          <w:sz w:val="20"/>
          <w:szCs w:val="20"/>
          <w:color w:val="auto"/>
        </w:rPr>
      </w:pPr>
    </w:p>
    <w:p>
      <w:pPr>
        <w:ind w:left="1120" w:right="399"/>
        <w:spacing w:after="0" w:line="310" w:lineRule="auto"/>
        <w:rPr>
          <w:sz w:val="20"/>
          <w:szCs w:val="20"/>
          <w:color w:val="auto"/>
        </w:rPr>
      </w:pPr>
      <w:r>
        <w:rPr>
          <w:rFonts w:ascii="Times New Roman" w:cs="Times New Roman" w:eastAsia="Times New Roman" w:hAnsi="Times New Roman"/>
          <w:sz w:val="14"/>
          <w:szCs w:val="14"/>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16" w:lineRule="exact"/>
        <w:rPr>
          <w:sz w:val="20"/>
          <w:szCs w:val="20"/>
          <w:color w:val="auto"/>
        </w:rPr>
      </w:pPr>
    </w:p>
    <w:p>
      <w:pPr>
        <w:ind w:left="1120" w:right="59"/>
        <w:spacing w:after="0" w:line="279" w:lineRule="auto"/>
        <w:rPr>
          <w:sz w:val="20"/>
          <w:szCs w:val="20"/>
          <w:color w:val="auto"/>
        </w:rPr>
      </w:pPr>
      <w:r>
        <w:rPr>
          <w:rFonts w:ascii="Times New Roman" w:cs="Times New Roman" w:eastAsia="Times New Roman" w:hAnsi="Times New Roman"/>
          <w:sz w:val="14"/>
          <w:szCs w:val="14"/>
          <w:color w:val="auto"/>
        </w:rPr>
        <w:t>We make available free of charge on our website our annual, quarterly and current reports, including amendments to such reports, as soon as reasonably practicable after we electronically file such material with, or furnish such material to, the SEC. Please note, however, that we have not incorporated any other information by reference from our website, other than the documents listed below under the heading “Incorporation of Certain Information by Reference.” In addition, you may request copies of these filings at no cost by writing or telephoning us at the following address or telephone number:</w:t>
      </w:r>
    </w:p>
    <w:p>
      <w:pPr>
        <w:spacing w:after="0" w:line="1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Invivyd, Inc.</w:t>
      </w:r>
    </w:p>
    <w:p>
      <w:pPr>
        <w:spacing w:after="0" w:line="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209 Church Street</w:t>
      </w:r>
    </w:p>
    <w:p>
      <w:pPr>
        <w:spacing w:after="0" w:line="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New Haven, Connecticut 06510</w:t>
      </w:r>
    </w:p>
    <w:p>
      <w:pPr>
        <w:spacing w:after="0" w:line="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Telephone: (781) 819-0080</w:t>
      </w:r>
    </w:p>
    <w:p>
      <w:pPr>
        <w:spacing w:after="0" w:line="1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S-40</w:t>
      </w:r>
    </w:p>
    <w:p>
      <w:pPr>
        <w:sectPr>
          <w:pgSz w:w="11900" w:h="16838" w:orient="portrait"/>
          <w:cols w:equalWidth="0" w:num="1">
            <w:col w:w="10159"/>
          </w:cols>
          <w:pgMar w:left="300" w:top="40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84" w:lineRule="exact"/>
        <w:rPr>
          <w:sz w:val="20"/>
          <w:szCs w:val="20"/>
          <w:color w:val="auto"/>
        </w:rPr>
      </w:pPr>
    </w:p>
    <w:p>
      <w:pPr>
        <w:ind w:left="1120" w:right="59"/>
        <w:spacing w:after="0" w:line="249"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under the Securities Act, of which this prospectus supplement forms a part. The rules and regulations of the SEC allow us to omit from this prospectus supplement certain information included in the registration statement. For further information about us and the securities offered under this prospectus supplement, you should refer to the registration statement and the exhibits and schedules filed with the registration statement. The SEC allows us to “incorporate by reference” information into this prospectus supplement. This means that we can disclose important information to you by referring you to documents we have filed separately with the SEC, without actually including the specific information in this prospectus supplement. The information incorporated by reference is considered to be a part of this prospectus supplement, and information in documents that we file later with the SEC will automatically update and supersede information contained in documents filed earlier with the SEC or contained in this prospectus supplement. We incorporate by reference in this prospectus supplement the documents listed below and any future filings that we may make with the SEC under Sections 13(a), 13(c), 14, or 15(d) of the Exchange Act prior to the termination of the offering under this prospectus supplement; provided, however, that we are not incorporating, in each case, any documents or information deemed to have been furnished and not filed, including any information that we disclose under Items 2.02 or 7.01 of any Current Report on Form 8-K, in accordance with SEC rules:</w:t>
      </w:r>
    </w:p>
    <w:p>
      <w:pPr>
        <w:spacing w:after="0" w:line="80" w:lineRule="exact"/>
        <w:rPr>
          <w:sz w:val="20"/>
          <w:szCs w:val="20"/>
          <w:color w:val="auto"/>
        </w:rPr>
      </w:pPr>
    </w:p>
    <w:p>
      <w:pPr>
        <w:ind w:left="1920" w:right="39" w:hanging="354"/>
        <w:spacing w:after="0" w:line="260" w:lineRule="auto"/>
        <w:tabs>
          <w:tab w:leader="none" w:pos="19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61">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fiscal year ended December 31, 2024, filed with the SEC on March 20, 2025 (including those portions our Definitive Proxy Statement on </w:t>
      </w:r>
      <w:hyperlink r:id="rId62">
        <w:r>
          <w:rPr>
            <w:rFonts w:ascii="Times New Roman" w:cs="Times New Roman" w:eastAsia="Times New Roman" w:hAnsi="Times New Roman"/>
            <w:sz w:val="15"/>
            <w:szCs w:val="15"/>
            <w:u w:val="single" w:color="auto"/>
            <w:color w:val="0000EE"/>
          </w:rPr>
          <w:t>Schedule 14A</w:t>
        </w:r>
      </w:hyperlink>
      <w:r>
        <w:rPr>
          <w:rFonts w:ascii="Times New Roman" w:cs="Times New Roman" w:eastAsia="Times New Roman" w:hAnsi="Times New Roman"/>
          <w:sz w:val="15"/>
          <w:szCs w:val="15"/>
          <w:color w:val="auto"/>
        </w:rPr>
        <w:t>, filed with the SEC on April 7, 2025, that are incorporated by reference into Part III of such Annual Report on Form 10-K);</w:t>
      </w:r>
    </w:p>
    <w:p>
      <w:pPr>
        <w:spacing w:after="0" w:line="71" w:lineRule="exact"/>
        <w:rPr>
          <w:rFonts w:ascii="Times New Roman" w:cs="Times New Roman" w:eastAsia="Times New Roman" w:hAnsi="Times New Roman"/>
          <w:sz w:val="15"/>
          <w:szCs w:val="15"/>
          <w:color w:val="auto"/>
        </w:rPr>
      </w:pPr>
    </w:p>
    <w:p>
      <w:pPr>
        <w:ind w:left="1920" w:right="139" w:hanging="354"/>
        <w:spacing w:after="0" w:line="273" w:lineRule="auto"/>
        <w:tabs>
          <w:tab w:leader="none" w:pos="19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Reports on Form 10-Q for the quarterly periods ended </w:t>
      </w:r>
      <w:hyperlink r:id="rId63">
        <w:r>
          <w:rPr>
            <w:rFonts w:ascii="Times New Roman" w:cs="Times New Roman" w:eastAsia="Times New Roman" w:hAnsi="Times New Roman"/>
            <w:sz w:val="15"/>
            <w:szCs w:val="15"/>
            <w:u w:val="single" w:color="auto"/>
            <w:color w:val="0000EE"/>
          </w:rPr>
          <w:t>March 31, 2025</w:t>
        </w:r>
      </w:hyperlink>
      <w:r>
        <w:rPr>
          <w:rFonts w:ascii="Times New Roman" w:cs="Times New Roman" w:eastAsia="Times New Roman" w:hAnsi="Times New Roman"/>
          <w:sz w:val="15"/>
          <w:szCs w:val="15"/>
          <w:color w:val="auto"/>
        </w:rPr>
        <w:t xml:space="preserve">, </w:t>
      </w:r>
      <w:hyperlink r:id="rId64">
        <w:r>
          <w:rPr>
            <w:rFonts w:ascii="Times New Roman" w:cs="Times New Roman" w:eastAsia="Times New Roman" w:hAnsi="Times New Roman"/>
            <w:sz w:val="15"/>
            <w:szCs w:val="15"/>
            <w:u w:val="single" w:color="auto"/>
            <w:color w:val="0000EE"/>
          </w:rPr>
          <w:t>June 30,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65">
        <w:r>
          <w:rPr>
            <w:rFonts w:ascii="Times New Roman" w:cs="Times New Roman" w:eastAsia="Times New Roman" w:hAnsi="Times New Roman"/>
            <w:sz w:val="15"/>
            <w:szCs w:val="15"/>
            <w:u w:val="single" w:color="auto"/>
            <w:color w:val="0000EE"/>
          </w:rPr>
          <w:t>September 30, 2025</w:t>
        </w:r>
      </w:hyperlink>
      <w:r>
        <w:rPr>
          <w:rFonts w:ascii="Times New Roman" w:cs="Times New Roman" w:eastAsia="Times New Roman" w:hAnsi="Times New Roman"/>
          <w:sz w:val="15"/>
          <w:szCs w:val="15"/>
          <w:color w:val="auto"/>
        </w:rPr>
        <w:t>, filed with the SEC on May 15, 2025, August 14, 2025 and November 6, 2025, respectively;</w:t>
      </w:r>
    </w:p>
    <w:p>
      <w:pPr>
        <w:spacing w:after="0" w:line="61" w:lineRule="exact"/>
        <w:rPr>
          <w:rFonts w:ascii="Times New Roman" w:cs="Times New Roman" w:eastAsia="Times New Roman" w:hAnsi="Times New Roman"/>
          <w:sz w:val="15"/>
          <w:szCs w:val="15"/>
          <w:color w:val="auto"/>
        </w:rPr>
      </w:pPr>
    </w:p>
    <w:p>
      <w:pPr>
        <w:ind w:left="1920" w:right="219" w:hanging="354"/>
        <w:spacing w:after="0" w:line="255" w:lineRule="auto"/>
        <w:tabs>
          <w:tab w:leader="none" w:pos="1920" w:val="left"/>
        </w:tabs>
        <w:numPr>
          <w:ilvl w:val="0"/>
          <w:numId w:val="23"/>
        </w:numPr>
        <w:rPr>
          <w:rFonts w:ascii="Times New Roman" w:cs="Times New Roman" w:eastAsia="Times New Roman" w:hAnsi="Times New Roman"/>
          <w:sz w:val="15"/>
          <w:szCs w:val="15"/>
          <w:color w:val="0000EE"/>
        </w:rPr>
      </w:pPr>
      <w:hyperlink r:id="rId66">
        <w:r>
          <w:rPr>
            <w:rFonts w:ascii="Times New Roman" w:cs="Times New Roman" w:eastAsia="Times New Roman" w:hAnsi="Times New Roman"/>
            <w:sz w:val="15"/>
            <w:szCs w:val="15"/>
            <w:color w:val="auto"/>
          </w:rPr>
          <w:t xml:space="preserve">our Current Reports on Form 8-K (other than the portions thereof that are furnished and not filed) as filed with the SEC on </w:t>
        </w:r>
        <w:r>
          <w:rPr>
            <w:rFonts w:ascii="Times New Roman" w:cs="Times New Roman" w:eastAsia="Times New Roman" w:hAnsi="Times New Roman"/>
            <w:sz w:val="15"/>
            <w:szCs w:val="15"/>
            <w:u w:val="single" w:color="auto"/>
            <w:color w:val="0000EE"/>
          </w:rPr>
          <w:t>January 10,</w:t>
        </w:r>
      </w:hyperlink>
      <w:r>
        <w:rPr>
          <w:rFonts w:ascii="Times New Roman" w:cs="Times New Roman" w:eastAsia="Times New Roman" w:hAnsi="Times New Roman"/>
          <w:sz w:val="15"/>
          <w:szCs w:val="15"/>
          <w:color w:val="auto"/>
        </w:rPr>
        <w:t xml:space="preserve"> </w:t>
      </w:r>
      <w:hyperlink r:id="rId66">
        <w:r>
          <w:rPr>
            <w:rFonts w:ascii="Times New Roman" w:cs="Times New Roman" w:eastAsia="Times New Roman" w:hAnsi="Times New Roman"/>
            <w:sz w:val="15"/>
            <w:szCs w:val="15"/>
            <w:u w:val="single" w:color="auto"/>
            <w:color w:val="0000EE"/>
          </w:rPr>
          <w:t>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67">
        <w:r>
          <w:rPr>
            <w:rFonts w:ascii="Times New Roman" w:cs="Times New Roman" w:eastAsia="Times New Roman" w:hAnsi="Times New Roman"/>
            <w:sz w:val="15"/>
            <w:szCs w:val="15"/>
            <w:u w:val="single" w:color="auto"/>
            <w:color w:val="0000EE"/>
          </w:rPr>
          <w:t>January 27, 2025</w:t>
        </w:r>
      </w:hyperlink>
      <w:hyperlink r:id="rId66">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68">
        <w:r>
          <w:rPr>
            <w:rFonts w:ascii="Times New Roman" w:cs="Times New Roman" w:eastAsia="Times New Roman" w:hAnsi="Times New Roman"/>
            <w:sz w:val="15"/>
            <w:szCs w:val="15"/>
            <w:u w:val="single" w:color="auto"/>
            <w:color w:val="0000EE"/>
          </w:rPr>
          <w:t>February 3, 2025</w:t>
        </w:r>
      </w:hyperlink>
      <w:hyperlink r:id="rId66">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69">
        <w:r>
          <w:rPr>
            <w:rFonts w:ascii="Times New Roman" w:cs="Times New Roman" w:eastAsia="Times New Roman" w:hAnsi="Times New Roman"/>
            <w:sz w:val="15"/>
            <w:szCs w:val="15"/>
            <w:u w:val="single" w:color="auto"/>
            <w:color w:val="0000EE"/>
          </w:rPr>
          <w:t>February 24, 2025</w:t>
        </w:r>
      </w:hyperlink>
      <w:hyperlink r:id="rId66">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70">
        <w:r>
          <w:rPr>
            <w:rFonts w:ascii="Times New Roman" w:cs="Times New Roman" w:eastAsia="Times New Roman" w:hAnsi="Times New Roman"/>
            <w:sz w:val="15"/>
            <w:szCs w:val="15"/>
            <w:u w:val="single" w:color="auto"/>
            <w:color w:val="0000EE"/>
          </w:rPr>
          <w:t>March 5, 2025</w:t>
        </w:r>
      </w:hyperlink>
      <w:hyperlink r:id="rId66">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71">
        <w:r>
          <w:rPr>
            <w:rFonts w:ascii="Times New Roman" w:cs="Times New Roman" w:eastAsia="Times New Roman" w:hAnsi="Times New Roman"/>
            <w:sz w:val="15"/>
            <w:szCs w:val="15"/>
            <w:u w:val="single" w:color="auto"/>
            <w:color w:val="0000EE"/>
          </w:rPr>
          <w:t>March 26, 2025</w:t>
        </w:r>
      </w:hyperlink>
      <w:hyperlink r:id="rId66">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72">
        <w:r>
          <w:rPr>
            <w:rFonts w:ascii="Times New Roman" w:cs="Times New Roman" w:eastAsia="Times New Roman" w:hAnsi="Times New Roman"/>
            <w:sz w:val="15"/>
            <w:szCs w:val="15"/>
            <w:u w:val="single" w:color="auto"/>
            <w:color w:val="0000EE"/>
          </w:rPr>
          <w:t>April 21, 2025</w:t>
        </w:r>
      </w:hyperlink>
      <w:hyperlink r:id="rId66">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73">
        <w:r>
          <w:rPr>
            <w:rFonts w:ascii="Times New Roman" w:cs="Times New Roman" w:eastAsia="Times New Roman" w:hAnsi="Times New Roman"/>
            <w:sz w:val="15"/>
            <w:szCs w:val="15"/>
            <w:u w:val="single" w:color="auto"/>
            <w:color w:val="0000EE"/>
          </w:rPr>
          <w:t>April 25, 2025</w:t>
        </w:r>
      </w:hyperlink>
      <w:hyperlink r:id="rId66">
        <w:r>
          <w:rPr>
            <w:rFonts w:ascii="Times New Roman" w:cs="Times New Roman" w:eastAsia="Times New Roman" w:hAnsi="Times New Roman"/>
            <w:sz w:val="15"/>
            <w:szCs w:val="15"/>
            <w:color w:val="000000"/>
          </w:rPr>
          <w:t>,</w:t>
        </w:r>
      </w:hyperlink>
      <w:r>
        <w:rPr>
          <w:rFonts w:ascii="Times New Roman" w:cs="Times New Roman" w:eastAsia="Times New Roman" w:hAnsi="Times New Roman"/>
          <w:sz w:val="15"/>
          <w:szCs w:val="15"/>
          <w:color w:val="0000EE"/>
        </w:rPr>
        <w:t xml:space="preserve"> </w:t>
      </w:r>
      <w:hyperlink r:id="rId74">
        <w:r>
          <w:rPr>
            <w:rFonts w:ascii="Times New Roman" w:cs="Times New Roman" w:eastAsia="Times New Roman" w:hAnsi="Times New Roman"/>
            <w:sz w:val="15"/>
            <w:szCs w:val="15"/>
            <w:u w:val="single" w:color="auto"/>
            <w:color w:val="0000EE"/>
          </w:rPr>
          <w:t>May 12,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75">
        <w:r>
          <w:rPr>
            <w:rFonts w:ascii="Times New Roman" w:cs="Times New Roman" w:eastAsia="Times New Roman" w:hAnsi="Times New Roman"/>
            <w:sz w:val="15"/>
            <w:szCs w:val="15"/>
            <w:u w:val="single" w:color="auto"/>
            <w:color w:val="0000EE"/>
          </w:rPr>
          <w:t>May 15,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76">
        <w:r>
          <w:rPr>
            <w:rFonts w:ascii="Times New Roman" w:cs="Times New Roman" w:eastAsia="Times New Roman" w:hAnsi="Times New Roman"/>
            <w:sz w:val="15"/>
            <w:szCs w:val="15"/>
            <w:u w:val="single" w:color="auto"/>
            <w:color w:val="0000EE"/>
          </w:rPr>
          <w:t>May 20,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77">
        <w:r>
          <w:rPr>
            <w:rFonts w:ascii="Times New Roman" w:cs="Times New Roman" w:eastAsia="Times New Roman" w:hAnsi="Times New Roman"/>
            <w:sz w:val="15"/>
            <w:szCs w:val="15"/>
            <w:u w:val="single" w:color="auto"/>
            <w:color w:val="0000EE"/>
          </w:rPr>
          <w:t>June 26,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78">
        <w:r>
          <w:rPr>
            <w:rFonts w:ascii="Times New Roman" w:cs="Times New Roman" w:eastAsia="Times New Roman" w:hAnsi="Times New Roman"/>
            <w:sz w:val="15"/>
            <w:szCs w:val="15"/>
            <w:u w:val="single" w:color="auto"/>
            <w:color w:val="0000EE"/>
          </w:rPr>
          <w:t>July 2,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79">
        <w:r>
          <w:rPr>
            <w:rFonts w:ascii="Times New Roman" w:cs="Times New Roman" w:eastAsia="Times New Roman" w:hAnsi="Times New Roman"/>
            <w:sz w:val="15"/>
            <w:szCs w:val="15"/>
            <w:u w:val="single" w:color="auto"/>
            <w:color w:val="0000EE"/>
          </w:rPr>
          <w:t>August 14,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80">
        <w:r>
          <w:rPr>
            <w:rFonts w:ascii="Times New Roman" w:cs="Times New Roman" w:eastAsia="Times New Roman" w:hAnsi="Times New Roman"/>
            <w:sz w:val="15"/>
            <w:szCs w:val="15"/>
            <w:u w:val="single" w:color="auto"/>
            <w:color w:val="0000EE"/>
          </w:rPr>
          <w:t>August 22,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81">
        <w:r>
          <w:rPr>
            <w:rFonts w:ascii="Times New Roman" w:cs="Times New Roman" w:eastAsia="Times New Roman" w:hAnsi="Times New Roman"/>
            <w:sz w:val="15"/>
            <w:szCs w:val="15"/>
            <w:u w:val="single" w:color="auto"/>
            <w:color w:val="0000EE"/>
          </w:rPr>
          <w:t>September 24,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82">
        <w:r>
          <w:rPr>
            <w:rFonts w:ascii="Times New Roman" w:cs="Times New Roman" w:eastAsia="Times New Roman" w:hAnsi="Times New Roman"/>
            <w:sz w:val="15"/>
            <w:szCs w:val="15"/>
            <w:u w:val="single" w:color="auto"/>
            <w:color w:val="0000EE"/>
          </w:rPr>
          <w:t>October 6,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83">
        <w:r>
          <w:rPr>
            <w:rFonts w:ascii="Times New Roman" w:cs="Times New Roman" w:eastAsia="Times New Roman" w:hAnsi="Times New Roman"/>
            <w:sz w:val="15"/>
            <w:szCs w:val="15"/>
            <w:u w:val="single" w:color="auto"/>
            <w:color w:val="0000EE"/>
          </w:rPr>
          <w:t xml:space="preserve">October 30, 2025 </w:t>
        </w:r>
      </w:hyperlink>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r:id="rId84">
        <w:r>
          <w:rPr>
            <w:rFonts w:ascii="Times New Roman" w:cs="Times New Roman" w:eastAsia="Times New Roman" w:hAnsi="Times New Roman"/>
            <w:sz w:val="15"/>
            <w:szCs w:val="15"/>
            <w:u w:val="single" w:color="auto"/>
            <w:color w:val="0000EE"/>
          </w:rPr>
          <w:t>November 6,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p>
    <w:p>
      <w:pPr>
        <w:spacing w:after="0" w:line="75" w:lineRule="exact"/>
        <w:rPr>
          <w:rFonts w:ascii="Times New Roman" w:cs="Times New Roman" w:eastAsia="Times New Roman" w:hAnsi="Times New Roman"/>
          <w:sz w:val="15"/>
          <w:szCs w:val="15"/>
          <w:color w:val="0000EE"/>
        </w:rPr>
      </w:pPr>
    </w:p>
    <w:p>
      <w:pPr>
        <w:ind w:left="1920" w:right="159" w:hanging="354"/>
        <w:spacing w:after="0" w:line="260" w:lineRule="auto"/>
        <w:tabs>
          <w:tab w:leader="none" w:pos="1920" w:val="left"/>
        </w:tabs>
        <w:numPr>
          <w:ilvl w:val="0"/>
          <w:numId w:val="23"/>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the description of our common stock contained in our Registration Statement on </w:t>
      </w:r>
      <w:hyperlink r:id="rId85">
        <w:r>
          <w:rPr>
            <w:rFonts w:ascii="Times New Roman" w:cs="Times New Roman" w:eastAsia="Times New Roman" w:hAnsi="Times New Roman"/>
            <w:sz w:val="15"/>
            <w:szCs w:val="15"/>
            <w:u w:val="single" w:color="auto"/>
            <w:color w:val="0000EE"/>
          </w:rPr>
          <w:t>Form 8-A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filed on August 3, 2021, as updated by </w:t>
      </w:r>
      <w:hyperlink r:id="rId86">
        <w:r>
          <w:rPr>
            <w:rFonts w:ascii="Times New Roman" w:cs="Times New Roman" w:eastAsia="Times New Roman" w:hAnsi="Times New Roman"/>
            <w:sz w:val="15"/>
            <w:szCs w:val="15"/>
            <w:u w:val="single" w:color="auto"/>
            <w:color w:val="0000EE"/>
          </w:rPr>
          <w:t>Exhibit 4.2</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to</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our Annual Report on Form 10-K for the fiscal year ended December 31, 2023, including any amendments or reports filed</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for the purpose of updating such description.</w:t>
      </w:r>
    </w:p>
    <w:p>
      <w:pPr>
        <w:spacing w:after="0" w:line="149" w:lineRule="exact"/>
        <w:rPr>
          <w:rFonts w:ascii="Times New Roman" w:cs="Times New Roman" w:eastAsia="Times New Roman" w:hAnsi="Times New Roman"/>
          <w:sz w:val="15"/>
          <w:szCs w:val="15"/>
          <w:color w:val="auto"/>
        </w:rPr>
      </w:pPr>
    </w:p>
    <w:p>
      <w:pPr>
        <w:ind w:left="1120"/>
        <w:spacing w:after="0"/>
        <w:rPr>
          <w:sz w:val="20"/>
          <w:szCs w:val="20"/>
          <w:color w:val="auto"/>
        </w:rPr>
      </w:pPr>
      <w:r>
        <w:rPr>
          <w:rFonts w:ascii="Times New Roman" w:cs="Times New Roman" w:eastAsia="Times New Roman" w:hAnsi="Times New Roman"/>
          <w:sz w:val="15"/>
          <w:szCs w:val="15"/>
          <w:color w:val="auto"/>
        </w:rPr>
        <w:t>To obtain copies of these filings, see the section entitled “Where You Can Find More Information” on page S-40 of this prospectus supplement.</w:t>
      </w:r>
    </w:p>
    <w:p>
      <w:pPr>
        <w:spacing w:after="0" w:line="127" w:lineRule="exact"/>
        <w:rPr>
          <w:rFonts w:ascii="Times New Roman" w:cs="Times New Roman" w:eastAsia="Times New Roman" w:hAnsi="Times New Roman"/>
          <w:sz w:val="15"/>
          <w:szCs w:val="15"/>
          <w:color w:val="auto"/>
        </w:rPr>
      </w:pPr>
    </w:p>
    <w:p>
      <w:pPr>
        <w:ind w:left="5500"/>
        <w:spacing w:after="0"/>
        <w:rPr>
          <w:sz w:val="20"/>
          <w:szCs w:val="20"/>
          <w:color w:val="auto"/>
        </w:rPr>
      </w:pPr>
      <w:r>
        <w:rPr>
          <w:rFonts w:ascii="Times New Roman" w:cs="Times New Roman" w:eastAsia="Times New Roman" w:hAnsi="Times New Roman"/>
          <w:sz w:val="15"/>
          <w:szCs w:val="15"/>
          <w:color w:val="auto"/>
        </w:rPr>
        <w:t>S-41</w:t>
      </w:r>
    </w:p>
    <w:p>
      <w:pPr>
        <w:sectPr>
          <w:pgSz w:w="11900" w:h="16838" w:orient="portrait"/>
          <w:cols w:equalWidth="0" w:num="1">
            <w:col w:w="10159"/>
          </w:cols>
          <w:pgMar w:left="300" w:top="40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0" w:lineRule="exact"/>
        <w:rPr>
          <w:sz w:val="20"/>
          <w:szCs w:val="20"/>
          <w:color w:val="auto"/>
        </w:rPr>
      </w:pPr>
    </w:p>
    <w:p>
      <w:pPr>
        <w:spacing w:after="0" w:line="2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76835</wp:posOffset>
            </wp:positionV>
            <wp:extent cx="4018280" cy="591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401828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4"/>
          <w:szCs w:val="24"/>
          <w:b w:val="1"/>
          <w:bCs w:val="1"/>
          <w:color w:val="auto"/>
        </w:rPr>
        <w:t>$400,000,000</w:t>
      </w:r>
    </w:p>
    <w:p>
      <w:pPr>
        <w:spacing w:after="0" w:line="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125730</wp:posOffset>
            </wp:positionV>
            <wp:extent cx="12033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We may offer to the public from time to time in one or more series or issuances and on terms that we will determine at the time of the offering:</w:t>
      </w:r>
    </w:p>
    <w:p>
      <w:pPr>
        <w:spacing w:after="0" w:line="116" w:lineRule="exact"/>
        <w:rPr>
          <w:sz w:val="20"/>
          <w:szCs w:val="20"/>
          <w:color w:val="auto"/>
        </w:rPr>
      </w:pPr>
    </w:p>
    <w:p>
      <w:pPr>
        <w:ind w:left="1840" w:hanging="274"/>
        <w:spacing w:after="0"/>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common stock;</w:t>
      </w:r>
    </w:p>
    <w:p>
      <w:pPr>
        <w:spacing w:after="0" w:line="116" w:lineRule="exact"/>
        <w:rPr>
          <w:rFonts w:ascii="Times New Roman" w:cs="Times New Roman" w:eastAsia="Times New Roman" w:hAnsi="Times New Roman"/>
          <w:sz w:val="13"/>
          <w:szCs w:val="13"/>
          <w:color w:val="auto"/>
        </w:rPr>
      </w:pPr>
    </w:p>
    <w:p>
      <w:pPr>
        <w:ind w:left="1840" w:hanging="274"/>
        <w:spacing w:after="0"/>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preferred stock;</w:t>
      </w:r>
    </w:p>
    <w:p>
      <w:pPr>
        <w:spacing w:after="0" w:line="116" w:lineRule="exact"/>
        <w:rPr>
          <w:rFonts w:ascii="Times New Roman" w:cs="Times New Roman" w:eastAsia="Times New Roman" w:hAnsi="Times New Roman"/>
          <w:sz w:val="13"/>
          <w:szCs w:val="13"/>
          <w:color w:val="auto"/>
        </w:rPr>
      </w:pPr>
    </w:p>
    <w:p>
      <w:pPr>
        <w:ind w:left="1840" w:hanging="274"/>
        <w:spacing w:after="0"/>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to purchase shares of our common stock, preferred stock and/or debt securities;</w:t>
      </w:r>
    </w:p>
    <w:p>
      <w:pPr>
        <w:spacing w:after="0" w:line="116" w:lineRule="exact"/>
        <w:rPr>
          <w:rFonts w:ascii="Times New Roman" w:cs="Times New Roman" w:eastAsia="Times New Roman" w:hAnsi="Times New Roman"/>
          <w:sz w:val="13"/>
          <w:szCs w:val="13"/>
          <w:color w:val="auto"/>
        </w:rPr>
      </w:pPr>
    </w:p>
    <w:p>
      <w:pPr>
        <w:ind w:left="1840" w:hanging="274"/>
        <w:spacing w:after="0"/>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securities consisting of debentures, notes or other evidences of indebtedness;</w:t>
      </w:r>
    </w:p>
    <w:p>
      <w:pPr>
        <w:spacing w:after="0" w:line="116" w:lineRule="exact"/>
        <w:rPr>
          <w:rFonts w:ascii="Times New Roman" w:cs="Times New Roman" w:eastAsia="Times New Roman" w:hAnsi="Times New Roman"/>
          <w:sz w:val="13"/>
          <w:szCs w:val="13"/>
          <w:color w:val="auto"/>
        </w:rPr>
      </w:pPr>
    </w:p>
    <w:p>
      <w:pPr>
        <w:ind w:left="1840" w:hanging="274"/>
        <w:spacing w:after="0"/>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consisting of a combination of the foregoing securities; or</w:t>
      </w:r>
    </w:p>
    <w:p>
      <w:pPr>
        <w:spacing w:after="0" w:line="116" w:lineRule="exact"/>
        <w:rPr>
          <w:rFonts w:ascii="Times New Roman" w:cs="Times New Roman" w:eastAsia="Times New Roman" w:hAnsi="Times New Roman"/>
          <w:sz w:val="13"/>
          <w:szCs w:val="13"/>
          <w:color w:val="auto"/>
        </w:rPr>
      </w:pPr>
    </w:p>
    <w:p>
      <w:pPr>
        <w:ind w:left="1840" w:hanging="274"/>
        <w:spacing w:after="0"/>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combination of these securities.</w:t>
      </w:r>
    </w:p>
    <w:p>
      <w:pPr>
        <w:spacing w:after="0" w:line="10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The aggregate initial offering price of all securities sold by us pursuant to this prospectus will not exceed $400,000,000.</w:t>
      </w:r>
    </w:p>
    <w:p>
      <w:pPr>
        <w:spacing w:after="0" w:line="105" w:lineRule="exact"/>
        <w:rPr>
          <w:sz w:val="20"/>
          <w:szCs w:val="20"/>
          <w:color w:val="auto"/>
        </w:rPr>
      </w:pPr>
    </w:p>
    <w:p>
      <w:pPr>
        <w:ind w:left="1120" w:right="99" w:firstLine="362"/>
        <w:spacing w:after="0" w:line="285" w:lineRule="auto"/>
        <w:rPr>
          <w:sz w:val="20"/>
          <w:szCs w:val="20"/>
          <w:color w:val="auto"/>
        </w:rPr>
      </w:pPr>
      <w:r>
        <w:rPr>
          <w:rFonts w:ascii="Times New Roman" w:cs="Times New Roman" w:eastAsia="Times New Roman" w:hAnsi="Times New Roman"/>
          <w:sz w:val="13"/>
          <w:szCs w:val="13"/>
          <w:color w:val="auto"/>
        </w:rPr>
        <w:t>This prospectus provides a general description of the securities that we may offer. Each time that we offer securities under this prospectus, we will provide the specific terms of the securities offered, including the public offering price, in a supplement to this prospectus. Any prospectus supplement may add to, update or change information contained or incorporated by reference in this prospectus.</w:t>
      </w:r>
    </w:p>
    <w:p>
      <w:pPr>
        <w:spacing w:after="0" w:line="55" w:lineRule="exact"/>
        <w:rPr>
          <w:sz w:val="20"/>
          <w:szCs w:val="20"/>
          <w:color w:val="auto"/>
        </w:rPr>
      </w:pPr>
    </w:p>
    <w:p>
      <w:pPr>
        <w:ind w:left="1120" w:right="399" w:firstLine="362"/>
        <w:spacing w:after="0" w:line="279" w:lineRule="auto"/>
        <w:rPr>
          <w:sz w:val="20"/>
          <w:szCs w:val="20"/>
          <w:color w:val="auto"/>
        </w:rPr>
      </w:pPr>
      <w:r>
        <w:rPr>
          <w:rFonts w:ascii="Times New Roman" w:cs="Times New Roman" w:eastAsia="Times New Roman" w:hAnsi="Times New Roman"/>
          <w:sz w:val="13"/>
          <w:szCs w:val="13"/>
          <w:color w:val="auto"/>
        </w:rPr>
        <w:t>The securities may be sold by us to or through underwriters or dealers, directly to purchasers or through agents designated from time to time. For additional information on the methods of sale, you should refer to the section entitled “Plan of Distribution” in this prospectus and the comparable section of any applicable prospectus supplement. If any underwriters are involved in the sale of the securities with respect to which this prospectus is being delivered, the names of such underwriters and any applicable discounts, commissions and purchase options will be set forth in the applicable prospectus supplement.</w:t>
      </w:r>
    </w:p>
    <w:p>
      <w:pPr>
        <w:spacing w:after="0" w:line="58" w:lineRule="exact"/>
        <w:rPr>
          <w:sz w:val="20"/>
          <w:szCs w:val="20"/>
          <w:color w:val="auto"/>
        </w:rPr>
      </w:pPr>
    </w:p>
    <w:p>
      <w:pPr>
        <w:ind w:left="1120" w:right="99" w:firstLine="362"/>
        <w:spacing w:after="0" w:line="279" w:lineRule="auto"/>
        <w:rPr>
          <w:sz w:val="20"/>
          <w:szCs w:val="20"/>
          <w:color w:val="auto"/>
        </w:rPr>
      </w:pPr>
      <w:r>
        <w:rPr>
          <w:rFonts w:ascii="Times New Roman" w:cs="Times New Roman" w:eastAsia="Times New Roman" w:hAnsi="Times New Roman"/>
          <w:sz w:val="13"/>
          <w:szCs w:val="13"/>
          <w:color w:val="auto"/>
        </w:rPr>
        <w:t>Our common stock trades on the Nasdaq Global Market under the ticker symbol “IVVD”. On September 27, 2022, the last reported sale price per share of our common stock was $3.10. We have not yet determined whether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those securities will be listed.</w:t>
      </w:r>
    </w:p>
    <w:p>
      <w:pPr>
        <w:spacing w:after="0" w:line="58" w:lineRule="exact"/>
        <w:rPr>
          <w:sz w:val="20"/>
          <w:szCs w:val="20"/>
          <w:color w:val="auto"/>
        </w:rPr>
      </w:pPr>
    </w:p>
    <w:p>
      <w:pPr>
        <w:ind w:left="1120" w:right="39" w:firstLine="362"/>
        <w:spacing w:after="0" w:line="285" w:lineRule="auto"/>
        <w:rPr>
          <w:sz w:val="20"/>
          <w:szCs w:val="20"/>
          <w:color w:val="auto"/>
        </w:rPr>
      </w:pPr>
      <w:r>
        <w:rPr>
          <w:rFonts w:ascii="Times New Roman" w:cs="Times New Roman" w:eastAsia="Times New Roman" w:hAnsi="Times New Roman"/>
          <w:sz w:val="13"/>
          <w:szCs w:val="13"/>
          <w:color w:val="auto"/>
        </w:rPr>
        <w:t>We are an “emerging growth company” as defined by the Jumpstart Our Business Startups Act of 2012 and, as such, we are subject to reduced public company reporting requirements for this prospectus and future filings. Refer to the section entitled “Implications of Being an Emerging Growth Company” beginning on page 4 of this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104775</wp:posOffset>
            </wp:positionV>
            <wp:extent cx="12033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28" w:lineRule="exact"/>
        <w:rPr>
          <w:sz w:val="20"/>
          <w:szCs w:val="20"/>
          <w:color w:val="auto"/>
        </w:rPr>
      </w:pPr>
    </w:p>
    <w:p>
      <w:pPr>
        <w:ind w:left="1120" w:right="239" w:firstLine="362"/>
        <w:spacing w:after="0" w:line="256" w:lineRule="auto"/>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RISKS ASSOCIATED WITH AN INVESTMENT IN OUR SECURITIES WILL BE DESCRIBED IN THE APPLICABLE PROSPECTUS SUPPLEMENT AND CERTAIN OF OUR FILINGS WITH THE SECURITIES AND EXCHANGE COMMISSION INCORPORATED BY REFERENCE INTO THIS PROSPECTUS, AS DESCRIBED UNDER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ON PAGE 6.</w:t>
      </w:r>
    </w:p>
    <w:p>
      <w:pPr>
        <w:spacing w:after="0" w:line="66" w:lineRule="exact"/>
        <w:rPr>
          <w:sz w:val="20"/>
          <w:szCs w:val="20"/>
          <w:color w:val="auto"/>
        </w:rPr>
      </w:pPr>
    </w:p>
    <w:p>
      <w:pPr>
        <w:ind w:left="1120" w:right="179" w:firstLine="362"/>
        <w:spacing w:after="0" w:line="307" w:lineRule="auto"/>
        <w:rPr>
          <w:sz w:val="20"/>
          <w:szCs w:val="20"/>
          <w:color w:val="auto"/>
        </w:rPr>
      </w:pPr>
      <w:r>
        <w:rPr>
          <w:rFonts w:ascii="Times New Roman" w:cs="Times New Roman" w:eastAsia="Times New Roman" w:hAnsi="Times New Roman"/>
          <w:sz w:val="13"/>
          <w:szCs w:val="13"/>
          <w:b w:val="1"/>
          <w:bCs w:val="1"/>
          <w:color w:val="auto"/>
        </w:rPr>
        <w:t>You should read this prospectus and any applicable prospectus supplement together with additional information described under the heading “Where You Can Find More Information” before you make your investment decision.</w:t>
      </w:r>
    </w:p>
    <w:p>
      <w:pPr>
        <w:spacing w:after="0" w:line="39" w:lineRule="exact"/>
        <w:rPr>
          <w:sz w:val="20"/>
          <w:szCs w:val="20"/>
          <w:color w:val="auto"/>
        </w:rPr>
      </w:pPr>
    </w:p>
    <w:p>
      <w:pPr>
        <w:ind w:left="1120" w:right="179" w:firstLine="362"/>
        <w:spacing w:after="0" w:line="307"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95885</wp:posOffset>
            </wp:positionV>
            <wp:extent cx="12033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The date of this prospectus is October 5, 2022</w:t>
      </w:r>
    </w:p>
    <w:p>
      <w:pPr>
        <w:sectPr>
          <w:pgSz w:w="11900" w:h="16838" w:orient="portrait"/>
          <w:cols w:equalWidth="0" w:num="1">
            <w:col w:w="10159"/>
          </w:cols>
          <w:pgMar w:left="300" w:top="40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60" w:type="dxa"/>
            <w:vAlign w:val="bottom"/>
            <w:gridSpan w:val="3"/>
          </w:tcPr>
          <w:p>
            <w:pPr>
              <w:jc w:val="right"/>
              <w:ind w:right="3617"/>
              <w:spacing w:after="0"/>
              <w:rPr>
                <w:sz w:val="20"/>
                <w:szCs w:val="20"/>
                <w:color w:val="auto"/>
              </w:rPr>
            </w:pPr>
            <w:r>
              <w:rPr>
                <w:rFonts w:ascii="Times New Roman" w:cs="Times New Roman" w:eastAsia="Times New Roman" w:hAnsi="Times New Roman"/>
                <w:sz w:val="15"/>
                <w:szCs w:val="15"/>
                <w:b w:val="1"/>
                <w:bCs w:val="1"/>
                <w:color w:val="auto"/>
                <w:w w:val="96"/>
              </w:rPr>
              <w:t>TABLE OF CONTENTS</w:t>
            </w:r>
          </w:p>
        </w:tc>
        <w:tc>
          <w:tcPr>
            <w:tcW w:w="0" w:type="dxa"/>
            <w:vAlign w:val="bottom"/>
          </w:tcPr>
          <w:p>
            <w:pPr>
              <w:spacing w:after="0"/>
              <w:rPr>
                <w:sz w:val="1"/>
                <w:szCs w:val="1"/>
                <w:color w:val="auto"/>
              </w:rPr>
            </w:pPr>
          </w:p>
        </w:tc>
      </w:tr>
      <w:tr>
        <w:trPr>
          <w:trHeight w:val="335"/>
        </w:trPr>
        <w:tc>
          <w:tcPr>
            <w:tcW w:w="184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color w:val="0000EE"/>
                <w:w w:val="97"/>
              </w:rPr>
              <w:t>ABOUT THIS PROSPECTUS</w:t>
            </w:r>
          </w:p>
        </w:tc>
        <w:tc>
          <w:tcPr>
            <w:tcW w:w="1900" w:type="dxa"/>
            <w:vAlign w:val="bottom"/>
            <w:gridSpan w:val="9"/>
            <w:vMerge w:val="restart"/>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29"/>
        </w:trPr>
        <w:tc>
          <w:tcPr>
            <w:tcW w:w="1840" w:type="dxa"/>
            <w:vAlign w:val="bottom"/>
            <w:tcBorders>
              <w:bottom w:val="single" w:sz="8" w:color="0000EE"/>
            </w:tcBorders>
            <w:gridSpan w:val="7"/>
            <w:vMerge w:val="continue"/>
          </w:tcPr>
          <w:p>
            <w:pPr>
              <w:spacing w:after="0"/>
              <w:rPr>
                <w:sz w:val="10"/>
                <w:szCs w:val="10"/>
                <w:color w:val="auto"/>
              </w:rPr>
            </w:pPr>
          </w:p>
        </w:tc>
        <w:tc>
          <w:tcPr>
            <w:tcW w:w="1900" w:type="dxa"/>
            <w:vAlign w:val="bottom"/>
            <w:gridSpan w:val="9"/>
            <w:vMerge w:val="continue"/>
          </w:tcPr>
          <w:p>
            <w:pPr>
              <w:spacing w:after="0"/>
              <w:rPr>
                <w:sz w:val="10"/>
                <w:szCs w:val="10"/>
                <w:color w:val="auto"/>
              </w:rPr>
            </w:pPr>
          </w:p>
        </w:tc>
        <w:tc>
          <w:tcPr>
            <w:tcW w:w="15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ii</w:t>
            </w:r>
          </w:p>
        </w:tc>
        <w:tc>
          <w:tcPr>
            <w:tcW w:w="0" w:type="dxa"/>
            <w:vAlign w:val="bottom"/>
          </w:tcPr>
          <w:p>
            <w:pPr>
              <w:spacing w:after="0"/>
              <w:rPr>
                <w:sz w:val="1"/>
                <w:szCs w:val="1"/>
                <w:color w:val="auto"/>
              </w:rPr>
            </w:pPr>
          </w:p>
        </w:tc>
      </w:tr>
      <w:tr>
        <w:trPr>
          <w:trHeight w:val="168"/>
        </w:trPr>
        <w:tc>
          <w:tcPr>
            <w:tcW w:w="3740" w:type="dxa"/>
            <w:vAlign w:val="bottom"/>
            <w:gridSpan w:val="16"/>
          </w:tcPr>
          <w:p>
            <w:pPr>
              <w:spacing w:after="0" w:line="169" w:lineRule="exact"/>
              <w:rPr>
                <w:sz w:val="20"/>
                <w:szCs w:val="20"/>
                <w:color w:val="auto"/>
              </w:rPr>
            </w:pPr>
            <w:r>
              <w:rPr>
                <w:rFonts w:ascii="Times New Roman" w:cs="Times New Roman" w:eastAsia="Times New Roman" w:hAnsi="Times New Roman"/>
                <w:sz w:val="15"/>
                <w:szCs w:val="15"/>
                <w:color w:val="0000EE"/>
              </w:rPr>
              <w:t>FORWARD-LOOKING STATEMENTS</w:t>
            </w:r>
          </w:p>
        </w:tc>
        <w:tc>
          <w:tcPr>
            <w:tcW w:w="526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740" w:type="dxa"/>
            <w:vAlign w:val="bottom"/>
            <w:tcBorders>
              <w:bottom w:val="single" w:sz="8" w:color="0000EE"/>
            </w:tcBorders>
            <w:gridSpan w:val="10"/>
          </w:tcPr>
          <w:p>
            <w:pPr>
              <w:spacing w:after="0" w:line="157" w:lineRule="exact"/>
              <w:rPr>
                <w:sz w:val="20"/>
                <w:szCs w:val="20"/>
                <w:color w:val="auto"/>
              </w:rPr>
            </w:pPr>
            <w:r>
              <w:rPr>
                <w:rFonts w:ascii="Times New Roman" w:cs="Times New Roman" w:eastAsia="Times New Roman" w:hAnsi="Times New Roman"/>
                <w:sz w:val="15"/>
                <w:szCs w:val="15"/>
                <w:color w:val="0000EE"/>
                <w:w w:val="96"/>
              </w:rPr>
              <w:t>MARKET, INDUSTRY AND OTHER DATA</w:t>
            </w:r>
          </w:p>
        </w:tc>
        <w:tc>
          <w:tcPr>
            <w:tcW w:w="1000" w:type="dxa"/>
            <w:vAlign w:val="bottom"/>
            <w:gridSpan w:val="6"/>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57"/>
        </w:trPr>
        <w:tc>
          <w:tcPr>
            <w:tcW w:w="760" w:type="dxa"/>
            <w:vAlign w:val="bottom"/>
            <w:tcBorders>
              <w:bottom w:val="single" w:sz="8" w:color="0000EE"/>
            </w:tcBorders>
            <w:gridSpan w:val="2"/>
          </w:tcPr>
          <w:p>
            <w:pPr>
              <w:spacing w:after="0" w:line="157" w:lineRule="exact"/>
              <w:rPr>
                <w:sz w:val="20"/>
                <w:szCs w:val="20"/>
                <w:color w:val="auto"/>
              </w:rPr>
            </w:pPr>
            <w:r>
              <w:rPr>
                <w:rFonts w:ascii="Times New Roman" w:cs="Times New Roman" w:eastAsia="Times New Roman" w:hAnsi="Times New Roman"/>
                <w:sz w:val="15"/>
                <w:szCs w:val="15"/>
                <w:color w:val="0000EE"/>
                <w:w w:val="95"/>
              </w:rPr>
              <w:t>SUMMARY</w:t>
            </w:r>
          </w:p>
        </w:tc>
        <w:tc>
          <w:tcPr>
            <w:tcW w:w="2980" w:type="dxa"/>
            <w:vAlign w:val="bottom"/>
            <w:gridSpan w:val="14"/>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57"/>
        </w:trPr>
        <w:tc>
          <w:tcPr>
            <w:tcW w:w="3740" w:type="dxa"/>
            <w:vAlign w:val="bottom"/>
            <w:gridSpan w:val="16"/>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tcBorders>
              <w:bottom w:val="single" w:sz="8" w:color="0000EE"/>
            </w:tcBorders>
            <w:gridSpan w:val="5"/>
          </w:tcPr>
          <w:p>
            <w:pPr>
              <w:spacing w:after="0" w:line="157" w:lineRule="exact"/>
              <w:rPr>
                <w:sz w:val="20"/>
                <w:szCs w:val="20"/>
                <w:color w:val="auto"/>
              </w:rPr>
            </w:pPr>
            <w:r>
              <w:rPr>
                <w:rFonts w:ascii="Times New Roman" w:cs="Times New Roman" w:eastAsia="Times New Roman" w:hAnsi="Times New Roman"/>
                <w:sz w:val="15"/>
                <w:szCs w:val="15"/>
                <w:color w:val="0000EE"/>
                <w:w w:val="97"/>
              </w:rPr>
              <w:t>USE OF PROCEEDS</w:t>
            </w:r>
          </w:p>
        </w:tc>
        <w:tc>
          <w:tcPr>
            <w:tcW w:w="2440" w:type="dxa"/>
            <w:vAlign w:val="bottom"/>
            <w:gridSpan w:val="11"/>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57"/>
        </w:trPr>
        <w:tc>
          <w:tcPr>
            <w:tcW w:w="3740" w:type="dxa"/>
            <w:vAlign w:val="bottom"/>
            <w:gridSpan w:val="16"/>
          </w:tcPr>
          <w:p>
            <w:pPr>
              <w:spacing w:after="0" w:line="157" w:lineRule="exact"/>
              <w:rPr>
                <w:sz w:val="20"/>
                <w:szCs w:val="20"/>
                <w:color w:val="auto"/>
              </w:rPr>
            </w:pPr>
            <w:r>
              <w:rPr>
                <w:rFonts w:ascii="Times New Roman" w:cs="Times New Roman" w:eastAsia="Times New Roman" w:hAnsi="Times New Roman"/>
                <w:sz w:val="15"/>
                <w:szCs w:val="15"/>
                <w:color w:val="0000EE"/>
              </w:rPr>
              <w:t>PLAN OF DISTRIBUTION</w:t>
            </w: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tcBorders>
              <w:bottom w:val="single" w:sz="8" w:color="0000EE"/>
            </w:tcBorders>
            <w:gridSpan w:val="15"/>
          </w:tcPr>
          <w:p>
            <w:pPr>
              <w:spacing w:after="0" w:line="157" w:lineRule="exact"/>
              <w:rPr>
                <w:sz w:val="20"/>
                <w:szCs w:val="20"/>
                <w:color w:val="auto"/>
              </w:rPr>
            </w:pPr>
            <w:r>
              <w:rPr>
                <w:rFonts w:ascii="Times New Roman" w:cs="Times New Roman" w:eastAsia="Times New Roman" w:hAnsi="Times New Roman"/>
                <w:sz w:val="15"/>
                <w:szCs w:val="15"/>
                <w:color w:val="0000EE"/>
                <w:w w:val="98"/>
              </w:rPr>
              <w:t>GENERAL DESCRIPTION OF OUR SECURITIES</w:t>
            </w:r>
          </w:p>
        </w:tc>
        <w:tc>
          <w:tcPr>
            <w:tcW w:w="580" w:type="dxa"/>
            <w:vAlign w:val="bottom"/>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7"/>
        </w:trPr>
        <w:tc>
          <w:tcPr>
            <w:tcW w:w="2780" w:type="dxa"/>
            <w:vAlign w:val="bottom"/>
            <w:tcBorders>
              <w:bottom w:val="single" w:sz="8" w:color="0000EE"/>
            </w:tcBorders>
            <w:gridSpan w:val="11"/>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OUR COMMON STOCK</w:t>
            </w:r>
          </w:p>
        </w:tc>
        <w:tc>
          <w:tcPr>
            <w:tcW w:w="960" w:type="dxa"/>
            <w:vAlign w:val="bottom"/>
            <w:gridSpan w:val="5"/>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57"/>
        </w:trPr>
        <w:tc>
          <w:tcPr>
            <w:tcW w:w="3740" w:type="dxa"/>
            <w:vAlign w:val="bottom"/>
            <w:gridSpan w:val="16"/>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PREFERRED STOCK</w:t>
            </w: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57"/>
        </w:trPr>
        <w:tc>
          <w:tcPr>
            <w:tcW w:w="2920" w:type="dxa"/>
            <w:vAlign w:val="bottom"/>
            <w:tcBorders>
              <w:top w:val="single" w:sz="8" w:color="0000EE"/>
            </w:tcBorders>
            <w:gridSpan w:val="13"/>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WARRANTS</w:t>
            </w:r>
          </w:p>
        </w:tc>
        <w:tc>
          <w:tcPr>
            <w:tcW w:w="820" w:type="dxa"/>
            <w:vAlign w:val="bottom"/>
            <w:gridSpan w:val="3"/>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40" w:type="dxa"/>
            <w:vAlign w:val="bottom"/>
            <w:tcBorders>
              <w:bottom w:val="single" w:sz="8" w:color="0000EE"/>
            </w:tcBorders>
            <w:gridSpan w:val="12"/>
          </w:tcPr>
          <w:p>
            <w:pPr>
              <w:spacing w:after="0" w:line="157" w:lineRule="exact"/>
              <w:rPr>
                <w:sz w:val="20"/>
                <w:szCs w:val="20"/>
                <w:color w:val="auto"/>
              </w:rPr>
            </w:pPr>
            <w:r>
              <w:rPr>
                <w:rFonts w:ascii="Times New Roman" w:cs="Times New Roman" w:eastAsia="Times New Roman" w:hAnsi="Times New Roman"/>
                <w:sz w:val="15"/>
                <w:szCs w:val="15"/>
                <w:color w:val="0000EE"/>
                <w:w w:val="98"/>
              </w:rPr>
              <w:t>DESCRIPTION OF OUR DEBT SECURITIES</w:t>
            </w:r>
          </w:p>
        </w:tc>
        <w:tc>
          <w:tcPr>
            <w:tcW w:w="900" w:type="dxa"/>
            <w:vAlign w:val="bottom"/>
            <w:gridSpan w:val="4"/>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57"/>
        </w:trPr>
        <w:tc>
          <w:tcPr>
            <w:tcW w:w="3740" w:type="dxa"/>
            <w:vAlign w:val="bottom"/>
            <w:gridSpan w:val="16"/>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UNITS</w:t>
            </w: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40" w:type="dxa"/>
            <w:vAlign w:val="bottom"/>
            <w:tcBorders>
              <w:bottom w:val="single" w:sz="8" w:color="0000EE"/>
            </w:tcBorders>
            <w:gridSpan w:val="14"/>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600" w:type="dxa"/>
            <w:vAlign w:val="bottom"/>
            <w:gridSpan w:val="2"/>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57"/>
        </w:trPr>
        <w:tc>
          <w:tcPr>
            <w:tcW w:w="2380" w:type="dxa"/>
            <w:vAlign w:val="bottom"/>
            <w:tcBorders>
              <w:bottom w:val="single" w:sz="8" w:color="0000EE"/>
            </w:tcBorders>
            <w:gridSpan w:val="9"/>
          </w:tcPr>
          <w:p>
            <w:pPr>
              <w:spacing w:after="0" w:line="157" w:lineRule="exact"/>
              <w:rPr>
                <w:sz w:val="20"/>
                <w:szCs w:val="20"/>
                <w:color w:val="auto"/>
              </w:rPr>
            </w:pPr>
            <w:r>
              <w:rPr>
                <w:rFonts w:ascii="Times New Roman" w:cs="Times New Roman" w:eastAsia="Times New Roman" w:hAnsi="Times New Roman"/>
                <w:sz w:val="15"/>
                <w:szCs w:val="15"/>
                <w:color w:val="0000EE"/>
                <w:w w:val="98"/>
              </w:rPr>
              <w:t>INCORPORATION BY REFERENCE</w:t>
            </w:r>
          </w:p>
        </w:tc>
        <w:tc>
          <w:tcPr>
            <w:tcW w:w="1360" w:type="dxa"/>
            <w:vAlign w:val="bottom"/>
            <w:gridSpan w:val="7"/>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5"/>
                <w:szCs w:val="15"/>
                <w:color w:val="0000EE"/>
                <w:w w:val="95"/>
              </w:rPr>
              <w:t>LEGAL MATTERS</w:t>
            </w:r>
          </w:p>
        </w:tc>
        <w:tc>
          <w:tcPr>
            <w:tcW w:w="2540" w:type="dxa"/>
            <w:vAlign w:val="bottom"/>
            <w:gridSpan w:val="12"/>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57"/>
        </w:trPr>
        <w:tc>
          <w:tcPr>
            <w:tcW w:w="64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w w:val="95"/>
              </w:rPr>
              <w:t>EXPERTS</w:t>
            </w:r>
          </w:p>
        </w:tc>
        <w:tc>
          <w:tcPr>
            <w:tcW w:w="3100" w:type="dxa"/>
            <w:vAlign w:val="bottom"/>
            <w:gridSpan w:val="15"/>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0159"/>
          </w:cols>
          <w:pgMar w:left="300" w:top="400"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84" w:lineRule="exact"/>
        <w:rPr>
          <w:sz w:val="20"/>
          <w:szCs w:val="20"/>
          <w:color w:val="auto"/>
        </w:rPr>
      </w:pPr>
    </w:p>
    <w:p>
      <w:pPr>
        <w:ind w:left="1120" w:right="99" w:firstLine="362"/>
        <w:spacing w:after="0" w:line="260" w:lineRule="auto"/>
        <w:rPr>
          <w:sz w:val="20"/>
          <w:szCs w:val="20"/>
          <w:color w:val="auto"/>
        </w:rPr>
      </w:pPr>
      <w:r>
        <w:rPr>
          <w:rFonts w:ascii="Times New Roman" w:cs="Times New Roman" w:eastAsia="Times New Roman" w:hAnsi="Times New Roman"/>
          <w:sz w:val="15"/>
          <w:szCs w:val="15"/>
          <w:color w:val="auto"/>
        </w:rPr>
        <w:t>This prospectus is a part of a registration statement on Form S-3 that we filed with the Securities and Exchange Commission, or the SEC, using a “shelf” registration process. Under this shelf registration process, we may offer to sell any of the securities, or any combination of the securities, described in this prospectus, in each case in one or more offerings, up to a total dollar amount of $400,000,000.</w:t>
      </w:r>
    </w:p>
    <w:p>
      <w:pPr>
        <w:spacing w:after="0" w:line="149" w:lineRule="exact"/>
        <w:rPr>
          <w:sz w:val="20"/>
          <w:szCs w:val="20"/>
          <w:color w:val="auto"/>
        </w:rPr>
      </w:pPr>
    </w:p>
    <w:p>
      <w:pPr>
        <w:ind w:left="1120" w:right="19" w:firstLine="362"/>
        <w:spacing w:after="0" w:line="251" w:lineRule="auto"/>
        <w:rPr>
          <w:sz w:val="20"/>
          <w:szCs w:val="20"/>
          <w:color w:val="auto"/>
        </w:rPr>
      </w:pPr>
      <w:r>
        <w:rPr>
          <w:rFonts w:ascii="Times New Roman" w:cs="Times New Roman" w:eastAsia="Times New Roman" w:hAnsi="Times New Roman"/>
          <w:sz w:val="15"/>
          <w:szCs w:val="15"/>
          <w:color w:val="auto"/>
        </w:rPr>
        <w:t>This prospectus provides you only with a general description of the securities that we may offer. Each time securities are sold under this shelf registration statement, we will provide an accompanying prospectus supplement that will contain specific information about the terms of those securities and the terms of that offering. The accompanying prospectus supplement may also add, update or change information contained in this prospectus. If there is any inconsistency between the information in this prospectus and any accompanying prospectus supplement, you should rely on the information in the accompanying prospectus supplement. You should read both this prospectus and any accompanying prospectus supplement, including all documents incorporated by reference herein and therein, together with the additional information described under “Where You Can Find More Information” below.</w:t>
      </w:r>
    </w:p>
    <w:p>
      <w:pPr>
        <w:spacing w:after="0" w:line="156" w:lineRule="exact"/>
        <w:rPr>
          <w:sz w:val="20"/>
          <w:szCs w:val="20"/>
          <w:color w:val="auto"/>
        </w:rPr>
      </w:pPr>
    </w:p>
    <w:p>
      <w:pPr>
        <w:ind w:left="1120" w:right="199" w:firstLine="362"/>
        <w:spacing w:after="0" w:line="260" w:lineRule="auto"/>
        <w:rPr>
          <w:sz w:val="20"/>
          <w:szCs w:val="20"/>
          <w:color w:val="auto"/>
        </w:rPr>
      </w:pPr>
      <w:r>
        <w:rPr>
          <w:rFonts w:ascii="Times New Roman" w:cs="Times New Roman" w:eastAsia="Times New Roman" w:hAnsi="Times New Roman"/>
          <w:sz w:val="15"/>
          <w:szCs w:val="15"/>
          <w:color w:val="auto"/>
        </w:rPr>
        <w:t>The information contained in this prospectus is not complete and may be changed. You should rely only on the information provided in or incorporated by reference in this prospectus or in any accompanying prospectus supplement, or documents to which we otherwise refer you. We have not authorized anyone else to provide you with different information.</w:t>
      </w:r>
    </w:p>
    <w:p>
      <w:pPr>
        <w:spacing w:after="0" w:line="147" w:lineRule="exact"/>
        <w:rPr>
          <w:sz w:val="20"/>
          <w:szCs w:val="20"/>
          <w:color w:val="auto"/>
        </w:rPr>
      </w:pPr>
    </w:p>
    <w:p>
      <w:pPr>
        <w:ind w:left="1120" w:right="79" w:firstLine="362"/>
        <w:spacing w:after="0" w:line="249" w:lineRule="auto"/>
        <w:rPr>
          <w:sz w:val="20"/>
          <w:szCs w:val="20"/>
          <w:color w:val="auto"/>
        </w:rPr>
      </w:pPr>
      <w:r>
        <w:rPr>
          <w:rFonts w:ascii="Times New Roman" w:cs="Times New Roman" w:eastAsia="Times New Roman" w:hAnsi="Times New Roman"/>
          <w:sz w:val="15"/>
          <w:szCs w:val="15"/>
          <w:b w:val="1"/>
          <w:bCs w:val="1"/>
          <w:color w:val="auto"/>
        </w:rPr>
        <w:t>We have not authorized any dealer, agent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63" w:lineRule="exact"/>
        <w:rPr>
          <w:sz w:val="20"/>
          <w:szCs w:val="20"/>
          <w:color w:val="auto"/>
        </w:rPr>
      </w:pPr>
    </w:p>
    <w:p>
      <w:pPr>
        <w:ind w:left="1120" w:right="319" w:firstLine="362"/>
        <w:spacing w:after="0" w:line="273" w:lineRule="auto"/>
        <w:rPr>
          <w:sz w:val="20"/>
          <w:szCs w:val="20"/>
          <w:color w:val="auto"/>
        </w:rPr>
      </w:pPr>
      <w:r>
        <w:rPr>
          <w:rFonts w:ascii="Times New Roman" w:cs="Times New Roman" w:eastAsia="Times New Roman" w:hAnsi="Times New Roman"/>
          <w:sz w:val="15"/>
          <w:szCs w:val="15"/>
          <w:color w:val="auto"/>
        </w:rPr>
        <w:t>References in this prospectus to the terms “the Company,” “Invivyd,” “we,” “our” and “us” or other similar terms mean Invivyd, Inc. and our wholly owned subsidiaries, unless we state otherwise or the context indicates otherwise.</w:t>
      </w:r>
    </w:p>
    <w:p>
      <w:pPr>
        <w:spacing w:after="0" w:line="140" w:lineRule="exact"/>
        <w:rPr>
          <w:sz w:val="20"/>
          <w:szCs w:val="20"/>
          <w:color w:val="auto"/>
        </w:rPr>
      </w:pPr>
    </w:p>
    <w:p>
      <w:pPr>
        <w:jc w:val="both"/>
        <w:ind w:left="1120" w:right="159" w:firstLine="362"/>
        <w:spacing w:after="0" w:line="287" w:lineRule="auto"/>
        <w:rPr>
          <w:sz w:val="20"/>
          <w:szCs w:val="20"/>
          <w:color w:val="auto"/>
        </w:rPr>
      </w:pPr>
      <w:r>
        <w:rPr>
          <w:rFonts w:ascii="Times New Roman" w:cs="Times New Roman" w:eastAsia="Times New Roman" w:hAnsi="Times New Roman"/>
          <w:sz w:val="14"/>
          <w:szCs w:val="14"/>
          <w:color w:val="auto"/>
        </w:rPr>
        <w:t>“Invivyd,” “IVVD” and the Invivyd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3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0159"/>
          </w:cols>
          <w:pgMar w:left="300" w:top="400"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84" w:lineRule="exact"/>
        <w:rPr>
          <w:sz w:val="20"/>
          <w:szCs w:val="20"/>
          <w:color w:val="auto"/>
        </w:rPr>
      </w:pPr>
    </w:p>
    <w:p>
      <w:pPr>
        <w:ind w:left="1120" w:right="40" w:firstLine="362"/>
        <w:spacing w:after="0" w:line="270"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and any prospectus supplement and the documents incorporated therein, may contain forward-looking statements that involve substantial risks and uncertainties. All statements, other than statements of historical facts, included in this prospectus, any prospectus supplement or the documents incorporated herein and therein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“may,” “anticipate,” “believe,” “could,” “expect,” “intends,” “might,” “plan,” “possible,” “potential,” “aim,” “predict,” “project” “should,” “will,” “would” or the negative of these terms or other similar expressions, although not all forward-looking statements contain these identifying terms. The forward-looking statements in this prospectus and the documents incorporated herein by reference include, among other things, statements about:</w:t>
      </w:r>
    </w:p>
    <w:p>
      <w:pPr>
        <w:spacing w:after="0" w:line="69" w:lineRule="exact"/>
        <w:rPr>
          <w:sz w:val="20"/>
          <w:szCs w:val="20"/>
          <w:color w:val="auto"/>
        </w:rPr>
      </w:pPr>
    </w:p>
    <w:p>
      <w:pPr>
        <w:ind w:left="1920" w:hanging="354"/>
        <w:spacing w:after="0" w:line="287" w:lineRule="auto"/>
        <w:tabs>
          <w:tab w:leader="none" w:pos="1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progress and results of our preclinical studies and clinical trials of our current and future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w:t>
      </w:r>
    </w:p>
    <w:p>
      <w:pPr>
        <w:spacing w:after="0" w:line="54" w:lineRule="exact"/>
        <w:rPr>
          <w:rFonts w:ascii="Times New Roman" w:cs="Times New Roman" w:eastAsia="Times New Roman" w:hAnsi="Times New Roman"/>
          <w:sz w:val="14"/>
          <w:szCs w:val="14"/>
          <w:color w:val="auto"/>
        </w:rPr>
      </w:pPr>
    </w:p>
    <w:p>
      <w:pPr>
        <w:ind w:left="1920" w:right="360"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any submission of filings for regulatory approval of, and our ability to obtain and maintain regulatory approvals for, our current and future product candidates;</w:t>
      </w:r>
    </w:p>
    <w:p>
      <w:pPr>
        <w:spacing w:after="0" w:line="61" w:lineRule="exact"/>
        <w:rPr>
          <w:rFonts w:ascii="Times New Roman" w:cs="Times New Roman" w:eastAsia="Times New Roman" w:hAnsi="Times New Roman"/>
          <w:sz w:val="15"/>
          <w:szCs w:val="15"/>
          <w:color w:val="auto"/>
        </w:rPr>
      </w:pPr>
    </w:p>
    <w:p>
      <w:pPr>
        <w:ind w:left="1920" w:right="600"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manufacturing capabilities and strategy, including the scalability and commercial viability of our manufacturing methods and processes;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identify patients with the diseases treated by our product candidates and to enroll these patients in our clinical trials;</w:t>
      </w:r>
    </w:p>
    <w:p>
      <w:pPr>
        <w:spacing w:after="0" w:line="104" w:lineRule="exact"/>
        <w:rPr>
          <w:rFonts w:ascii="Times New Roman" w:cs="Times New Roman" w:eastAsia="Times New Roman" w:hAnsi="Times New Roman"/>
          <w:sz w:val="15"/>
          <w:szCs w:val="15"/>
          <w:color w:val="auto"/>
        </w:rPr>
      </w:pPr>
    </w:p>
    <w:p>
      <w:pPr>
        <w:ind w:left="1920" w:right="300"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size of the patient populations, market acceptance and opportunity for and clinical utility of our product candidates, if approved for commercial use;</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scope of any approved indication for adintrevimab or any other product candidate;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commercialize our product candidates;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leverage technology to identify and develop future product candidates;</w:t>
      </w:r>
    </w:p>
    <w:p>
      <w:pPr>
        <w:spacing w:after="0" w:line="104" w:lineRule="exact"/>
        <w:rPr>
          <w:rFonts w:ascii="Times New Roman" w:cs="Times New Roman" w:eastAsia="Times New Roman" w:hAnsi="Times New Roman"/>
          <w:sz w:val="15"/>
          <w:szCs w:val="15"/>
          <w:color w:val="auto"/>
        </w:rPr>
      </w:pPr>
    </w:p>
    <w:p>
      <w:pPr>
        <w:ind w:left="1920" w:right="80"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our expenses, ongoing losses, future revenue, capital requirements and our need for or ability to obtain additional funding before we can expect to generate any revenue from product sales;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belief regarding the sufficiency of our cash resources to fund our operating expenses and capital expenditure requirements;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competitive position and the development of and projections relating to our competitors or our industry;</w:t>
      </w:r>
    </w:p>
    <w:p>
      <w:pPr>
        <w:spacing w:after="0" w:line="104" w:lineRule="exact"/>
        <w:rPr>
          <w:rFonts w:ascii="Times New Roman" w:cs="Times New Roman" w:eastAsia="Times New Roman" w:hAnsi="Times New Roman"/>
          <w:sz w:val="15"/>
          <w:szCs w:val="15"/>
          <w:color w:val="auto"/>
        </w:rPr>
      </w:pPr>
    </w:p>
    <w:p>
      <w:pPr>
        <w:ind w:left="1920" w:right="120"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disruptions affecting our preclinical studies or the initiation, patient enrollment, development and operation of our clinical trials, including a public health crisis, such as the outbreak of COVID-19; and</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use of proceeds.</w:t>
      </w:r>
    </w:p>
    <w:p>
      <w:pPr>
        <w:spacing w:after="0" w:line="182" w:lineRule="exact"/>
        <w:rPr>
          <w:sz w:val="20"/>
          <w:szCs w:val="20"/>
          <w:color w:val="auto"/>
        </w:rPr>
      </w:pPr>
    </w:p>
    <w:p>
      <w:pPr>
        <w:jc w:val="both"/>
        <w:ind w:left="1120" w:right="120" w:firstLine="362"/>
        <w:spacing w:after="0" w:line="255" w:lineRule="auto"/>
        <w:rPr>
          <w:sz w:val="20"/>
          <w:szCs w:val="20"/>
          <w:color w:val="auto"/>
        </w:rPr>
      </w:pPr>
      <w:r>
        <w:rPr>
          <w:rFonts w:ascii="Times New Roman" w:cs="Times New Roman" w:eastAsia="Times New Roman" w:hAnsi="Times New Roman"/>
          <w:sz w:val="15"/>
          <w:szCs w:val="15"/>
          <w:color w:val="auto"/>
        </w:rPr>
        <w:t>We cannot guarantee that the results and other expectations expressed, anticipated or implied in any forward-looking statement will be realized. The risks set forth under Item 1A of our Annual Report on Form 10-K for the fiscal year ended December 31, 2021, as revised or supplemented by our Quarterly Reports on Form 10-Q and other documents we file with the SEC, describe material risks to our business, and you should read and interpret any forward-looking statements together with these risks. A variety of factors, including these</w:t>
      </w:r>
    </w:p>
    <w:p>
      <w:pPr>
        <w:spacing w:after="0" w:line="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160"/>
          </w:cols>
          <w:pgMar w:left="300" w:top="400" w:right="1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spacing w:after="0" w:line="255" w:lineRule="auto"/>
        <w:rPr>
          <w:sz w:val="20"/>
          <w:szCs w:val="20"/>
          <w:color w:val="auto"/>
        </w:rPr>
      </w:pPr>
      <w:r>
        <w:rPr>
          <w:rFonts w:ascii="Times New Roman" w:cs="Times New Roman" w:eastAsia="Times New Roman" w:hAnsi="Times New Roman"/>
          <w:sz w:val="15"/>
          <w:szCs w:val="15"/>
          <w:color w:val="auto"/>
        </w:rPr>
        <w:t>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53" w:lineRule="exact"/>
        <w:rPr>
          <w:sz w:val="20"/>
          <w:szCs w:val="20"/>
          <w:color w:val="auto"/>
        </w:rPr>
      </w:pPr>
    </w:p>
    <w:p>
      <w:pPr>
        <w:ind w:left="1120" w:right="80" w:firstLine="362"/>
        <w:spacing w:after="0" w:line="255" w:lineRule="auto"/>
        <w:rPr>
          <w:sz w:val="20"/>
          <w:szCs w:val="20"/>
          <w:color w:val="auto"/>
        </w:rPr>
      </w:pPr>
      <w:r>
        <w:rPr>
          <w:rFonts w:ascii="Times New Roman" w:cs="Times New Roman" w:eastAsia="Times New Roman" w:hAnsi="Times New Roman"/>
          <w:sz w:val="15"/>
          <w:szCs w:val="15"/>
          <w:color w:val="auto"/>
        </w:rPr>
        <w:t>You should read this prospectus, any prospectus supplement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160"/>
          </w:cols>
          <w:pgMar w:left="300" w:top="400" w:right="1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MARKET, INDUSTRY AND OTHER DATA</w:t>
      </w:r>
    </w:p>
    <w:p>
      <w:pPr>
        <w:spacing w:after="0" w:line="184" w:lineRule="exact"/>
        <w:rPr>
          <w:sz w:val="20"/>
          <w:szCs w:val="20"/>
          <w:color w:val="auto"/>
        </w:rPr>
      </w:pPr>
    </w:p>
    <w:p>
      <w:pPr>
        <w:ind w:left="1120" w:right="59" w:firstLine="362"/>
        <w:spacing w:after="0" w:line="271" w:lineRule="auto"/>
        <w:rPr>
          <w:sz w:val="20"/>
          <w:szCs w:val="20"/>
          <w:color w:val="auto"/>
        </w:rPr>
      </w:pPr>
      <w:r>
        <w:rPr>
          <w:rFonts w:ascii="Times New Roman" w:cs="Times New Roman" w:eastAsia="Times New Roman" w:hAnsi="Times New Roman"/>
          <w:sz w:val="14"/>
          <w:szCs w:val="14"/>
          <w:color w:val="auto"/>
        </w:rPr>
        <w:t>This prospectus and any applicable prospectus supplement and the documents incorporated by reference herein and therein contain estimates, projections, market research and other information concerning, among other things, our industry, our business, and markets for our product candidates.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Information that is based on estimates, projections, market research or similar methodologies is inherently subject to uncertainties and actual events or circumstances may differ materially from events and circumstances that are reflected in this information. As a result, you are cautioned not to give undue weight to such information.</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159"/>
          </w:cols>
          <w:pgMar w:left="300" w:top="40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4987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5748020" cy="4987925"/>
                    </a:xfrm>
                    <a:prstGeom prst="rect">
                      <a:avLst/>
                    </a:prstGeom>
                    <a:noFill/>
                  </pic:spPr>
                </pic:pic>
              </a:graphicData>
            </a:graphic>
          </wp:anchor>
        </w:drawing>
      </w:r>
    </w:p>
    <w:p>
      <w:pPr>
        <w:spacing w:after="0" w:line="3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SUMMARY</w:t>
      </w:r>
    </w:p>
    <w:p>
      <w:pPr>
        <w:spacing w:after="0" w:line="184" w:lineRule="exact"/>
        <w:rPr>
          <w:sz w:val="20"/>
          <w:szCs w:val="20"/>
          <w:color w:val="auto"/>
        </w:rPr>
      </w:pPr>
    </w:p>
    <w:p>
      <w:pPr>
        <w:ind w:left="1280" w:right="179" w:firstLine="350"/>
        <w:spacing w:after="0" w:line="252" w:lineRule="auto"/>
        <w:rPr>
          <w:sz w:val="20"/>
          <w:szCs w:val="20"/>
          <w:color w:val="auto"/>
        </w:rPr>
      </w:pPr>
      <w:r>
        <w:rPr>
          <w:rFonts w:ascii="Times New Roman" w:cs="Times New Roman" w:eastAsia="Times New Roman" w:hAnsi="Times New Roman"/>
          <w:sz w:val="15"/>
          <w:szCs w:val="15"/>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95" w:lineRule="exact"/>
        <w:rPr>
          <w:sz w:val="20"/>
          <w:szCs w:val="20"/>
          <w:color w:val="auto"/>
        </w:rPr>
      </w:pPr>
    </w:p>
    <w:p>
      <w:pPr>
        <w:ind w:left="1280" w:right="239" w:firstLine="350"/>
        <w:spacing w:after="0" w:line="250" w:lineRule="auto"/>
        <w:rPr>
          <w:sz w:val="20"/>
          <w:szCs w:val="20"/>
          <w:color w:val="auto"/>
        </w:rPr>
      </w:pPr>
      <w:r>
        <w:rPr>
          <w:rFonts w:ascii="Times New Roman" w:cs="Times New Roman" w:eastAsia="Times New Roman" w:hAnsi="Times New Roman"/>
          <w:sz w:val="15"/>
          <w:szCs w:val="15"/>
          <w:color w:val="auto"/>
        </w:rPr>
        <w:t>We are a biopharmaceutical company on a mission to protect humanity from serious viral respiratory diseases. We are developing antibodies to transcend the limits of naturally occurring immunity and provide superior protection from viral diseases, beginning with COVID-19. Our technology works at the intersection of evolutionary virology, predictive modeling, and antibody engineering, and is designed to identify high-quality, long-lasting antibodies with a high barrier to viral escape. We are generating a robust pipeline of products for use in both prevention and treatment of disease. NVD200, our first antibody combination product for COVID-19, is expected to enter the clinic in Q1 2023. Our most advanced pipeline candidate is adintrevimab, an investigational monoclonal antibody which has demonstrated clinically meaningful results in global Phase 3 clinical trials against multiple variants of concern for the prevention and treatment of COVID-19. We also have multiple discovery stage candidates for the prevention of seasonal influenza.</w:t>
      </w:r>
    </w:p>
    <w:p>
      <w:pPr>
        <w:spacing w:after="0" w:line="158" w:lineRule="exact"/>
        <w:rPr>
          <w:sz w:val="20"/>
          <w:szCs w:val="20"/>
          <w:color w:val="auto"/>
        </w:rPr>
      </w:pPr>
    </w:p>
    <w:p>
      <w:pPr>
        <w:ind w:left="1280" w:right="559" w:firstLine="350"/>
        <w:spacing w:after="0" w:line="273" w:lineRule="auto"/>
        <w:rPr>
          <w:sz w:val="20"/>
          <w:szCs w:val="20"/>
          <w:color w:val="auto"/>
        </w:rPr>
      </w:pPr>
      <w:r>
        <w:rPr>
          <w:rFonts w:ascii="Times New Roman" w:cs="Times New Roman" w:eastAsia="Times New Roman" w:hAnsi="Times New Roman"/>
          <w:sz w:val="15"/>
          <w:szCs w:val="15"/>
          <w:color w:val="auto"/>
        </w:rPr>
        <w:t>For more information about our company, please refer to other documents that we have filed with the SEC and that are incorporated by reference into this prospectus, as listed under the heading “Incorporation By Reference.”</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95" w:lineRule="exact"/>
        <w:rPr>
          <w:sz w:val="20"/>
          <w:szCs w:val="20"/>
          <w:color w:val="auto"/>
        </w:rPr>
      </w:pPr>
    </w:p>
    <w:p>
      <w:pPr>
        <w:ind w:left="1280" w:right="519" w:firstLine="350"/>
        <w:spacing w:after="0" w:line="255" w:lineRule="auto"/>
        <w:rPr>
          <w:sz w:val="20"/>
          <w:szCs w:val="20"/>
          <w:color w:val="auto"/>
        </w:rPr>
      </w:pPr>
      <w:r>
        <w:rPr>
          <w:rFonts w:ascii="Times New Roman" w:cs="Times New Roman" w:eastAsia="Times New Roman" w:hAnsi="Times New Roman"/>
          <w:sz w:val="15"/>
          <w:szCs w:val="15"/>
          <w:color w:val="auto"/>
        </w:rPr>
        <w:t>We were incorporated under the laws of the State of Delaware in June 2020. Our principal executive offices are located at 1601 Trapelo Road, Suite 178, Waltham, MA 02451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w:t>
      </w:r>
    </w:p>
    <w:p>
      <w:pPr>
        <w:spacing w:after="0" w:line="2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w:t>
      </w:r>
    </w:p>
    <w:p>
      <w:pPr>
        <w:spacing w:after="0" w:line="95" w:lineRule="exact"/>
        <w:rPr>
          <w:sz w:val="20"/>
          <w:szCs w:val="20"/>
          <w:color w:val="auto"/>
        </w:rPr>
      </w:pPr>
    </w:p>
    <w:p>
      <w:pPr>
        <w:ind w:left="1280" w:right="199" w:firstLine="350"/>
        <w:spacing w:after="0" w:line="251"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8" w:lineRule="exact"/>
        <w:rPr>
          <w:sz w:val="20"/>
          <w:szCs w:val="20"/>
          <w:color w:val="auto"/>
        </w:rPr>
      </w:pPr>
    </w:p>
    <w:p>
      <w:pPr>
        <w:ind w:left="2040" w:right="199" w:hanging="336"/>
        <w:spacing w:after="0" w:line="260" w:lineRule="auto"/>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159"/>
          </w:cols>
          <w:pgMar w:left="300" w:top="40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1624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5748020" cy="1624330"/>
                    </a:xfrm>
                    <a:prstGeom prst="rect">
                      <a:avLst/>
                    </a:prstGeom>
                    <a:noFill/>
                  </pic:spPr>
                </pic:pic>
              </a:graphicData>
            </a:graphic>
          </wp:anchor>
        </w:drawing>
      </w:r>
    </w:p>
    <w:p>
      <w:pPr>
        <w:spacing w:after="0" w:line="386" w:lineRule="exact"/>
        <w:rPr>
          <w:sz w:val="20"/>
          <w:szCs w:val="20"/>
          <w:color w:val="auto"/>
        </w:rPr>
      </w:pPr>
    </w:p>
    <w:p>
      <w:pPr>
        <w:ind w:left="2040" w:right="659" w:hanging="336"/>
        <w:spacing w:after="0" w:line="273"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compliance with the auditor attestation requirement in the assessment of our internal control over financial reporting;</w:t>
      </w:r>
    </w:p>
    <w:p>
      <w:pPr>
        <w:spacing w:after="0" w:line="61" w:lineRule="exact"/>
        <w:rPr>
          <w:rFonts w:ascii="Times New Roman" w:cs="Times New Roman" w:eastAsia="Times New Roman" w:hAnsi="Times New Roman"/>
          <w:sz w:val="15"/>
          <w:szCs w:val="15"/>
          <w:color w:val="auto"/>
        </w:rPr>
      </w:pPr>
    </w:p>
    <w:p>
      <w:pPr>
        <w:ind w:left="2040" w:hanging="336"/>
        <w:spacing w:after="0"/>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w:t>
      </w:r>
    </w:p>
    <w:p>
      <w:pPr>
        <w:spacing w:after="0" w:line="104" w:lineRule="exact"/>
        <w:rPr>
          <w:rFonts w:ascii="Times New Roman" w:cs="Times New Roman" w:eastAsia="Times New Roman" w:hAnsi="Times New Roman"/>
          <w:sz w:val="15"/>
          <w:szCs w:val="15"/>
          <w:color w:val="auto"/>
        </w:rPr>
      </w:pPr>
    </w:p>
    <w:p>
      <w:pPr>
        <w:ind w:left="2040" w:right="159" w:hanging="336"/>
        <w:spacing w:after="0" w:line="273"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exemptions from the requirements of holding a non-binding advisory vote on executive compensation and stockholder approval of any golden parachute payments not previously approved; and</w:t>
      </w:r>
    </w:p>
    <w:p>
      <w:pPr>
        <w:spacing w:after="0" w:line="61" w:lineRule="exact"/>
        <w:rPr>
          <w:rFonts w:ascii="Times New Roman" w:cs="Times New Roman" w:eastAsia="Times New Roman" w:hAnsi="Times New Roman"/>
          <w:sz w:val="15"/>
          <w:szCs w:val="15"/>
          <w:color w:val="auto"/>
        </w:rPr>
      </w:pPr>
    </w:p>
    <w:p>
      <w:pPr>
        <w:ind w:left="2040" w:right="979" w:hanging="336"/>
        <w:spacing w:after="0" w:line="273"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compliance with the requirements of the Public Company Accounting Oversight Board regarding the communication of critical audit matters in the auditor’s report on the financial statements.</w:t>
      </w:r>
    </w:p>
    <w:p>
      <w:pPr>
        <w:spacing w:after="0" w:line="140" w:lineRule="exact"/>
        <w:rPr>
          <w:sz w:val="20"/>
          <w:szCs w:val="20"/>
          <w:color w:val="auto"/>
        </w:rPr>
      </w:pPr>
    </w:p>
    <w:p>
      <w:pPr>
        <w:ind w:left="1280" w:right="139" w:firstLine="350"/>
        <w:spacing w:after="0" w:line="260"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159"/>
          </w:cols>
          <w:pgMar w:left="300" w:top="400"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84" w:lineRule="exact"/>
        <w:rPr>
          <w:sz w:val="20"/>
          <w:szCs w:val="20"/>
          <w:color w:val="auto"/>
        </w:rPr>
      </w:pPr>
    </w:p>
    <w:p>
      <w:pPr>
        <w:ind w:left="1120" w:right="219" w:firstLine="362"/>
        <w:spacing w:after="0" w:line="268"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 our most recent Annual Report on Form</w:t>
      </w:r>
    </w:p>
    <w:p>
      <w:pPr>
        <w:spacing w:after="0" w:line="2" w:lineRule="exact"/>
        <w:rPr>
          <w:sz w:val="20"/>
          <w:szCs w:val="20"/>
          <w:color w:val="auto"/>
        </w:rPr>
      </w:pPr>
    </w:p>
    <w:p>
      <w:pPr>
        <w:ind w:left="1120" w:right="19"/>
        <w:spacing w:after="0" w:line="248" w:lineRule="auto"/>
        <w:rPr>
          <w:sz w:val="20"/>
          <w:szCs w:val="20"/>
          <w:color w:val="auto"/>
        </w:rPr>
      </w:pPr>
      <w:r>
        <w:rPr>
          <w:rFonts w:ascii="Times New Roman" w:cs="Times New Roman" w:eastAsia="Times New Roman" w:hAnsi="Times New Roman"/>
          <w:sz w:val="15"/>
          <w:szCs w:val="15"/>
          <w:color w:val="auto"/>
        </w:rPr>
        <w:t>10-K and our Quarterly Reports on Form 10-Q and other documents that we file with the SEC, which are incorporated herein by reference as described in this prospectus under the heading “Where You Can Find More Information”. The risks and uncertainties we have described in such documents are not the only risks that we face. Additional risks and uncertainties not presently known to us or that we currently deem immaterial may also affect our operations.</w:t>
      </w:r>
    </w:p>
    <w:p>
      <w:pPr>
        <w:spacing w:after="0" w:line="3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84" w:lineRule="exact"/>
        <w:rPr>
          <w:sz w:val="20"/>
          <w:szCs w:val="20"/>
          <w:color w:val="auto"/>
        </w:rPr>
      </w:pPr>
    </w:p>
    <w:p>
      <w:pPr>
        <w:ind w:left="1120" w:right="59" w:firstLine="362"/>
        <w:spacing w:after="0" w:line="252" w:lineRule="auto"/>
        <w:rPr>
          <w:sz w:val="20"/>
          <w:szCs w:val="20"/>
          <w:color w:val="auto"/>
        </w:rPr>
      </w:pPr>
      <w:r>
        <w:rPr>
          <w:rFonts w:ascii="Times New Roman" w:cs="Times New Roman" w:eastAsia="Times New Roman" w:hAnsi="Times New Roman"/>
          <w:sz w:val="15"/>
          <w:szCs w:val="15"/>
          <w:color w:val="auto"/>
        </w:rPr>
        <w:t>Except as otherwise provided in the applicable prospectus supplement relating to a specific offering, we intend to use the net proceeds from the sale of securities by us under this prospectus and any applicable prospectus supplement for general corporate purposes, which may include research and development expenditures, preclinical study and clinical trial expenditures, manufacturing expenditures, commercialization expenditures, working capital, capital expenditures, acquisitions of new technologies, products or businesses, and investments. Additional information on the use of net proceeds from the sale of securities by us under this prospectus may be set forth in the accompanying prospectus supplement relating to the specific offering.</w:t>
      </w:r>
    </w:p>
    <w:p>
      <w:pPr>
        <w:spacing w:after="0" w:line="9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159"/>
          </w:cols>
          <w:pgMar w:left="300" w:top="400"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84" w:lineRule="exact"/>
        <w:rPr>
          <w:sz w:val="20"/>
          <w:szCs w:val="20"/>
          <w:color w:val="auto"/>
        </w:rPr>
      </w:pPr>
    </w:p>
    <w:p>
      <w:pPr>
        <w:ind w:left="1120" w:right="39" w:firstLine="362"/>
        <w:spacing w:after="0" w:line="255" w:lineRule="auto"/>
        <w:rPr>
          <w:sz w:val="20"/>
          <w:szCs w:val="20"/>
          <w:color w:val="auto"/>
        </w:rPr>
      </w:pPr>
      <w:r>
        <w:rPr>
          <w:rFonts w:ascii="Times New Roman" w:cs="Times New Roman" w:eastAsia="Times New Roman" w:hAnsi="Times New Roman"/>
          <w:sz w:val="15"/>
          <w:szCs w:val="15"/>
          <w:color w:val="auto"/>
        </w:rPr>
        <w:t>We may sell the securities, from time to time pursuant to public offerings, negotiated transactions, block trades, “At the Market Offerings,” within the meaning of Rule 415(a)(4) of the Securities Act of 1933, as amended, or the Securities Act, into an existing trading market, at prevailing market prices, or a combination of these methods. We may sell the securities to or through underwriters or dealers, through agents or remarketing firms, or directly to one or more purchasers. We may distribute securities from time to time in one or more transactions:</w:t>
      </w:r>
    </w:p>
    <w:p>
      <w:pPr>
        <w:spacing w:after="0" w:line="76" w:lineRule="exact"/>
        <w:rPr>
          <w:sz w:val="20"/>
          <w:szCs w:val="20"/>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which may be changed;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 of sale;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such prevailing market prices; or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182" w:lineRule="exact"/>
        <w:rPr>
          <w:sz w:val="20"/>
          <w:szCs w:val="20"/>
          <w:color w:val="auto"/>
        </w:rPr>
      </w:pPr>
    </w:p>
    <w:p>
      <w:pPr>
        <w:ind w:left="1120" w:right="159" w:firstLine="362"/>
        <w:spacing w:after="0" w:line="273" w:lineRule="auto"/>
        <w:rPr>
          <w:sz w:val="20"/>
          <w:szCs w:val="20"/>
          <w:color w:val="auto"/>
        </w:rPr>
      </w:pPr>
      <w:r>
        <w:rPr>
          <w:rFonts w:ascii="Times New Roman" w:cs="Times New Roman" w:eastAsia="Times New Roman" w:hAnsi="Times New Roman"/>
          <w:sz w:val="15"/>
          <w:szCs w:val="15"/>
          <w:color w:val="auto"/>
        </w:rPr>
        <w:t>A prospectus supplement or supplements (and any related free writing prospectus that we may authorize to be provided to you) will describe the terms of the offering of the securities, including, to the extent applicable:</w:t>
      </w:r>
    </w:p>
    <w:p>
      <w:pPr>
        <w:spacing w:after="0" w:line="62" w:lineRule="exact"/>
        <w:rPr>
          <w:sz w:val="20"/>
          <w:szCs w:val="20"/>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or names of the underwriters, dealers or agents, if any;</w:t>
      </w:r>
    </w:p>
    <w:p>
      <w:pPr>
        <w:spacing w:after="0" w:line="104" w:lineRule="exact"/>
        <w:rPr>
          <w:rFonts w:ascii="Times New Roman" w:cs="Times New Roman" w:eastAsia="Times New Roman" w:hAnsi="Times New Roman"/>
          <w:sz w:val="15"/>
          <w:szCs w:val="15"/>
          <w:color w:val="auto"/>
        </w:rPr>
      </w:pPr>
    </w:p>
    <w:p>
      <w:pPr>
        <w:ind w:left="1920" w:right="159" w:hanging="354"/>
        <w:spacing w:after="0" w:line="287" w:lineRule="auto"/>
        <w:tabs>
          <w:tab w:leader="none" w:pos="19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to be offered through the selling efforts of brokers or dealers, the plan of distribution and the terms of any agreement, arrangement, or understanding entered into with broker(s) or dealer(s) prior to the effective date of the registration statement, and, if known, the identity of any broker(s) or dealer(s) who will participate in the offering and the amount to be offered through each;</w:t>
      </w:r>
    </w:p>
    <w:p>
      <w:pPr>
        <w:spacing w:after="0" w:line="54"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price of the securities or other consideration therefor, and the proceeds, if any, we will receive from the sale;</w:t>
      </w:r>
    </w:p>
    <w:p>
      <w:pPr>
        <w:spacing w:after="0" w:line="104" w:lineRule="exact"/>
        <w:rPr>
          <w:rFonts w:ascii="Times New Roman" w:cs="Times New Roman" w:eastAsia="Times New Roman" w:hAnsi="Times New Roman"/>
          <w:sz w:val="15"/>
          <w:szCs w:val="15"/>
          <w:color w:val="auto"/>
        </w:rPr>
      </w:pPr>
    </w:p>
    <w:p>
      <w:pPr>
        <w:ind w:left="1920" w:right="139" w:hanging="354"/>
        <w:spacing w:after="0" w:line="310" w:lineRule="auto"/>
        <w:tabs>
          <w:tab w:leader="none" w:pos="19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of the securities being registered are to be offered otherwise than for cash, the general purposes of the distribution, the basis upon which the securities are to be offered, the amount of compensation and other expenses of distribution, and by whom they are to be borne;</w:t>
      </w:r>
    </w:p>
    <w:p>
      <w:pPr>
        <w:spacing w:after="0" w:line="38"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delayed delivery arrangements;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options under which underwriters may purchase additional securities from us;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agency fees or underwriting discounts and other items constituting agents’ or underwriters’ compensation;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public offering price;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commissions or concessions allowed or reallowed or paid to dealers;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and relationships of any finders, if applicable;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securities exchange or market on which the securities may be listed.</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Only underwriters named in the prospectus supplement will be underwriters of the securities offered by the prospectus supplement.</w:t>
      </w:r>
    </w:p>
    <w:p>
      <w:pPr>
        <w:spacing w:after="0" w:line="182" w:lineRule="exact"/>
        <w:rPr>
          <w:sz w:val="20"/>
          <w:szCs w:val="20"/>
          <w:color w:val="auto"/>
        </w:rPr>
      </w:pPr>
    </w:p>
    <w:p>
      <w:pPr>
        <w:ind w:left="1120" w:right="59" w:firstLine="362"/>
        <w:spacing w:after="0" w:line="252" w:lineRule="auto"/>
        <w:rPr>
          <w:sz w:val="20"/>
          <w:szCs w:val="20"/>
          <w:color w:val="auto"/>
        </w:rPr>
      </w:pPr>
      <w:r>
        <w:rPr>
          <w:rFonts w:ascii="Times New Roman" w:cs="Times New Roman" w:eastAsia="Times New Roman" w:hAnsi="Times New Roman"/>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Unless otherwise indicated in the prospectus supplement, subject to certain conditions, the underwriters will be obligated to purchase all of the securities offered by the prospectus supplement, other than securities covered by any</w:t>
      </w:r>
    </w:p>
    <w:p>
      <w:pPr>
        <w:spacing w:after="0" w:line="9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159"/>
          </w:cols>
          <w:pgMar w:left="300" w:top="400"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99"/>
        <w:spacing w:after="0" w:line="260" w:lineRule="auto"/>
        <w:rPr>
          <w:sz w:val="20"/>
          <w:szCs w:val="20"/>
          <w:color w:val="auto"/>
        </w:rPr>
      </w:pPr>
      <w:r>
        <w:rPr>
          <w:rFonts w:ascii="Times New Roman" w:cs="Times New Roman" w:eastAsia="Times New Roman" w:hAnsi="Times New Roman"/>
          <w:sz w:val="15"/>
          <w:szCs w:val="15"/>
          <w:color w:val="auto"/>
        </w:rPr>
        <w:t>purchase option.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149" w:lineRule="exact"/>
        <w:rPr>
          <w:sz w:val="20"/>
          <w:szCs w:val="20"/>
          <w:color w:val="auto"/>
        </w:rPr>
      </w:pPr>
    </w:p>
    <w:p>
      <w:pPr>
        <w:ind w:left="1120" w:right="59" w:firstLine="362"/>
        <w:spacing w:after="0" w:line="255" w:lineRule="auto"/>
        <w:rPr>
          <w:sz w:val="20"/>
          <w:szCs w:val="20"/>
          <w:color w:val="auto"/>
        </w:rPr>
      </w:pPr>
      <w:r>
        <w:rPr>
          <w:rFonts w:ascii="Times New Roman" w:cs="Times New Roman" w:eastAsia="Times New Roman" w:hAnsi="Times New Roman"/>
          <w:sz w:val="15"/>
          <w:szCs w:val="15"/>
          <w:color w:val="auto"/>
        </w:rPr>
        <w:t>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the securities they remarket.</w:t>
      </w:r>
    </w:p>
    <w:p>
      <w:pPr>
        <w:spacing w:after="0" w:line="153" w:lineRule="exact"/>
        <w:rPr>
          <w:sz w:val="20"/>
          <w:szCs w:val="20"/>
          <w:color w:val="auto"/>
        </w:rPr>
      </w:pPr>
    </w:p>
    <w:p>
      <w:pPr>
        <w:jc w:val="both"/>
        <w:ind w:left="1120" w:right="99" w:firstLine="362"/>
        <w:spacing w:after="0" w:line="260" w:lineRule="auto"/>
        <w:rPr>
          <w:sz w:val="20"/>
          <w:szCs w:val="20"/>
          <w:color w:val="auto"/>
        </w:rPr>
      </w:pPr>
      <w:r>
        <w:rPr>
          <w:rFonts w:ascii="Times New Roman" w:cs="Times New Roman" w:eastAsia="Times New Roman" w:hAnsi="Times New Roman"/>
          <w:sz w:val="15"/>
          <w:szCs w:val="15"/>
          <w:color w:val="auto"/>
        </w:rPr>
        <w:t>If we offer and sell securities through a dealer, we or an underwriter will sell the securities to the dealer, as principal. The dealer may then resell the securities to the public at varying prices to be determined by the dealer at the time of resale. The name of the dealer and the terms of the transaction will be set forth in the applicable prospectus supplement.</w:t>
      </w:r>
    </w:p>
    <w:p>
      <w:pPr>
        <w:spacing w:after="0" w:line="149" w:lineRule="exact"/>
        <w:rPr>
          <w:sz w:val="20"/>
          <w:szCs w:val="20"/>
          <w:color w:val="auto"/>
        </w:rPr>
      </w:pPr>
    </w:p>
    <w:p>
      <w:pPr>
        <w:ind w:left="1120" w:right="319" w:firstLine="362"/>
        <w:spacing w:after="0" w:line="260" w:lineRule="auto"/>
        <w:rPr>
          <w:sz w:val="20"/>
          <w:szCs w:val="20"/>
          <w:color w:val="auto"/>
        </w:rPr>
      </w:pPr>
      <w:r>
        <w:rPr>
          <w:rFonts w:ascii="Times New Roman" w:cs="Times New Roman" w:eastAsia="Times New Roman" w:hAnsi="Times New Roman"/>
          <w:sz w:val="15"/>
          <w:szCs w:val="15"/>
          <w:color w:val="auto"/>
        </w:rPr>
        <w:t>We may sell securities directly or through agents we designate from time to time. We will name any agent involved in the offering and sale of securities and we will describe any commissions we will pay to the agent in the prospectus supplement. Unless the prospectus supplement states otherwise, our agent will act on a best-efforts basis for the period of its appointment.</w:t>
      </w:r>
    </w:p>
    <w:p>
      <w:pPr>
        <w:spacing w:after="0" w:line="149" w:lineRule="exact"/>
        <w:rPr>
          <w:sz w:val="20"/>
          <w:szCs w:val="20"/>
          <w:color w:val="auto"/>
        </w:rPr>
      </w:pPr>
    </w:p>
    <w:p>
      <w:pPr>
        <w:jc w:val="both"/>
        <w:ind w:left="1120" w:right="199" w:firstLine="362"/>
        <w:spacing w:after="0" w:line="260" w:lineRule="auto"/>
        <w:rPr>
          <w:sz w:val="20"/>
          <w:szCs w:val="20"/>
          <w:color w:val="auto"/>
        </w:rPr>
      </w:pPr>
      <w:r>
        <w:rPr>
          <w:rFonts w:ascii="Times New Roman" w:cs="Times New Roman" w:eastAsia="Times New Roman" w:hAnsi="Times New Roman"/>
          <w:sz w:val="15"/>
          <w:szCs w:val="15"/>
          <w:color w:val="auto"/>
        </w:rPr>
        <w:t>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49" w:lineRule="exact"/>
        <w:rPr>
          <w:sz w:val="20"/>
          <w:szCs w:val="20"/>
          <w:color w:val="auto"/>
        </w:rPr>
      </w:pPr>
    </w:p>
    <w:p>
      <w:pPr>
        <w:ind w:left="1120" w:right="19" w:firstLine="362"/>
        <w:spacing w:after="0" w:line="260" w:lineRule="auto"/>
        <w:rPr>
          <w:sz w:val="20"/>
          <w:szCs w:val="20"/>
          <w:color w:val="auto"/>
        </w:rPr>
      </w:pPr>
      <w:r>
        <w:rPr>
          <w:rFonts w:ascii="Times New Roman" w:cs="Times New Roman" w:eastAsia="Times New Roman" w:hAnsi="Times New Roman"/>
          <w:sz w:val="15"/>
          <w:szCs w:val="15"/>
          <w:color w:val="auto"/>
        </w:rPr>
        <w:t>We may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w:t>
      </w:r>
    </w:p>
    <w:p>
      <w:pPr>
        <w:spacing w:after="0" w:line="149" w:lineRule="exact"/>
        <w:rPr>
          <w:sz w:val="20"/>
          <w:szCs w:val="20"/>
          <w:color w:val="auto"/>
        </w:rPr>
      </w:pPr>
    </w:p>
    <w:p>
      <w:pPr>
        <w:ind w:left="1120" w:right="19" w:firstLine="362"/>
        <w:spacing w:after="0" w:line="255" w:lineRule="auto"/>
        <w:rPr>
          <w:sz w:val="20"/>
          <w:szCs w:val="20"/>
          <w:color w:val="auto"/>
        </w:rPr>
      </w:pPr>
      <w:r>
        <w:rPr>
          <w:rFonts w:ascii="Times New Roman" w:cs="Times New Roman" w:eastAsia="Times New Roman" w:hAnsi="Times New Roman"/>
          <w:sz w:val="15"/>
          <w:szCs w:val="15"/>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53" w:lineRule="exact"/>
        <w:rPr>
          <w:sz w:val="20"/>
          <w:szCs w:val="20"/>
          <w:color w:val="auto"/>
        </w:rPr>
      </w:pPr>
    </w:p>
    <w:p>
      <w:pPr>
        <w:ind w:left="1120" w:right="279" w:firstLine="362"/>
        <w:spacing w:after="0" w:line="260" w:lineRule="auto"/>
        <w:rPr>
          <w:sz w:val="20"/>
          <w:szCs w:val="20"/>
          <w:color w:val="auto"/>
        </w:rPr>
      </w:pPr>
      <w:r>
        <w:rPr>
          <w:rFonts w:ascii="Times New Roman" w:cs="Times New Roman" w:eastAsia="Times New Roman" w:hAnsi="Times New Roman"/>
          <w:sz w:val="15"/>
          <w:szCs w:val="15"/>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respective affiliates, may engage in transactions with, or perform services for, us in the ordinary course of business.</w:t>
      </w:r>
    </w:p>
    <w:p>
      <w:pPr>
        <w:spacing w:after="0" w:line="149" w:lineRule="exact"/>
        <w:rPr>
          <w:sz w:val="20"/>
          <w:szCs w:val="20"/>
          <w:color w:val="auto"/>
        </w:rPr>
      </w:pPr>
    </w:p>
    <w:p>
      <w:pPr>
        <w:ind w:left="1120" w:right="179" w:firstLine="362"/>
        <w:spacing w:after="0" w:line="260" w:lineRule="auto"/>
        <w:rPr>
          <w:sz w:val="20"/>
          <w:szCs w:val="20"/>
          <w:color w:val="auto"/>
        </w:rPr>
      </w:pPr>
      <w:r>
        <w:rPr>
          <w:rFonts w:ascii="Times New Roman" w:cs="Times New Roman" w:eastAsia="Times New Roman" w:hAnsi="Times New Roman"/>
          <w:sz w:val="15"/>
          <w:szCs w:val="15"/>
          <w:color w:val="auto"/>
        </w:rPr>
        <w:t>All securities we may offer, other than common stock, will be new issues of securities with no established trading market. Any underwriter may make a market in these securities, but will not be obligated to do so and may discontinue any market making at any time without notice. We cannot guarantee the liquidity of the trading markets for any securities.</w:t>
      </w:r>
    </w:p>
    <w:p>
      <w:pPr>
        <w:spacing w:after="0" w:line="149" w:lineRule="exact"/>
        <w:rPr>
          <w:sz w:val="20"/>
          <w:szCs w:val="20"/>
          <w:color w:val="auto"/>
        </w:rPr>
      </w:pPr>
    </w:p>
    <w:p>
      <w:pPr>
        <w:ind w:left="1120" w:right="19" w:firstLine="362"/>
        <w:spacing w:after="0" w:line="255" w:lineRule="auto"/>
        <w:rPr>
          <w:sz w:val="20"/>
          <w:szCs w:val="20"/>
          <w:color w:val="auto"/>
        </w:rPr>
      </w:pPr>
      <w:r>
        <w:rPr>
          <w:rFonts w:ascii="Times New Roman" w:cs="Times New Roman" w:eastAsia="Times New Roman" w:hAnsi="Times New Roman"/>
          <w:sz w:val="15"/>
          <w:szCs w:val="15"/>
          <w:color w:val="auto"/>
        </w:rPr>
        <w:t>Any underwriter may engage in purchase options, stabilizing transactions, short-covering transactions and penalty bids in accordance with Regulation M under the Exchange Act. Purchase options involve sales in excess of the offering size, which create a short position. Stabilizing transactions permit bids to purchase the underlying security so long as the stabilizing bids do not exceed a specified maximum price. Syndicate-covering or other</w:t>
      </w:r>
    </w:p>
    <w:p>
      <w:pPr>
        <w:spacing w:after="0" w:line="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159"/>
          </w:cols>
          <w:pgMar w:left="300" w:top="40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40"/>
        <w:spacing w:after="0" w:line="255" w:lineRule="auto"/>
        <w:rPr>
          <w:sz w:val="20"/>
          <w:szCs w:val="20"/>
          <w:color w:val="auto"/>
        </w:rPr>
      </w:pPr>
      <w:r>
        <w:rPr>
          <w:rFonts w:ascii="Times New Roman" w:cs="Times New Roman" w:eastAsia="Times New Roman" w:hAnsi="Times New Roman"/>
          <w:sz w:val="15"/>
          <w:szCs w:val="15"/>
          <w:color w:val="auto"/>
        </w:rPr>
        <w:t>short-covering transactions involve purchases of the securities, either through exercise of the purchase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53"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Any underwriters that are qualified market makers on the Nasdaq Stock Market may engage in passive market making transactions in the common stock on the Nasdaq Stock Market in accordance with Regulation M under the Securities Exchange Act of 1934, as amended, or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160"/>
          </w:cols>
          <w:pgMar w:left="300" w:top="400" w:right="1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5"/>
          <w:szCs w:val="15"/>
          <w:b w:val="1"/>
          <w:bCs w:val="1"/>
          <w:color w:val="auto"/>
        </w:rPr>
        <w:t>GENERAL DESCRIPTION OF OUR SECURITIES</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may offer and sell, at any time and from time to time:</w:t>
      </w:r>
    </w:p>
    <w:p>
      <w:pPr>
        <w:spacing w:after="0" w:line="105" w:lineRule="exact"/>
        <w:rPr>
          <w:sz w:val="20"/>
          <w:szCs w:val="20"/>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preferred stock;</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warrants to purchase shares of our common stock, preferred stock and/or debt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securities consisting of debentures, notes or other evidences of indebtedness;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units consisting of a combination of the foregoing securities; or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combination of these securities.</w:t>
      </w:r>
    </w:p>
    <w:p>
      <w:pPr>
        <w:spacing w:after="0" w:line="182" w:lineRule="exact"/>
        <w:rPr>
          <w:sz w:val="20"/>
          <w:szCs w:val="20"/>
          <w:color w:val="auto"/>
        </w:rPr>
      </w:pPr>
    </w:p>
    <w:p>
      <w:pPr>
        <w:ind w:left="1120" w:right="379" w:firstLine="362"/>
        <w:spacing w:after="0" w:line="260" w:lineRule="auto"/>
        <w:rPr>
          <w:sz w:val="20"/>
          <w:szCs w:val="20"/>
          <w:color w:val="auto"/>
        </w:rPr>
      </w:pPr>
      <w:r>
        <w:rPr>
          <w:rFonts w:ascii="Times New Roman" w:cs="Times New Roman" w:eastAsia="Times New Roman" w:hAnsi="Times New Roman"/>
          <w:sz w:val="15"/>
          <w:szCs w:val="15"/>
          <w:color w:val="auto"/>
        </w:rPr>
        <w:t>The terms of any securities we offer will be determined at the time of sale. We may issue debt securities that are exchangeable for and/or convertible into common stock or any of the other securities that may be sold under this prospectus. When particular securities are offered by us, a supplement to this prospectus will be filed with the SEC, which will describe the terms of the offering and sale of the offered securities.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159"/>
          </w:cols>
          <w:pgMar w:left="300" w:top="400"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DESCRIPTION OF OUR COMMON STOCK</w:t>
      </w:r>
    </w:p>
    <w:p>
      <w:pPr>
        <w:spacing w:after="0" w:line="182" w:lineRule="exact"/>
        <w:rPr>
          <w:sz w:val="20"/>
          <w:szCs w:val="20"/>
          <w:color w:val="auto"/>
        </w:rPr>
      </w:pPr>
    </w:p>
    <w:p>
      <w:pPr>
        <w:ind w:left="1120" w:right="39" w:firstLine="362"/>
        <w:spacing w:after="0" w:line="254" w:lineRule="auto"/>
        <w:rPr>
          <w:sz w:val="20"/>
          <w:szCs w:val="20"/>
          <w:color w:val="auto"/>
        </w:rPr>
      </w:pPr>
      <w:r>
        <w:rPr>
          <w:rFonts w:ascii="Times New Roman" w:cs="Times New Roman" w:eastAsia="Times New Roman" w:hAnsi="Times New Roman"/>
          <w:sz w:val="15"/>
          <w:szCs w:val="15"/>
          <w:i w:val="1"/>
          <w:iCs w:val="1"/>
          <w:color w:val="auto"/>
        </w:rPr>
        <w:t>The summary of general terms and provisions of our common stock set forth below does not purport to be complete and is subject to and qualified by reference to our Amended and Restated Certificate of Incorporation, or the Certificate of Incorporation, and Amended and Restated Bylaws, or the Bylaws, and together with the Certificate of Incorporation, the Charter Documents, each of which is included as an exhibit to our most recent Annual Report on Form 10-K filed with the SEC and incorporated by reference herein. For additional information, please read the Charter Documents and the applicable provisions of the Delaware General Corporation Law, or the DGCL.</w:t>
      </w:r>
    </w:p>
    <w:p>
      <w:pPr>
        <w:spacing w:after="0" w:line="2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5" w:lineRule="exact"/>
        <w:rPr>
          <w:sz w:val="20"/>
          <w:szCs w:val="20"/>
          <w:color w:val="auto"/>
        </w:rPr>
      </w:pPr>
    </w:p>
    <w:p>
      <w:pPr>
        <w:ind w:left="1120" w:right="59" w:firstLine="362"/>
        <w:spacing w:after="0" w:line="255" w:lineRule="auto"/>
        <w:rPr>
          <w:sz w:val="20"/>
          <w:szCs w:val="20"/>
          <w:color w:val="auto"/>
        </w:rPr>
      </w:pPr>
      <w:r>
        <w:rPr>
          <w:rFonts w:ascii="Times New Roman" w:cs="Times New Roman" w:eastAsia="Times New Roman" w:hAnsi="Times New Roman"/>
          <w:sz w:val="15"/>
          <w:szCs w:val="15"/>
          <w:color w:val="auto"/>
        </w:rPr>
        <w:t>We are authorized to issue up to 1,010,000,000 shares, of which 1,000,000,000 have been designated common stock, par value $0.0001 per share. As of September 12, 2022, there were 109,925,049 shares of our common stock outstanding. As of June 30, 2022, we had approximately 120 stockholders of record. This figure does not reflect the number of beneficial owners of shares of our common stock as a single stockholder of record often holds shares in nominee name (also referred to as, in “street name”) on behalf of multiple beneficial owners.</w:t>
      </w:r>
    </w:p>
    <w:p>
      <w:pPr>
        <w:spacing w:after="0" w:line="2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Voting Rights</w:t>
      </w:r>
    </w:p>
    <w:p>
      <w:pPr>
        <w:spacing w:after="0" w:line="95" w:lineRule="exact"/>
        <w:rPr>
          <w:sz w:val="20"/>
          <w:szCs w:val="20"/>
          <w:color w:val="auto"/>
        </w:rPr>
      </w:pPr>
    </w:p>
    <w:p>
      <w:pPr>
        <w:ind w:left="1120" w:right="479" w:firstLine="362"/>
        <w:spacing w:after="0" w:line="273" w:lineRule="auto"/>
        <w:rPr>
          <w:sz w:val="20"/>
          <w:szCs w:val="20"/>
          <w:color w:val="auto"/>
        </w:rPr>
      </w:pPr>
      <w:r>
        <w:rPr>
          <w:rFonts w:ascii="Times New Roman" w:cs="Times New Roman" w:eastAsia="Times New Roman" w:hAnsi="Times New Roman"/>
          <w:sz w:val="15"/>
          <w:szCs w:val="15"/>
          <w:color w:val="auto"/>
        </w:rPr>
        <w:t>Each holder of our common stock is entitled to one vote for each share on all matters submitted to a vote of the stockholders, including the election of directors.</w:t>
      </w:r>
    </w:p>
    <w:p>
      <w:pPr>
        <w:spacing w:after="0" w:line="140" w:lineRule="exact"/>
        <w:rPr>
          <w:sz w:val="20"/>
          <w:szCs w:val="20"/>
          <w:color w:val="auto"/>
        </w:rPr>
      </w:pPr>
    </w:p>
    <w:p>
      <w:pPr>
        <w:ind w:left="1120" w:right="39" w:firstLine="362"/>
        <w:spacing w:after="0" w:line="249" w:lineRule="auto"/>
        <w:rPr>
          <w:sz w:val="20"/>
          <w:szCs w:val="20"/>
          <w:color w:val="auto"/>
        </w:rPr>
      </w:pPr>
      <w:r>
        <w:rPr>
          <w:rFonts w:ascii="Times New Roman" w:cs="Times New Roman" w:eastAsia="Times New Roman" w:hAnsi="Times New Roman"/>
          <w:sz w:val="15"/>
          <w:szCs w:val="15"/>
          <w:color w:val="auto"/>
        </w:rPr>
        <w:t>Except as otherwise provided by statute or by applicable stock exchange rules, or by the Certificate of Incorporation or the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 Bylaws, directors are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59" w:lineRule="exact"/>
        <w:rPr>
          <w:sz w:val="20"/>
          <w:szCs w:val="20"/>
          <w:color w:val="auto"/>
        </w:rPr>
      </w:pPr>
    </w:p>
    <w:p>
      <w:pPr>
        <w:ind w:left="1120" w:right="139" w:firstLine="362"/>
        <w:spacing w:after="0" w:line="255" w:lineRule="auto"/>
        <w:rPr>
          <w:sz w:val="20"/>
          <w:szCs w:val="20"/>
          <w:color w:val="auto"/>
        </w:rPr>
      </w:pPr>
      <w:r>
        <w:rPr>
          <w:rFonts w:ascii="Times New Roman" w:cs="Times New Roman" w:eastAsia="Times New Roman" w:hAnsi="Times New Roman"/>
          <w:sz w:val="15"/>
          <w:szCs w:val="15"/>
          <w:color w:val="auto"/>
        </w:rPr>
        <w:t>The affirmative vote of holders of at least 66 2/3% of the voting power of all of the then-outstanding shares of capital stock entitled to vote generally in the election of directors, voting as a single class, is required to alter, amend or repeal certain provisions of the Certificate of Incorporation, including provisions relating to amending the Bylaws, the classified board, the size of our board of directors, removal of directors, director liability, vacancies on our board of directors, stockholder notices, actions by written consent and exclusive forum.</w:t>
      </w:r>
    </w:p>
    <w:p>
      <w:pPr>
        <w:spacing w:after="0" w:line="2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95" w:lineRule="exact"/>
        <w:rPr>
          <w:sz w:val="20"/>
          <w:szCs w:val="20"/>
          <w:color w:val="auto"/>
        </w:rPr>
      </w:pPr>
    </w:p>
    <w:p>
      <w:pPr>
        <w:ind w:left="1120" w:right="299" w:firstLine="362"/>
        <w:spacing w:after="0" w:line="273" w:lineRule="auto"/>
        <w:rPr>
          <w:sz w:val="20"/>
          <w:szCs w:val="20"/>
          <w:color w:val="auto"/>
        </w:rPr>
      </w:pPr>
      <w:r>
        <w:rPr>
          <w:rFonts w:ascii="Times New Roman" w:cs="Times New Roman" w:eastAsia="Times New Roman" w:hAnsi="Times New Roman"/>
          <w:sz w:val="15"/>
          <w:szCs w:val="15"/>
          <w:color w:val="auto"/>
        </w:rPr>
        <w:t>Subject to preferences that may be applicable to any then-outstanding preferred stock, holders of common stock are entitled to receive ratably those dividends, if any, as may be declared from time to time by our board of directors out of legally available funds.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159"/>
          </w:cols>
          <w:pgMar w:left="300" w:top="400"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Liquidation</w:t>
      </w:r>
    </w:p>
    <w:p>
      <w:pPr>
        <w:spacing w:after="0" w:line="95" w:lineRule="exact"/>
        <w:rPr>
          <w:sz w:val="20"/>
          <w:szCs w:val="20"/>
          <w:color w:val="auto"/>
        </w:rPr>
      </w:pPr>
    </w:p>
    <w:p>
      <w:pPr>
        <w:ind w:left="1120" w:right="240" w:firstLine="362"/>
        <w:spacing w:after="0" w:line="260" w:lineRule="auto"/>
        <w:rPr>
          <w:sz w:val="20"/>
          <w:szCs w:val="20"/>
          <w:color w:val="auto"/>
        </w:rPr>
      </w:pPr>
      <w:r>
        <w:rPr>
          <w:rFonts w:ascii="Times New Roman" w:cs="Times New Roman" w:eastAsia="Times New Roman" w:hAnsi="Times New Roman"/>
          <w:sz w:val="15"/>
          <w:szCs w:val="15"/>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Rights and Preferences</w:t>
      </w:r>
    </w:p>
    <w:p>
      <w:pPr>
        <w:spacing w:after="0" w:line="95" w:lineRule="exact"/>
        <w:rPr>
          <w:sz w:val="20"/>
          <w:szCs w:val="20"/>
          <w:color w:val="auto"/>
        </w:rPr>
      </w:pPr>
    </w:p>
    <w:p>
      <w:pPr>
        <w:ind w:left="1120" w:firstLine="362"/>
        <w:spacing w:after="0" w:line="260" w:lineRule="auto"/>
        <w:rPr>
          <w:sz w:val="20"/>
          <w:szCs w:val="20"/>
          <w:color w:val="auto"/>
        </w:rPr>
      </w:pPr>
      <w:r>
        <w:rPr>
          <w:rFonts w:ascii="Times New Roman" w:cs="Times New Roman" w:eastAsia="Times New Roman" w:hAnsi="Times New Roman"/>
          <w:sz w:val="15"/>
          <w:szCs w:val="15"/>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 of the holders of shares of any series of preferred stock that we may designate in the future.</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Outstanding Stock Options</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As of June 30, 2022, we had outstanding options to purchase 19,936,084 shares of our common stock at a weighted-average exercise price of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$8.73 per share, pursuant to our 2020 Equity Incentive Plan and 2021 Equity Incentive Plan. As of June 30, 2022, there were no shares of our common</w:t>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stock reserved for future issuance under the 2020 Equity Incentive Plan and 23,149,318 shares of our common stock reserved for future issuance under</w:t>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our 2021 Equity Incentive Plan.</w:t>
      </w:r>
    </w:p>
    <w:p>
      <w:pPr>
        <w:spacing w:after="0" w:line="2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2021 Employee Stock Purchase Plan</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As of June 30, 2022, there were 1,342,773 shares of our common stock reserved for future issuance under our 2021 Employee Stock Purchase</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Plan.</w:t>
      </w:r>
    </w:p>
    <w:p>
      <w:pPr>
        <w:spacing w:after="0" w:line="2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95" w:lineRule="exact"/>
        <w:rPr>
          <w:sz w:val="20"/>
          <w:szCs w:val="20"/>
          <w:color w:val="auto"/>
        </w:rPr>
      </w:pPr>
    </w:p>
    <w:p>
      <w:pPr>
        <w:ind w:left="1120" w:right="60" w:firstLine="362"/>
        <w:spacing w:after="0" w:line="260" w:lineRule="auto"/>
        <w:rPr>
          <w:sz w:val="20"/>
          <w:szCs w:val="20"/>
          <w:color w:val="auto"/>
        </w:rPr>
      </w:pPr>
      <w:r>
        <w:rPr>
          <w:rFonts w:ascii="Times New Roman" w:cs="Times New Roman" w:eastAsia="Times New Roman" w:hAnsi="Times New Roman"/>
          <w:sz w:val="15"/>
          <w:szCs w:val="15"/>
          <w:color w:val="auto"/>
        </w:rPr>
        <w:t>We and certain holders of our common stock have entered into a second amended and restated investors’ rights agreement, or the investors’ rights agreement. The registration rights provisions of this agreement provide those holders with demand, piggyback and Form S-3 registration rights with respect to the shares of common stock currently held by them. These shares are collectively referred to herein as registrable securities.</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97" w:lineRule="exact"/>
        <w:rPr>
          <w:sz w:val="20"/>
          <w:szCs w:val="20"/>
          <w:color w:val="auto"/>
        </w:rPr>
      </w:pPr>
    </w:p>
    <w:p>
      <w:pPr>
        <w:jc w:val="both"/>
        <w:ind w:left="1120" w:right="60" w:firstLine="362"/>
        <w:spacing w:after="0" w:line="255" w:lineRule="auto"/>
        <w:rPr>
          <w:sz w:val="20"/>
          <w:szCs w:val="20"/>
          <w:color w:val="auto"/>
        </w:rPr>
      </w:pPr>
      <w:r>
        <w:rPr>
          <w:rFonts w:ascii="Times New Roman" w:cs="Times New Roman" w:eastAsia="Times New Roman" w:hAnsi="Times New Roman"/>
          <w:sz w:val="15"/>
          <w:szCs w:val="15"/>
          <w:color w:val="auto"/>
        </w:rPr>
        <w:t>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w:t>
      </w:r>
    </w:p>
    <w:p>
      <w:pPr>
        <w:spacing w:after="0" w:line="2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Piggyback Registration Rights</w:t>
      </w:r>
    </w:p>
    <w:p>
      <w:pPr>
        <w:spacing w:after="0" w:line="97" w:lineRule="exact"/>
        <w:rPr>
          <w:sz w:val="20"/>
          <w:szCs w:val="20"/>
          <w:color w:val="auto"/>
        </w:rPr>
      </w:pPr>
    </w:p>
    <w:p>
      <w:pPr>
        <w:ind w:left="1120" w:firstLine="362"/>
        <w:spacing w:after="0" w:line="252" w:lineRule="auto"/>
        <w:rPr>
          <w:sz w:val="20"/>
          <w:szCs w:val="20"/>
          <w:color w:val="auto"/>
        </w:rPr>
      </w:pPr>
      <w:r>
        <w:rPr>
          <w:rFonts w:ascii="Times New Roman" w:cs="Times New Roman" w:eastAsia="Times New Roman" w:hAnsi="Times New Roman"/>
          <w:sz w:val="15"/>
          <w:szCs w:val="15"/>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The holders of piggyback registration rights granted pursuant to the investors’ rights agreement have waived their piggyback registration rights in connection with the registration statement of which this prospectus is a part, as well as all subsequent offerings related to the registration statement of which this prospectus is a part.</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160"/>
          </w:cols>
          <w:pgMar w:left="300" w:top="400" w:right="1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Registration on Form S-3</w:t>
      </w:r>
    </w:p>
    <w:p>
      <w:pPr>
        <w:spacing w:after="0" w:line="97" w:lineRule="exact"/>
        <w:rPr>
          <w:sz w:val="20"/>
          <w:szCs w:val="20"/>
          <w:color w:val="auto"/>
        </w:rPr>
      </w:pPr>
    </w:p>
    <w:p>
      <w:pPr>
        <w:ind w:left="1120" w:right="339" w:firstLine="362"/>
        <w:spacing w:after="0" w:line="255" w:lineRule="auto"/>
        <w:rPr>
          <w:sz w:val="20"/>
          <w:szCs w:val="20"/>
          <w:color w:val="auto"/>
        </w:rPr>
      </w:pPr>
      <w:r>
        <w:rPr>
          <w:rFonts w:ascii="Times New Roman" w:cs="Times New Roman" w:eastAsia="Times New Roman" w:hAnsi="Times New Roman"/>
          <w:sz w:val="15"/>
          <w:szCs w:val="15"/>
          <w:color w:val="auto"/>
        </w:rPr>
        <w:t>The holders of at least 30% of the registrable securities outstanding are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 receipt of this request, the holders of registrable securities will each be entitled to participate in this registration.</w:t>
      </w:r>
    </w:p>
    <w:p>
      <w:pPr>
        <w:spacing w:after="0" w:line="2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Expenses of Registration</w:t>
      </w:r>
    </w:p>
    <w:p>
      <w:pPr>
        <w:spacing w:after="0" w:line="97" w:lineRule="exact"/>
        <w:rPr>
          <w:sz w:val="20"/>
          <w:szCs w:val="20"/>
          <w:color w:val="auto"/>
        </w:rPr>
      </w:pPr>
    </w:p>
    <w:p>
      <w:pPr>
        <w:ind w:left="1120" w:right="79" w:firstLine="362"/>
        <w:spacing w:after="0" w:line="253" w:lineRule="auto"/>
        <w:rPr>
          <w:sz w:val="20"/>
          <w:szCs w:val="20"/>
          <w:color w:val="auto"/>
        </w:rPr>
      </w:pPr>
      <w:r>
        <w:rPr>
          <w:rFonts w:ascii="Times New Roman" w:cs="Times New Roman" w:eastAsia="Times New Roman" w:hAnsi="Times New Roman"/>
          <w:sz w:val="15"/>
          <w:szCs w:val="15"/>
          <w:color w:val="auto"/>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55" w:lineRule="exact"/>
        <w:rPr>
          <w:sz w:val="20"/>
          <w:szCs w:val="20"/>
          <w:color w:val="auto"/>
        </w:rPr>
      </w:pPr>
    </w:p>
    <w:p>
      <w:pPr>
        <w:ind w:left="1120" w:right="59" w:firstLine="362"/>
        <w:spacing w:after="0" w:line="287" w:lineRule="auto"/>
        <w:rPr>
          <w:sz w:val="20"/>
          <w:szCs w:val="20"/>
          <w:color w:val="auto"/>
        </w:rPr>
      </w:pPr>
      <w:r>
        <w:rPr>
          <w:rFonts w:ascii="Times New Roman" w:cs="Times New Roman" w:eastAsia="Times New Roman" w:hAnsi="Times New Roman"/>
          <w:sz w:val="14"/>
          <w:szCs w:val="14"/>
          <w:color w:val="auto"/>
        </w:rPr>
        <w:t>The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Termination of Registration Rights</w:t>
      </w:r>
    </w:p>
    <w:p>
      <w:pPr>
        <w:spacing w:after="0" w:line="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registration rights granted under the investors’ rights agreement will terminate with respect to any particular stockholder upon the earliest of</w:t>
      </w:r>
    </w:p>
    <w:p>
      <w:pPr>
        <w:spacing w:after="0" w:line="31" w:lineRule="exact"/>
        <w:rPr>
          <w:sz w:val="20"/>
          <w:szCs w:val="20"/>
          <w:color w:val="auto"/>
        </w:rPr>
      </w:pPr>
    </w:p>
    <w:p>
      <w:pPr>
        <w:jc w:val="both"/>
        <w:ind w:left="1120" w:right="419" w:firstLine="2"/>
        <w:spacing w:after="0" w:line="250" w:lineRule="auto"/>
        <w:tabs>
          <w:tab w:leader="none" w:pos="1321"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closing of a deemed liquidation event, as defined in the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our initial public offering.</w:t>
      </w:r>
    </w:p>
    <w:p>
      <w:pPr>
        <w:spacing w:after="0" w:line="2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9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Section 203 of the Delaware General Corporation Law</w:t>
      </w:r>
    </w:p>
    <w:p>
      <w:pPr>
        <w:spacing w:after="0" w:line="97" w:lineRule="exact"/>
        <w:rPr>
          <w:sz w:val="20"/>
          <w:szCs w:val="20"/>
          <w:color w:val="auto"/>
        </w:rPr>
      </w:pPr>
    </w:p>
    <w:p>
      <w:pPr>
        <w:ind w:left="1120" w:right="199" w:firstLine="362"/>
        <w:spacing w:after="0" w:line="310" w:lineRule="auto"/>
        <w:rPr>
          <w:sz w:val="20"/>
          <w:szCs w:val="20"/>
          <w:color w:val="auto"/>
        </w:rPr>
      </w:pPr>
      <w:r>
        <w:rPr>
          <w:rFonts w:ascii="Times New Roman" w:cs="Times New Roman" w:eastAsia="Times New Roman" w:hAnsi="Times New Roman"/>
          <w:sz w:val="14"/>
          <w:szCs w:val="14"/>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38" w:lineRule="exact"/>
        <w:rPr>
          <w:sz w:val="20"/>
          <w:szCs w:val="20"/>
          <w:color w:val="auto"/>
        </w:rPr>
      </w:pPr>
    </w:p>
    <w:p>
      <w:pPr>
        <w:ind w:left="1920" w:right="159" w:hanging="354"/>
        <w:spacing w:after="0" w:line="273" w:lineRule="auto"/>
        <w:tabs>
          <w:tab w:leader="none" w:pos="19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such date, the board of directors of the corporation approved either the business combination or the transaction that resulted in the stockholder becoming an interested stockholder;</w:t>
      </w:r>
    </w:p>
    <w:p>
      <w:pPr>
        <w:spacing w:after="0" w:line="61" w:lineRule="exact"/>
        <w:rPr>
          <w:rFonts w:ascii="Times New Roman" w:cs="Times New Roman" w:eastAsia="Times New Roman" w:hAnsi="Times New Roman"/>
          <w:sz w:val="15"/>
          <w:szCs w:val="15"/>
          <w:color w:val="auto"/>
        </w:rPr>
      </w:pPr>
    </w:p>
    <w:p>
      <w:pPr>
        <w:ind w:left="1920" w:right="19" w:hanging="354"/>
        <w:spacing w:after="0" w:line="253" w:lineRule="auto"/>
        <w:tabs>
          <w:tab w:leader="none" w:pos="19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7" w:lineRule="exact"/>
        <w:rPr>
          <w:rFonts w:ascii="Times New Roman" w:cs="Times New Roman" w:eastAsia="Times New Roman" w:hAnsi="Times New Roman"/>
          <w:sz w:val="15"/>
          <w:szCs w:val="15"/>
          <w:color w:val="auto"/>
        </w:rPr>
      </w:pPr>
    </w:p>
    <w:p>
      <w:pPr>
        <w:ind w:left="1920" w:right="99" w:hanging="354"/>
        <w:spacing w:after="0" w:line="260" w:lineRule="auto"/>
        <w:tabs>
          <w:tab w:leader="none" w:pos="19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159"/>
          </w:cols>
          <w:pgMar w:left="300" w:top="40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In general, Section 203 defines a “business combination” to include the following:</w:t>
      </w:r>
    </w:p>
    <w:p>
      <w:pPr>
        <w:spacing w:after="0" w:line="105" w:lineRule="exact"/>
        <w:rPr>
          <w:sz w:val="20"/>
          <w:szCs w:val="20"/>
          <w:color w:val="auto"/>
        </w:rPr>
      </w:pPr>
    </w:p>
    <w:p>
      <w:pPr>
        <w:ind w:left="1920" w:right="419" w:hanging="354"/>
        <w:spacing w:after="0" w:line="273" w:lineRule="auto"/>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or consolidation involving the corporation or any direct or indirect majority-owned subsidiary of the corporation and the interested stockholder;</w:t>
      </w:r>
    </w:p>
    <w:p>
      <w:pPr>
        <w:spacing w:after="0" w:line="61" w:lineRule="exact"/>
        <w:rPr>
          <w:rFonts w:ascii="Times New Roman" w:cs="Times New Roman" w:eastAsia="Times New Roman" w:hAnsi="Times New Roman"/>
          <w:sz w:val="15"/>
          <w:szCs w:val="15"/>
          <w:color w:val="auto"/>
        </w:rPr>
      </w:pPr>
    </w:p>
    <w:p>
      <w:pPr>
        <w:ind w:left="1920" w:right="159" w:hanging="354"/>
        <w:spacing w:after="0" w:line="273" w:lineRule="auto"/>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transfer, pledge or other disposition of 10% or more of the assets of the corporation involving the interested stockholder (in one transaction or a series of transactions);</w:t>
      </w:r>
    </w:p>
    <w:p>
      <w:pPr>
        <w:spacing w:after="0" w:line="61" w:lineRule="exact"/>
        <w:rPr>
          <w:rFonts w:ascii="Times New Roman" w:cs="Times New Roman" w:eastAsia="Times New Roman" w:hAnsi="Times New Roman"/>
          <w:sz w:val="15"/>
          <w:szCs w:val="15"/>
          <w:color w:val="auto"/>
        </w:rPr>
      </w:pPr>
    </w:p>
    <w:p>
      <w:pPr>
        <w:ind w:left="1920" w:right="39" w:hanging="354"/>
        <w:spacing w:after="0" w:line="273" w:lineRule="auto"/>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61" w:lineRule="exact"/>
        <w:rPr>
          <w:rFonts w:ascii="Times New Roman" w:cs="Times New Roman" w:eastAsia="Times New Roman" w:hAnsi="Times New Roman"/>
          <w:sz w:val="15"/>
          <w:szCs w:val="15"/>
          <w:color w:val="auto"/>
        </w:rPr>
      </w:pPr>
    </w:p>
    <w:p>
      <w:pPr>
        <w:ind w:left="1920" w:right="39" w:hanging="354"/>
        <w:spacing w:after="0" w:line="310" w:lineRule="auto"/>
        <w:tabs>
          <w:tab w:leader="none" w:pos="1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38" w:lineRule="exact"/>
        <w:rPr>
          <w:rFonts w:ascii="Times New Roman" w:cs="Times New Roman" w:eastAsia="Times New Roman" w:hAnsi="Times New Roman"/>
          <w:sz w:val="14"/>
          <w:szCs w:val="14"/>
          <w:color w:val="auto"/>
        </w:rPr>
      </w:pPr>
    </w:p>
    <w:p>
      <w:pPr>
        <w:ind w:left="1920" w:right="59" w:hanging="354"/>
        <w:spacing w:after="0" w:line="273" w:lineRule="auto"/>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the interested stockholder of the benefit of any loans, advances, guarantees, pledges or other financial benefits by or through the corporation.</w:t>
      </w:r>
    </w:p>
    <w:p>
      <w:pPr>
        <w:spacing w:after="0" w:line="140" w:lineRule="exact"/>
        <w:rPr>
          <w:sz w:val="20"/>
          <w:szCs w:val="20"/>
          <w:color w:val="auto"/>
        </w:rPr>
      </w:pPr>
    </w:p>
    <w:p>
      <w:pPr>
        <w:ind w:left="1120" w:right="359" w:firstLine="362"/>
        <w:spacing w:after="0" w:line="260" w:lineRule="auto"/>
        <w:rPr>
          <w:sz w:val="20"/>
          <w:szCs w:val="20"/>
          <w:color w:val="auto"/>
        </w:rPr>
      </w:pPr>
      <w:r>
        <w:rPr>
          <w:rFonts w:ascii="Times New Roman" w:cs="Times New Roman" w:eastAsia="Times New Roman" w:hAnsi="Times New Roman"/>
          <w:sz w:val="15"/>
          <w:szCs w:val="15"/>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Amended and Restated Certificate of Incorporation and Amended and Restated Bylaws</w:t>
      </w:r>
    </w:p>
    <w:p>
      <w:pPr>
        <w:spacing w:after="0" w:line="97" w:lineRule="exact"/>
        <w:rPr>
          <w:sz w:val="20"/>
          <w:szCs w:val="20"/>
          <w:color w:val="auto"/>
        </w:rPr>
      </w:pPr>
    </w:p>
    <w:p>
      <w:pPr>
        <w:ind w:left="1120" w:right="19" w:firstLine="362"/>
        <w:spacing w:after="0" w:line="250" w:lineRule="auto"/>
        <w:rPr>
          <w:sz w:val="20"/>
          <w:szCs w:val="20"/>
          <w:color w:val="auto"/>
        </w:rPr>
      </w:pPr>
      <w:r>
        <w:rPr>
          <w:rFonts w:ascii="Times New Roman" w:cs="Times New Roman" w:eastAsia="Times New Roman" w:hAnsi="Times New Roman"/>
          <w:sz w:val="15"/>
          <w:szCs w:val="15"/>
          <w:color w:val="auto"/>
        </w:rPr>
        <w:t>The Certificate of Incorporation and the Bylaws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The Certificate of Incorporation and the Bylaws provide that directors may be removed by the stockholders only for cause upon the vote of at least 66 2/3% of the voting power of all of the then-outstanding shares of capital stock entitled to vote generally at an election of directors. Furthermore, the authorized number of directors may be changed only by resolution of our board of directors, and vacancies and newly created directorships on our board of directors may, except as otherwise required by law or determined by our board and subject to the rights of any series of then-outstanding preferred stock, only be filled by a majority vote of the directors then serving on our board of directors, even though less than a quorum.</w:t>
      </w:r>
    </w:p>
    <w:p>
      <w:pPr>
        <w:spacing w:after="0" w:line="156" w:lineRule="exact"/>
        <w:rPr>
          <w:sz w:val="20"/>
          <w:szCs w:val="20"/>
          <w:color w:val="auto"/>
        </w:rPr>
      </w:pPr>
    </w:p>
    <w:p>
      <w:pPr>
        <w:jc w:val="both"/>
        <w:ind w:left="1120" w:right="39" w:firstLine="362"/>
        <w:spacing w:after="0" w:line="255" w:lineRule="auto"/>
        <w:rPr>
          <w:sz w:val="20"/>
          <w:szCs w:val="20"/>
          <w:color w:val="auto"/>
        </w:rPr>
      </w:pPr>
      <w:r>
        <w:rPr>
          <w:rFonts w:ascii="Times New Roman" w:cs="Times New Roman" w:eastAsia="Times New Roman" w:hAnsi="Times New Roman"/>
          <w:sz w:val="15"/>
          <w:szCs w:val="15"/>
          <w:color w:val="auto"/>
        </w:rPr>
        <w:t>The Certificate of Incorporation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w:t>
      </w:r>
    </w:p>
    <w:p>
      <w:pPr>
        <w:spacing w:after="0" w:line="153" w:lineRule="exact"/>
        <w:rPr>
          <w:sz w:val="20"/>
          <w:szCs w:val="20"/>
          <w:color w:val="auto"/>
        </w:rPr>
      </w:pPr>
    </w:p>
    <w:p>
      <w:pPr>
        <w:ind w:left="1120" w:right="199" w:firstLine="362"/>
        <w:spacing w:after="0" w:line="260" w:lineRule="auto"/>
        <w:rPr>
          <w:sz w:val="20"/>
          <w:szCs w:val="20"/>
          <w:color w:val="auto"/>
        </w:rPr>
      </w:pPr>
      <w:r>
        <w:rPr>
          <w:rFonts w:ascii="Times New Roman" w:cs="Times New Roman" w:eastAsia="Times New Roman" w:hAnsi="Times New Roman"/>
          <w:sz w:val="15"/>
          <w:szCs w:val="15"/>
          <w:color w:val="auto"/>
        </w:rPr>
        <w:t>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49" w:lineRule="exact"/>
        <w:rPr>
          <w:sz w:val="20"/>
          <w:szCs w:val="20"/>
          <w:color w:val="auto"/>
        </w:rPr>
      </w:pPr>
    </w:p>
    <w:p>
      <w:pPr>
        <w:ind w:left="1120" w:right="139" w:firstLine="362"/>
        <w:spacing w:after="0" w:line="310" w:lineRule="auto"/>
        <w:rPr>
          <w:sz w:val="20"/>
          <w:szCs w:val="20"/>
          <w:color w:val="auto"/>
        </w:rPr>
      </w:pPr>
      <w:r>
        <w:rPr>
          <w:rFonts w:ascii="Times New Roman" w:cs="Times New Roman" w:eastAsia="Times New Roman" w:hAnsi="Times New Roman"/>
          <w:sz w:val="14"/>
          <w:szCs w:val="14"/>
          <w:color w:val="auto"/>
        </w:rPr>
        <w:t>The Certificate of Incorporation and the Bylaws provide that the stockholders cannot amend many of the provisions described above except by a vote of at least 66 2/3% of the voting power of all of the then-outstanding shares of capital stock entitled to vote generally at an election of directors.</w:t>
      </w:r>
    </w:p>
    <w:p>
      <w:pPr>
        <w:spacing w:after="0" w:line="116" w:lineRule="exact"/>
        <w:rPr>
          <w:sz w:val="20"/>
          <w:szCs w:val="20"/>
          <w:color w:val="auto"/>
        </w:rPr>
      </w:pPr>
    </w:p>
    <w:p>
      <w:pPr>
        <w:ind w:left="1120" w:right="19" w:firstLine="362"/>
        <w:spacing w:after="0" w:line="260" w:lineRule="auto"/>
        <w:rPr>
          <w:sz w:val="20"/>
          <w:szCs w:val="20"/>
          <w:color w:val="auto"/>
        </w:rPr>
      </w:pPr>
      <w:r>
        <w:rPr>
          <w:rFonts w:ascii="Times New Roman" w:cs="Times New Roman" w:eastAsia="Times New Roman" w:hAnsi="Times New Roman"/>
          <w:sz w:val="15"/>
          <w:szCs w:val="15"/>
          <w:color w:val="auto"/>
        </w:rPr>
        <w:t>The Certificate of Incorporation provides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159"/>
          </w:cols>
          <w:pgMar w:left="300" w:top="400"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firstLine="362"/>
        <w:spacing w:after="0" w:line="253" w:lineRule="auto"/>
        <w:rPr>
          <w:sz w:val="20"/>
          <w:szCs w:val="20"/>
          <w:color w:val="auto"/>
        </w:rPr>
      </w:pPr>
      <w:r>
        <w:rPr>
          <w:rFonts w:ascii="Times New Roman" w:cs="Times New Roman" w:eastAsia="Times New Roman" w:hAnsi="Times New Roman"/>
          <w:sz w:val="15"/>
          <w:szCs w:val="15"/>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us.</w:t>
      </w:r>
    </w:p>
    <w:p>
      <w:pPr>
        <w:spacing w:after="0" w:line="155" w:lineRule="exact"/>
        <w:rPr>
          <w:sz w:val="20"/>
          <w:szCs w:val="20"/>
          <w:color w:val="auto"/>
        </w:rPr>
      </w:pPr>
    </w:p>
    <w:p>
      <w:pPr>
        <w:ind w:left="1120" w:right="80" w:firstLine="362"/>
        <w:spacing w:after="0" w:line="250" w:lineRule="auto"/>
        <w:rPr>
          <w:sz w:val="20"/>
          <w:szCs w:val="20"/>
          <w:color w:val="auto"/>
        </w:rPr>
      </w:pPr>
      <w:r>
        <w:rPr>
          <w:rFonts w:ascii="Times New Roman" w:cs="Times New Roman" w:eastAsia="Times New Roman" w:hAnsi="Times New Roman"/>
          <w:sz w:val="15"/>
          <w:szCs w:val="15"/>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95" w:lineRule="exact"/>
        <w:rPr>
          <w:sz w:val="20"/>
          <w:szCs w:val="20"/>
          <w:color w:val="auto"/>
        </w:rPr>
      </w:pPr>
    </w:p>
    <w:p>
      <w:pPr>
        <w:ind w:left="1120" w:right="120" w:firstLine="362"/>
        <w:spacing w:after="0" w:line="273" w:lineRule="auto"/>
        <w:rPr>
          <w:sz w:val="20"/>
          <w:szCs w:val="20"/>
          <w:color w:val="auto"/>
        </w:rPr>
      </w:pPr>
      <w:r>
        <w:rPr>
          <w:rFonts w:ascii="Times New Roman" w:cs="Times New Roman" w:eastAsia="Times New Roman" w:hAnsi="Times New Roman"/>
          <w:sz w:val="15"/>
          <w:szCs w:val="15"/>
          <w:color w:val="auto"/>
        </w:rPr>
        <w:t>Our Certificate of Incorporation provides that the Court of Chancery of the State of Delaware will be the exclusive forum for the following types of actions or proceedings under Delaware statutory or common law:</w:t>
      </w:r>
    </w:p>
    <w:p>
      <w:pPr>
        <w:spacing w:after="0" w:line="62" w:lineRule="exact"/>
        <w:rPr>
          <w:sz w:val="20"/>
          <w:szCs w:val="20"/>
          <w:color w:val="auto"/>
        </w:rPr>
      </w:pPr>
    </w:p>
    <w:p>
      <w:pPr>
        <w:ind w:left="1920" w:hanging="354"/>
        <w:spacing w:after="0"/>
        <w:tabs>
          <w:tab w:leader="none" w:pos="19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derivative action or proceeding brought on our behalf;</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breach of fiduciary duty;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against us arising pursuant to the DGCL, our Certificate of Incorporation, or our Bylaws;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or cause of action seeking to interpret, apply, enforce or determine the validity of the Certificate of Incorporation or the Bylaws;</w:t>
      </w:r>
    </w:p>
    <w:p>
      <w:pPr>
        <w:spacing w:after="0" w:line="116"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claim or cause of action as to which the DGCL confers jurisdiction on the Court of Chancery of the State of Delaware; or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against us that is governed by the internal affairs doctrine.</w:t>
      </w:r>
    </w:p>
    <w:p>
      <w:pPr>
        <w:spacing w:after="0" w:line="182" w:lineRule="exact"/>
        <w:rPr>
          <w:sz w:val="20"/>
          <w:szCs w:val="20"/>
          <w:color w:val="auto"/>
        </w:rPr>
      </w:pPr>
    </w:p>
    <w:p>
      <w:pPr>
        <w:ind w:left="1120" w:right="100" w:firstLine="362"/>
        <w:spacing w:after="0" w:line="252" w:lineRule="auto"/>
        <w:rPr>
          <w:sz w:val="20"/>
          <w:szCs w:val="20"/>
          <w:color w:val="auto"/>
        </w:rPr>
      </w:pPr>
      <w:r>
        <w:rPr>
          <w:rFonts w:ascii="Times New Roman" w:cs="Times New Roman" w:eastAsia="Times New Roman" w:hAnsi="Times New Roman"/>
          <w:sz w:val="15"/>
          <w:szCs w:val="15"/>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55" w:lineRule="exact"/>
        <w:rPr>
          <w:sz w:val="20"/>
          <w:szCs w:val="20"/>
          <w:color w:val="auto"/>
        </w:rPr>
      </w:pPr>
    </w:p>
    <w:p>
      <w:pPr>
        <w:ind w:left="1120" w:right="20" w:firstLine="362"/>
        <w:spacing w:after="0" w:line="279" w:lineRule="auto"/>
        <w:rPr>
          <w:sz w:val="20"/>
          <w:szCs w:val="20"/>
          <w:color w:val="auto"/>
        </w:rPr>
      </w:pPr>
      <w:r>
        <w:rPr>
          <w:rFonts w:ascii="Times New Roman" w:cs="Times New Roman" w:eastAsia="Times New Roman" w:hAnsi="Times New Roman"/>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ind w:left="1120" w:right="60" w:firstLine="362"/>
        <w:spacing w:after="0" w:line="273" w:lineRule="auto"/>
        <w:rPr>
          <w:sz w:val="20"/>
          <w:szCs w:val="20"/>
          <w:color w:val="auto"/>
        </w:rPr>
      </w:pPr>
      <w:r>
        <w:rPr>
          <w:rFonts w:ascii="Times New Roman" w:cs="Times New Roman" w:eastAsia="Times New Roman" w:hAnsi="Times New Roman"/>
          <w:sz w:val="15"/>
          <w:szCs w:val="15"/>
          <w:color w:val="auto"/>
        </w:rPr>
        <w:t>These exclusive forum provisions may result in increased costs for investors to bring a claim. Further, these exclusive forum provisions may limit a stockholder’s ability to bring a claim in a judicial forum that it finds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160"/>
          </w:cols>
          <w:pgMar w:left="300" w:top="400" w:right="1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jc w:val="both"/>
        <w:ind w:left="1120" w:right="219"/>
        <w:spacing w:after="0" w:line="255" w:lineRule="auto"/>
        <w:rPr>
          <w:sz w:val="20"/>
          <w:szCs w:val="20"/>
          <w:color w:val="auto"/>
        </w:rPr>
      </w:pPr>
      <w:r>
        <w:rPr>
          <w:rFonts w:ascii="Times New Roman" w:cs="Times New Roman" w:eastAsia="Times New Roman" w:hAnsi="Times New Roman"/>
          <w:sz w:val="15"/>
          <w:szCs w:val="15"/>
          <w:color w:val="auto"/>
        </w:rPr>
        <w:t>favorable for disputes with us or our directors, officers, or other employees, which may discourage lawsuits against us and our directors, officers and other employees. If a court were to find either exclusive-forum provision in our Certificate of Incorporation to be inapplicable or unenforceable in an action, we may incur further significant additional costs associated with resolving the dispute in other jurisdictions, all of which could seriously harm our business.</w:t>
      </w:r>
    </w:p>
    <w:p>
      <w:pPr>
        <w:spacing w:after="0" w:line="153" w:lineRule="exact"/>
        <w:rPr>
          <w:sz w:val="20"/>
          <w:szCs w:val="20"/>
          <w:color w:val="auto"/>
        </w:rPr>
      </w:pPr>
    </w:p>
    <w:p>
      <w:pPr>
        <w:ind w:left="1120" w:right="19" w:firstLine="362"/>
        <w:spacing w:after="0" w:line="260" w:lineRule="auto"/>
        <w:rPr>
          <w:sz w:val="20"/>
          <w:szCs w:val="20"/>
          <w:color w:val="auto"/>
        </w:rPr>
      </w:pPr>
      <w:r>
        <w:rPr>
          <w:rFonts w:ascii="Times New Roman" w:cs="Times New Roman" w:eastAsia="Times New Roman" w:hAnsi="Times New Roman"/>
          <w:sz w:val="15"/>
          <w:szCs w:val="15"/>
          <w:color w:val="auto"/>
        </w:rPr>
        <w:t>Our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95" w:lineRule="exact"/>
        <w:rPr>
          <w:sz w:val="20"/>
          <w:szCs w:val="20"/>
          <w:color w:val="auto"/>
        </w:rPr>
      </w:pPr>
    </w:p>
    <w:p>
      <w:pPr>
        <w:ind w:left="1120" w:right="179" w:firstLine="362"/>
        <w:spacing w:after="0" w:line="273" w:lineRule="auto"/>
        <w:rPr>
          <w:sz w:val="20"/>
          <w:szCs w:val="20"/>
          <w:color w:val="auto"/>
        </w:rPr>
      </w:pPr>
      <w:r>
        <w:rPr>
          <w:rFonts w:ascii="Times New Roman" w:cs="Times New Roman" w:eastAsia="Times New Roman" w:hAnsi="Times New Roman"/>
          <w:sz w:val="15"/>
          <w:szCs w:val="15"/>
          <w:color w:val="auto"/>
        </w:rPr>
        <w:t>The transfer agent and registrar for our common stock is American Stock Transfer &amp; Trust Company, LLC. The transfer agent’s address is 6201 15th Avenue, Brooklyn, New York 11219.</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Our common stock is listed on the Nasdaq Global Market under the trading symbol “IVVD”.</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159"/>
          </w:cols>
          <w:pgMar w:left="300" w:top="400"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DESCRIPTION OF OUR PREFERRED STOCK</w:t>
      </w:r>
    </w:p>
    <w:p>
      <w:pPr>
        <w:spacing w:after="0" w:line="184" w:lineRule="exact"/>
        <w:rPr>
          <w:sz w:val="20"/>
          <w:szCs w:val="20"/>
          <w:color w:val="auto"/>
        </w:rPr>
      </w:pPr>
    </w:p>
    <w:p>
      <w:pPr>
        <w:ind w:left="1120" w:right="400" w:firstLine="362"/>
        <w:spacing w:after="0" w:line="273" w:lineRule="auto"/>
        <w:rPr>
          <w:sz w:val="20"/>
          <w:szCs w:val="20"/>
          <w:color w:val="auto"/>
        </w:rPr>
      </w:pPr>
      <w:r>
        <w:rPr>
          <w:rFonts w:ascii="Times New Roman" w:cs="Times New Roman" w:eastAsia="Times New Roman" w:hAnsi="Times New Roman"/>
          <w:sz w:val="15"/>
          <w:szCs w:val="15"/>
          <w:color w:val="auto"/>
        </w:rPr>
        <w:t>We are authorized to issue up to 10,000,000 shares of preferred stock, par value $0.0001 per share, all of which shares of preferred stock are currently undesignated.</w:t>
      </w:r>
    </w:p>
    <w:p>
      <w:pPr>
        <w:spacing w:after="0" w:line="140" w:lineRule="exact"/>
        <w:rPr>
          <w:sz w:val="20"/>
          <w:szCs w:val="20"/>
          <w:color w:val="auto"/>
        </w:rPr>
      </w:pPr>
    </w:p>
    <w:p>
      <w:pPr>
        <w:ind w:left="1120" w:firstLine="362"/>
        <w:spacing w:after="0" w:line="248" w:lineRule="auto"/>
        <w:rPr>
          <w:sz w:val="20"/>
          <w:szCs w:val="20"/>
          <w:color w:val="auto"/>
        </w:rPr>
      </w:pPr>
      <w:r>
        <w:rPr>
          <w:rFonts w:ascii="Times New Roman" w:cs="Times New Roman" w:eastAsia="Times New Roman" w:hAnsi="Times New Roman"/>
          <w:sz w:val="15"/>
          <w:szCs w:val="15"/>
          <w:color w:val="auto"/>
        </w:rPr>
        <w:t>Our board of directors may, without further action by our stockholders, from time to time, direct the issuance of shares of preferred stock in series and may, at the time of issuance, determine and fix the number of shares of such series and the designation of such series, the voting powers, if any, of the shares of such series, the preferences and relative, participating, optional or other special rights, if any, and the qualifications, limitations or restrictions thereof, including without limitation thereof, dividend rights, conversion rights, redemption privileges and liquidation preferences, of the shares of such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It is not possible to state the actual effect of the issuance of any shares of preferred stock on the rights of holders of common stock until the board of directors determines the specific rights attached to that preferred stock. We have no current plan to issue any shares of preferred stock.</w:t>
      </w:r>
    </w:p>
    <w:p>
      <w:pPr>
        <w:spacing w:after="0" w:line="165" w:lineRule="exact"/>
        <w:rPr>
          <w:sz w:val="20"/>
          <w:szCs w:val="20"/>
          <w:color w:val="auto"/>
        </w:rPr>
      </w:pPr>
    </w:p>
    <w:p>
      <w:pPr>
        <w:jc w:val="both"/>
        <w:ind w:left="1120" w:right="20" w:firstLine="362"/>
        <w:spacing w:after="0" w:line="260" w:lineRule="auto"/>
        <w:rPr>
          <w:sz w:val="20"/>
          <w:szCs w:val="20"/>
          <w:color w:val="auto"/>
        </w:rPr>
      </w:pPr>
      <w:r>
        <w:rPr>
          <w:rFonts w:ascii="Times New Roman" w:cs="Times New Roman" w:eastAsia="Times New Roman" w:hAnsi="Times New Roman"/>
          <w:sz w:val="15"/>
          <w:szCs w:val="15"/>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71" w:lineRule="exact"/>
        <w:rPr>
          <w:sz w:val="20"/>
          <w:szCs w:val="20"/>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and stated value;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offered, the liquidation preference per share, and the purchase price;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dividend rate(s), period(s), and/or payment date(s), or method(s) of calculation for such dividends;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dividends will be cumulative or non-cumulative and, if cumulative, the date from which dividends will accumulate;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procedures for any auction and remarketing, if any;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for a sinking fund, if any;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for redemption, if applicable;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listing of the preferred stock on any securities exchange or market;</w:t>
      </w:r>
    </w:p>
    <w:p>
      <w:pPr>
        <w:spacing w:after="0" w:line="104" w:lineRule="exact"/>
        <w:rPr>
          <w:rFonts w:ascii="Times New Roman" w:cs="Times New Roman" w:eastAsia="Times New Roman" w:hAnsi="Times New Roman"/>
          <w:sz w:val="15"/>
          <w:szCs w:val="15"/>
          <w:color w:val="auto"/>
        </w:rPr>
      </w:pPr>
    </w:p>
    <w:p>
      <w:pPr>
        <w:ind w:left="1920" w:right="200" w:hanging="354"/>
        <w:spacing w:after="0" w:line="310" w:lineRule="auto"/>
        <w:tabs>
          <w:tab w:leader="none" w:pos="1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convertible into our common stock or our other securities and, if applicable, the conversion price (or how it will be calculated), the conversion period and any other terms of conversion (including any anti-dilution provisions, if any);</w:t>
      </w:r>
    </w:p>
    <w:p>
      <w:pPr>
        <w:spacing w:after="0" w:line="38" w:lineRule="exact"/>
        <w:rPr>
          <w:rFonts w:ascii="Times New Roman" w:cs="Times New Roman" w:eastAsia="Times New Roman" w:hAnsi="Times New Roman"/>
          <w:sz w:val="14"/>
          <w:szCs w:val="14"/>
          <w:color w:val="auto"/>
        </w:rPr>
      </w:pPr>
    </w:p>
    <w:p>
      <w:pPr>
        <w:ind w:left="1920" w:right="120" w:hanging="354"/>
        <w:spacing w:after="0" w:line="273" w:lineRule="auto"/>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rights, if any, of the preferred stock;</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any material and/or special U.S. federal income tax considerations applicable to the preferred stock;</w:t>
      </w:r>
    </w:p>
    <w:p>
      <w:pPr>
        <w:spacing w:after="0" w:line="104" w:lineRule="exact"/>
        <w:rPr>
          <w:rFonts w:ascii="Times New Roman" w:cs="Times New Roman" w:eastAsia="Times New Roman" w:hAnsi="Times New Roman"/>
          <w:sz w:val="15"/>
          <w:szCs w:val="15"/>
          <w:color w:val="auto"/>
        </w:rPr>
      </w:pPr>
    </w:p>
    <w:p>
      <w:pPr>
        <w:ind w:left="1920" w:right="160" w:hanging="354"/>
        <w:spacing w:after="0" w:line="273" w:lineRule="auto"/>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relative ranking and preferences of the preferred stock as to dividend rights and rights upon liquidation, dissolution, or winding up of our affairs;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160"/>
          </w:cols>
          <w:pgMar w:left="300" w:top="400" w:right="1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right="259" w:hanging="354"/>
        <w:spacing w:after="0" w:line="273" w:lineRule="auto"/>
        <w:tabs>
          <w:tab w:leader="none" w:pos="19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limitations on issuance of any class or series of preferred stock ranking senior to or on a parity with the series of preferred stock as to dividend rights and rights upon our liquidation, dissolution, or winding up; and</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affirmative, negative or other covenants or contractual rights which might be attendant with the specific series of preferred stock.</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preferred stock offered by this prospectus, when issued, will not have, or be subject to, any preemptive or similar rights.</w:t>
      </w:r>
    </w:p>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transfer agent and registrar for any series of preferred stock will be set forth in each applicable prospectus supplement.</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0159"/>
          </w:cols>
          <w:pgMar w:left="300" w:top="400"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DESCRIPTION OF OUR WARRANTS</w:t>
      </w:r>
    </w:p>
    <w:p>
      <w:pPr>
        <w:spacing w:after="0" w:line="184" w:lineRule="exact"/>
        <w:rPr>
          <w:sz w:val="20"/>
          <w:szCs w:val="20"/>
          <w:color w:val="auto"/>
        </w:rPr>
      </w:pPr>
    </w:p>
    <w:p>
      <w:pPr>
        <w:ind w:left="1120" w:right="199" w:firstLine="362"/>
        <w:spacing w:after="0" w:line="255" w:lineRule="auto"/>
        <w:rPr>
          <w:sz w:val="20"/>
          <w:szCs w:val="20"/>
          <w:color w:val="auto"/>
        </w:rPr>
      </w:pPr>
      <w:r>
        <w:rPr>
          <w:rFonts w:ascii="Times New Roman" w:cs="Times New Roman" w:eastAsia="Times New Roman" w:hAnsi="Times New Roman"/>
          <w:sz w:val="15"/>
          <w:szCs w:val="15"/>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w:t>
      </w:r>
    </w:p>
    <w:p>
      <w:pPr>
        <w:spacing w:after="0" w:line="15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applicable prospectus supplement will contain, where applicable, the following terms of and other information relating to the warrants:</w:t>
      </w:r>
    </w:p>
    <w:p>
      <w:pPr>
        <w:spacing w:after="0" w:line="105" w:lineRule="exact"/>
        <w:rPr>
          <w:sz w:val="20"/>
          <w:szCs w:val="20"/>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specific designation and aggregate number of, and the price at which we will issue, the warrants;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currency units in which the offering price, if any, and the exercise price are payable;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amount and terms of the securities purchasable upon exercise of the warrants;</w:t>
      </w:r>
    </w:p>
    <w:p>
      <w:pPr>
        <w:spacing w:after="0" w:line="104" w:lineRule="exact"/>
        <w:rPr>
          <w:rFonts w:ascii="Times New Roman" w:cs="Times New Roman" w:eastAsia="Times New Roman" w:hAnsi="Times New Roman"/>
          <w:sz w:val="15"/>
          <w:szCs w:val="15"/>
          <w:color w:val="auto"/>
        </w:rPr>
      </w:pPr>
    </w:p>
    <w:p>
      <w:pPr>
        <w:ind w:left="1920" w:right="19"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exercise price for shares of our common stock and the number of shares of common stock to be received upon exercise of the warrants;</w:t>
      </w:r>
    </w:p>
    <w:p>
      <w:pPr>
        <w:spacing w:after="0" w:line="61" w:lineRule="exact"/>
        <w:rPr>
          <w:rFonts w:ascii="Times New Roman" w:cs="Times New Roman" w:eastAsia="Times New Roman" w:hAnsi="Times New Roman"/>
          <w:sz w:val="15"/>
          <w:szCs w:val="15"/>
          <w:color w:val="auto"/>
        </w:rPr>
      </w:pPr>
    </w:p>
    <w:p>
      <w:pPr>
        <w:ind w:left="1920" w:right="179"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exercise price for shares of our preferred stock, the number of shares of preferred stock to be received upon exercise of the warrants, and a description of that series of our preferred stock;</w:t>
      </w:r>
    </w:p>
    <w:p>
      <w:pPr>
        <w:spacing w:after="0" w:line="61" w:lineRule="exact"/>
        <w:rPr>
          <w:rFonts w:ascii="Times New Roman" w:cs="Times New Roman" w:eastAsia="Times New Roman" w:hAnsi="Times New Roman"/>
          <w:sz w:val="15"/>
          <w:szCs w:val="15"/>
          <w:color w:val="auto"/>
        </w:rPr>
      </w:pPr>
    </w:p>
    <w:p>
      <w:pPr>
        <w:ind w:left="1920" w:right="19"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exercise price for our debt securities, the amount of our debt securities to be received upon exercise of the warrants, and a description of that series of debt securities;</w:t>
      </w:r>
    </w:p>
    <w:p>
      <w:pPr>
        <w:spacing w:after="0" w:line="61" w:lineRule="exact"/>
        <w:rPr>
          <w:rFonts w:ascii="Times New Roman" w:cs="Times New Roman" w:eastAsia="Times New Roman" w:hAnsi="Times New Roman"/>
          <w:sz w:val="15"/>
          <w:szCs w:val="15"/>
          <w:color w:val="auto"/>
        </w:rPr>
      </w:pPr>
    </w:p>
    <w:p>
      <w:pPr>
        <w:ind w:left="1920" w:right="239"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61" w:lineRule="exact"/>
        <w:rPr>
          <w:rFonts w:ascii="Times New Roman" w:cs="Times New Roman" w:eastAsia="Times New Roman" w:hAnsi="Times New Roman"/>
          <w:sz w:val="15"/>
          <w:szCs w:val="15"/>
          <w:color w:val="auto"/>
        </w:rPr>
      </w:pPr>
    </w:p>
    <w:p>
      <w:pPr>
        <w:ind w:left="1920" w:right="19" w:hanging="354"/>
        <w:spacing w:after="0" w:line="260"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material U.S. federal income tax or foreign tax consequences;</w:t>
      </w:r>
    </w:p>
    <w:p>
      <w:pPr>
        <w:spacing w:after="0" w:line="104" w:lineRule="exact"/>
        <w:rPr>
          <w:rFonts w:ascii="Times New Roman" w:cs="Times New Roman" w:eastAsia="Times New Roman" w:hAnsi="Times New Roman"/>
          <w:sz w:val="15"/>
          <w:szCs w:val="15"/>
          <w:color w:val="auto"/>
        </w:rPr>
      </w:pPr>
    </w:p>
    <w:p>
      <w:pPr>
        <w:ind w:left="1920" w:right="559"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the warrant agent for the warrants, if any, and of any other depositaries, execution or paying agents, transfer agents, registrars or other agents;</w:t>
      </w:r>
    </w:p>
    <w:p>
      <w:pPr>
        <w:spacing w:after="0" w:line="61" w:lineRule="exact"/>
        <w:rPr>
          <w:rFonts w:ascii="Times New Roman" w:cs="Times New Roman" w:eastAsia="Times New Roman" w:hAnsi="Times New Roman"/>
          <w:sz w:val="15"/>
          <w:szCs w:val="15"/>
          <w:color w:val="auto"/>
        </w:rPr>
      </w:pPr>
    </w:p>
    <w:p>
      <w:pPr>
        <w:ind w:left="1920" w:right="399"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listing, if any, of the warrants or any securities purchasable upon exercise of the warrants on any securities exchange or market;</w:t>
      </w:r>
    </w:p>
    <w:p>
      <w:pPr>
        <w:spacing w:after="0" w:line="61" w:lineRule="exact"/>
        <w:rPr>
          <w:rFonts w:ascii="Times New Roman" w:cs="Times New Roman" w:eastAsia="Times New Roman" w:hAnsi="Times New Roman"/>
          <w:sz w:val="15"/>
          <w:szCs w:val="15"/>
          <w:color w:val="auto"/>
        </w:rPr>
      </w:pPr>
    </w:p>
    <w:p>
      <w:pPr>
        <w:ind w:left="1920" w:right="219"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from and after which the warrants and the common stock, preferred stock and/or debt securities will be separately transferable;</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minimum or maximum amount of the warrants that may be exercised at any one time;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with respect to book-entry procedures, if any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anti-dilution provisions of the warrants, if any;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redemption, put or call provisions;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are to be sold separately or with other securities as parts of units;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terms of the warrants, including terms, procedures and limitations relating to the exchange and exercise of the warrants.</w:t>
      </w:r>
    </w:p>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transfer agent and registrar for any warrants will be set forth in the applicable prospectus supplement.</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0159"/>
          </w:cols>
          <w:pgMar w:left="300" w:top="400"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DESCRIPTION OF OUR DEBT SECURITIES</w:t>
      </w:r>
    </w:p>
    <w:p>
      <w:pPr>
        <w:spacing w:after="0" w:line="184" w:lineRule="exact"/>
        <w:rPr>
          <w:sz w:val="20"/>
          <w:szCs w:val="20"/>
          <w:color w:val="auto"/>
        </w:rPr>
      </w:pPr>
    </w:p>
    <w:p>
      <w:pPr>
        <w:ind w:left="1120" w:right="19" w:firstLine="362"/>
        <w:spacing w:after="0" w:line="275" w:lineRule="auto"/>
        <w:rPr>
          <w:sz w:val="20"/>
          <w:szCs w:val="20"/>
          <w:color w:val="auto"/>
        </w:rPr>
      </w:pPr>
      <w:r>
        <w:rPr>
          <w:rFonts w:ascii="Times New Roman" w:cs="Times New Roman" w:eastAsia="Times New Roman" w:hAnsi="Times New Roman"/>
          <w:sz w:val="14"/>
          <w:szCs w:val="14"/>
          <w:color w:val="auto"/>
        </w:rPr>
        <w:t>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descriptions of general terms relating to the debt securities and the indenture under which the debt securities will be issued are summaries only and therefore are not complete. You should read the indenture and the prospectus supplement regarding any particular issuance of debt securities.</w:t>
      </w:r>
    </w:p>
    <w:p>
      <w:pPr>
        <w:spacing w:after="0" w:line="142" w:lineRule="exact"/>
        <w:rPr>
          <w:sz w:val="20"/>
          <w:szCs w:val="20"/>
          <w:color w:val="auto"/>
        </w:rPr>
      </w:pPr>
    </w:p>
    <w:p>
      <w:pPr>
        <w:ind w:left="1120" w:right="19" w:firstLine="362"/>
        <w:spacing w:after="0" w:line="253" w:lineRule="auto"/>
        <w:rPr>
          <w:sz w:val="20"/>
          <w:szCs w:val="20"/>
          <w:color w:val="auto"/>
        </w:rPr>
      </w:pPr>
      <w:r>
        <w:rPr>
          <w:rFonts w:ascii="Times New Roman" w:cs="Times New Roman" w:eastAsia="Times New Roman" w:hAnsi="Times New Roman"/>
          <w:sz w:val="15"/>
          <w:szCs w:val="15"/>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or will file a copy of the form of indenture as an exhibit to the registration statement in which this prospectus is included. The indenture will be subject to and governed by the terms of the Trust Indenture Act of 1939.</w:t>
      </w:r>
    </w:p>
    <w:p>
      <w:pPr>
        <w:spacing w:after="0" w:line="155" w:lineRule="exact"/>
        <w:rPr>
          <w:sz w:val="20"/>
          <w:szCs w:val="20"/>
          <w:color w:val="auto"/>
        </w:rPr>
      </w:pPr>
    </w:p>
    <w:p>
      <w:pPr>
        <w:ind w:left="1120" w:right="279" w:firstLine="362"/>
        <w:spacing w:after="0" w:line="255" w:lineRule="auto"/>
        <w:rPr>
          <w:sz w:val="20"/>
          <w:szCs w:val="20"/>
          <w:color w:val="auto"/>
        </w:rPr>
      </w:pPr>
      <w:r>
        <w:rPr>
          <w:rFonts w:ascii="Times New Roman" w:cs="Times New Roman" w:eastAsia="Times New Roman" w:hAnsi="Times New Roman"/>
          <w:sz w:val="15"/>
          <w:szCs w:val="15"/>
          <w:color w:val="auto"/>
        </w:rPr>
        <w:t>We may offer under this prospectus up to an aggregate principal amount of $400,000,000 in debt securities, or if debt securities are issued at a discount, or in a foreign currency, foreign currency units or composite currency, the principal amount as may be sold for an aggregate initial public offering price of up to $400,000,000. Unless otherwise specified in the applicable prospectus supplement, the debt securities will represent direct, unsecured obligations of our company and will rank equally with all of our other unsecured indebtedness.</w:t>
      </w:r>
    </w:p>
    <w:p>
      <w:pPr>
        <w:spacing w:after="0" w:line="153" w:lineRule="exact"/>
        <w:rPr>
          <w:sz w:val="20"/>
          <w:szCs w:val="20"/>
          <w:color w:val="auto"/>
        </w:rPr>
      </w:pPr>
    </w:p>
    <w:p>
      <w:pPr>
        <w:ind w:left="1120" w:right="279" w:firstLine="362"/>
        <w:spacing w:after="0" w:line="273" w:lineRule="auto"/>
        <w:rPr>
          <w:sz w:val="20"/>
          <w:szCs w:val="20"/>
          <w:color w:val="auto"/>
        </w:rPr>
      </w:pPr>
      <w:r>
        <w:rPr>
          <w:rFonts w:ascii="Times New Roman" w:cs="Times New Roman" w:eastAsia="Times New Roman" w:hAnsi="Times New Roman"/>
          <w:sz w:val="15"/>
          <w:szCs w:val="15"/>
          <w:color w:val="auto"/>
        </w:rPr>
        <w:t>The following statements relating to the debt securities and the indenture are summaries, qualified in their entirety by reference to the detailed provisions of the indenture and the final form indenture as may be filed with a future prospectus supplement.</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5" w:lineRule="exact"/>
        <w:rPr>
          <w:sz w:val="20"/>
          <w:szCs w:val="20"/>
          <w:color w:val="auto"/>
        </w:rPr>
      </w:pPr>
    </w:p>
    <w:p>
      <w:pPr>
        <w:ind w:left="1120" w:right="59" w:firstLine="362"/>
        <w:spacing w:after="0" w:line="273" w:lineRule="auto"/>
        <w:rPr>
          <w:sz w:val="20"/>
          <w:szCs w:val="20"/>
          <w:color w:val="auto"/>
        </w:rPr>
      </w:pPr>
      <w:r>
        <w:rPr>
          <w:rFonts w:ascii="Times New Roman" w:cs="Times New Roman" w:eastAsia="Times New Roman" w:hAnsi="Times New Roman"/>
          <w:sz w:val="15"/>
          <w:szCs w:val="15"/>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40" w:lineRule="exact"/>
        <w:rPr>
          <w:sz w:val="20"/>
          <w:szCs w:val="20"/>
          <w:color w:val="auto"/>
        </w:rPr>
      </w:pPr>
    </w:p>
    <w:p>
      <w:pPr>
        <w:ind w:left="1120" w:right="399" w:firstLine="362"/>
        <w:spacing w:after="0" w:line="273" w:lineRule="auto"/>
        <w:rPr>
          <w:sz w:val="20"/>
          <w:szCs w:val="20"/>
          <w:color w:val="auto"/>
        </w:rPr>
      </w:pPr>
      <w:r>
        <w:rPr>
          <w:rFonts w:ascii="Times New Roman" w:cs="Times New Roman" w:eastAsia="Times New Roman" w:hAnsi="Times New Roman"/>
          <w:sz w:val="15"/>
          <w:szCs w:val="15"/>
          <w:color w:val="auto"/>
        </w:rPr>
        <w:t>The prospectus supplement will set forth, to the extent required, the following terms of the debt securities in respect of which the prospectus supplement is delivered:</w:t>
      </w:r>
    </w:p>
    <w:p>
      <w:pPr>
        <w:spacing w:after="0" w:line="62" w:lineRule="exact"/>
        <w:rPr>
          <w:sz w:val="20"/>
          <w:szCs w:val="20"/>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series;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principal amount;</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 price or prices, expressed as a percentage of the aggregate principal amount of the debt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on the aggregate principal amount;</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debt securities will be issued and on which principal of, and premium, if any, is payable;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interest rate or rates (which may be fixed or variable) or, if applicable, the method used to determine such rate or rates;</w:t>
      </w:r>
    </w:p>
    <w:p>
      <w:pPr>
        <w:spacing w:after="0" w:line="104" w:lineRule="exact"/>
        <w:rPr>
          <w:rFonts w:ascii="Times New Roman" w:cs="Times New Roman" w:eastAsia="Times New Roman" w:hAnsi="Times New Roman"/>
          <w:sz w:val="15"/>
          <w:szCs w:val="15"/>
          <w:color w:val="auto"/>
        </w:rPr>
      </w:pPr>
    </w:p>
    <w:p>
      <w:pPr>
        <w:jc w:val="both"/>
        <w:ind w:left="1920" w:right="379" w:hanging="354"/>
        <w:spacing w:after="0" w:line="260"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from which interest will accrue, the interest payment date or dates on which interest will be payable and any regular record date for the interest payable, and the basis upon which interest will be calculated if other than that of a 360-day year of twelve 30-day months;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159"/>
          </w:cols>
          <w:pgMar w:left="300" w:top="40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or places where principal and, if applicable, premium and interest, is payable;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upon which we may, or the holders may require us to, redeem or repurchase the debt securities;</w:t>
      </w:r>
    </w:p>
    <w:p>
      <w:pPr>
        <w:spacing w:after="0" w:line="104" w:lineRule="exact"/>
        <w:rPr>
          <w:rFonts w:ascii="Times New Roman" w:cs="Times New Roman" w:eastAsia="Times New Roman" w:hAnsi="Times New Roman"/>
          <w:sz w:val="15"/>
          <w:szCs w:val="15"/>
          <w:color w:val="auto"/>
        </w:rPr>
      </w:pPr>
    </w:p>
    <w:p>
      <w:pPr>
        <w:ind w:left="1920" w:right="120" w:hanging="354"/>
        <w:spacing w:after="0" w:line="273"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such debt securities may be issuable, if other than a minimum denomination of $2,000 or an integral multiple of $1,000 in excess thereof;</w:t>
      </w:r>
    </w:p>
    <w:p>
      <w:pPr>
        <w:spacing w:after="0" w:line="61" w:lineRule="exact"/>
        <w:rPr>
          <w:rFonts w:ascii="Times New Roman" w:cs="Times New Roman" w:eastAsia="Times New Roman" w:hAnsi="Times New Roman"/>
          <w:sz w:val="15"/>
          <w:szCs w:val="15"/>
          <w:color w:val="auto"/>
        </w:rPr>
      </w:pPr>
    </w:p>
    <w:p>
      <w:pPr>
        <w:ind w:left="1920" w:right="240" w:hanging="354"/>
        <w:spacing w:after="0" w:line="273"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are to be issuable in the form of certificated debt securities (as described below) or global debt securities (as described below);</w:t>
      </w:r>
    </w:p>
    <w:p>
      <w:pPr>
        <w:spacing w:after="0" w:line="61" w:lineRule="exact"/>
        <w:rPr>
          <w:rFonts w:ascii="Times New Roman" w:cs="Times New Roman" w:eastAsia="Times New Roman" w:hAnsi="Times New Roman"/>
          <w:sz w:val="15"/>
          <w:szCs w:val="15"/>
          <w:color w:val="auto"/>
        </w:rPr>
      </w:pPr>
    </w:p>
    <w:p>
      <w:pPr>
        <w:ind w:left="1920" w:right="40" w:hanging="354"/>
        <w:spacing w:after="0" w:line="273"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principal amount that will be payable upon declaration of acceleration of the maturity date if other than the principal amount of the debt securities;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of denomination;</w:t>
      </w:r>
    </w:p>
    <w:p>
      <w:pPr>
        <w:spacing w:after="0" w:line="104" w:lineRule="exact"/>
        <w:rPr>
          <w:rFonts w:ascii="Times New Roman" w:cs="Times New Roman" w:eastAsia="Times New Roman" w:hAnsi="Times New Roman"/>
          <w:sz w:val="15"/>
          <w:szCs w:val="15"/>
          <w:color w:val="auto"/>
        </w:rPr>
      </w:pPr>
    </w:p>
    <w:p>
      <w:pPr>
        <w:ind w:left="1920" w:right="20" w:hanging="354"/>
        <w:spacing w:after="0" w:line="273"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of the currency, currencies or currency units in which payment of principal and, if applicable, premium and interest, will be made;</w:t>
      </w:r>
    </w:p>
    <w:p>
      <w:pPr>
        <w:spacing w:after="0" w:line="61" w:lineRule="exact"/>
        <w:rPr>
          <w:rFonts w:ascii="Times New Roman" w:cs="Times New Roman" w:eastAsia="Times New Roman" w:hAnsi="Times New Roman"/>
          <w:sz w:val="15"/>
          <w:szCs w:val="15"/>
          <w:color w:val="auto"/>
        </w:rPr>
      </w:pPr>
    </w:p>
    <w:p>
      <w:pPr>
        <w:ind w:left="1920" w:right="40" w:hanging="354"/>
        <w:spacing w:after="0" w:line="310" w:lineRule="auto"/>
        <w:tabs>
          <w:tab w:leader="none" w:pos="19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38" w:lineRule="exact"/>
        <w:rPr>
          <w:rFonts w:ascii="Times New Roman" w:cs="Times New Roman" w:eastAsia="Times New Roman" w:hAnsi="Times New Roman"/>
          <w:sz w:val="14"/>
          <w:szCs w:val="14"/>
          <w:color w:val="auto"/>
        </w:rPr>
      </w:pPr>
    </w:p>
    <w:p>
      <w:pPr>
        <w:ind w:left="1920" w:right="40" w:hanging="354"/>
        <w:spacing w:after="0" w:line="310" w:lineRule="auto"/>
        <w:tabs>
          <w:tab w:leader="none" w:pos="19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amounts of principal and, if applicable, premium and interest may be determined by reference to an index, including an index based on a currency or currencies other than in which the debt securities are payable, then the manner in which such amounts will be determined;</w:t>
      </w:r>
    </w:p>
    <w:p>
      <w:pPr>
        <w:spacing w:after="0" w:line="38"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if any, relating to any collateral provided for such debt securities;</w:t>
      </w:r>
    </w:p>
    <w:p>
      <w:pPr>
        <w:spacing w:after="0" w:line="104" w:lineRule="exact"/>
        <w:rPr>
          <w:rFonts w:ascii="Times New Roman" w:cs="Times New Roman" w:eastAsia="Times New Roman" w:hAnsi="Times New Roman"/>
          <w:sz w:val="15"/>
          <w:szCs w:val="15"/>
          <w:color w:val="auto"/>
        </w:rPr>
      </w:pPr>
    </w:p>
    <w:p>
      <w:pPr>
        <w:jc w:val="both"/>
        <w:ind w:left="1920" w:right="240" w:hanging="354"/>
        <w:spacing w:after="0" w:line="260"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will be guaranteed by any person or persons and, if so, the identity of such person or persons, the terms and conditions upon which such debt securities shall be guaranteed and, if applicable, the terms and conditions upon which such guarantees may be subordinated to other indebtedness of the respective guarantors;</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 to or change in the covenants described in this prospectus or in the indenture;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events of default, if not otherwise described below under “Events of Default”;</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if any, for conversion into or exchange for shares of our common stock or preferred stock;</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depositaries, interest rate calculation agents, exchange rate calculation agents or other agents;</w:t>
      </w:r>
    </w:p>
    <w:p>
      <w:pPr>
        <w:spacing w:after="0" w:line="104" w:lineRule="exact"/>
        <w:rPr>
          <w:rFonts w:ascii="Times New Roman" w:cs="Times New Roman" w:eastAsia="Times New Roman" w:hAnsi="Times New Roman"/>
          <w:sz w:val="15"/>
          <w:szCs w:val="15"/>
          <w:color w:val="auto"/>
        </w:rPr>
      </w:pPr>
    </w:p>
    <w:p>
      <w:pPr>
        <w:ind w:left="1920" w:right="360" w:hanging="354"/>
        <w:spacing w:after="0" w:line="273"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if any, upon which the debt securities shall be subordinated in right of payment to other indebtedness of our company; and</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debt securities of such series.</w:t>
      </w:r>
    </w:p>
    <w:p>
      <w:pPr>
        <w:spacing w:after="0" w:line="182" w:lineRule="exact"/>
        <w:rPr>
          <w:sz w:val="20"/>
          <w:szCs w:val="20"/>
          <w:color w:val="auto"/>
        </w:rPr>
      </w:pPr>
    </w:p>
    <w:p>
      <w:pPr>
        <w:ind w:left="1120" w:firstLine="362"/>
        <w:spacing w:after="0" w:line="255" w:lineRule="auto"/>
        <w:rPr>
          <w:sz w:val="20"/>
          <w:szCs w:val="20"/>
          <w:color w:val="auto"/>
        </w:rPr>
      </w:pPr>
      <w:r>
        <w:rPr>
          <w:rFonts w:ascii="Times New Roman" w:cs="Times New Roman" w:eastAsia="Times New Roman" w:hAnsi="Times New Roman"/>
          <w:sz w:val="15"/>
          <w:szCs w:val="15"/>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w:t>
      </w:r>
    </w:p>
    <w:p>
      <w:pPr>
        <w:spacing w:after="0" w:line="153" w:lineRule="exact"/>
        <w:rPr>
          <w:sz w:val="20"/>
          <w:szCs w:val="20"/>
          <w:color w:val="auto"/>
        </w:rPr>
      </w:pPr>
    </w:p>
    <w:p>
      <w:pPr>
        <w:ind w:left="1120" w:right="180" w:firstLine="362"/>
        <w:spacing w:after="0" w:line="260" w:lineRule="auto"/>
        <w:rPr>
          <w:sz w:val="20"/>
          <w:szCs w:val="20"/>
          <w:color w:val="auto"/>
        </w:rPr>
      </w:pPr>
      <w:r>
        <w:rPr>
          <w:rFonts w:ascii="Times New Roman" w:cs="Times New Roman" w:eastAsia="Times New Roman" w:hAnsi="Times New Roman"/>
          <w:sz w:val="15"/>
          <w:szCs w:val="15"/>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160"/>
          </w:cols>
          <w:pgMar w:left="300" w:top="400" w:right="1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Exchange and/or Conversion Rights</w:t>
      </w:r>
    </w:p>
    <w:p>
      <w:pPr>
        <w:spacing w:after="0" w:line="97" w:lineRule="exact"/>
        <w:rPr>
          <w:sz w:val="20"/>
          <w:szCs w:val="20"/>
          <w:color w:val="auto"/>
        </w:rPr>
      </w:pPr>
    </w:p>
    <w:p>
      <w:pPr>
        <w:ind w:left="1120" w:right="360" w:firstLine="362"/>
        <w:spacing w:after="0" w:line="273" w:lineRule="auto"/>
        <w:rPr>
          <w:sz w:val="20"/>
          <w:szCs w:val="20"/>
          <w:color w:val="auto"/>
        </w:rPr>
      </w:pPr>
      <w:r>
        <w:rPr>
          <w:rFonts w:ascii="Times New Roman" w:cs="Times New Roman" w:eastAsia="Times New Roman" w:hAnsi="Times New Roman"/>
          <w:sz w:val="15"/>
          <w:szCs w:val="15"/>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Transfer and Exchange</w:t>
      </w:r>
    </w:p>
    <w:p>
      <w:pPr>
        <w:spacing w:after="0" w:line="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may issue debt securities that will be represented by either:</w:t>
      </w:r>
    </w:p>
    <w:p>
      <w:pPr>
        <w:spacing w:after="0" w:line="105" w:lineRule="exact"/>
        <w:rPr>
          <w:sz w:val="20"/>
          <w:szCs w:val="20"/>
          <w:color w:val="auto"/>
        </w:rPr>
      </w:pPr>
    </w:p>
    <w:p>
      <w:pPr>
        <w:ind w:left="1920" w:hanging="354"/>
        <w:spacing w:after="0" w:line="273" w:lineRule="auto"/>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“book-entry securities,” which means that there will be one or more global securities registered in the name of a depositary or a nominee of a depositary; or</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“certificated securities,” which means that they will be represented by a certificate issued in definitive registered form.</w:t>
      </w:r>
    </w:p>
    <w:p>
      <w:pPr>
        <w:spacing w:after="0" w:line="182" w:lineRule="exact"/>
        <w:rPr>
          <w:sz w:val="20"/>
          <w:szCs w:val="20"/>
          <w:color w:val="auto"/>
        </w:rPr>
      </w:pPr>
    </w:p>
    <w:p>
      <w:pPr>
        <w:ind w:left="1120" w:right="620" w:firstLine="362"/>
        <w:spacing w:after="0" w:line="273" w:lineRule="auto"/>
        <w:rPr>
          <w:sz w:val="20"/>
          <w:szCs w:val="20"/>
          <w:color w:val="auto"/>
        </w:rPr>
      </w:pPr>
      <w:r>
        <w:rPr>
          <w:rFonts w:ascii="Times New Roman" w:cs="Times New Roman" w:eastAsia="Times New Roman" w:hAnsi="Times New Roman"/>
          <w:sz w:val="15"/>
          <w:szCs w:val="15"/>
          <w:color w:val="auto"/>
        </w:rPr>
        <w:t>We will specify in the prospectus supplement applicable to a particular offering whether the debt securities offered will be book-entry or certificated securities.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Certificated Debt Securities</w:t>
      </w:r>
    </w:p>
    <w:p>
      <w:pPr>
        <w:spacing w:after="0" w:line="97" w:lineRule="exact"/>
        <w:rPr>
          <w:sz w:val="20"/>
          <w:szCs w:val="20"/>
          <w:color w:val="auto"/>
        </w:rPr>
      </w:pPr>
    </w:p>
    <w:p>
      <w:pPr>
        <w:ind w:left="1120" w:right="120" w:firstLine="362"/>
        <w:spacing w:after="0" w:line="260" w:lineRule="auto"/>
        <w:rPr>
          <w:sz w:val="20"/>
          <w:szCs w:val="20"/>
          <w:color w:val="auto"/>
        </w:rPr>
      </w:pPr>
      <w:r>
        <w:rPr>
          <w:rFonts w:ascii="Times New Roman" w:cs="Times New Roman" w:eastAsia="Times New Roman" w:hAnsi="Times New Roman"/>
          <w:sz w:val="15"/>
          <w:szCs w:val="15"/>
          <w:color w:val="auto"/>
        </w:rPr>
        <w:t>If you hold certificated debt securities issued under an indenture, you may transfer or exchange such debt securities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Global Securities</w:t>
      </w:r>
    </w:p>
    <w:p>
      <w:pPr>
        <w:spacing w:after="0" w:line="97" w:lineRule="exact"/>
        <w:rPr>
          <w:sz w:val="20"/>
          <w:szCs w:val="20"/>
          <w:color w:val="auto"/>
        </w:rPr>
      </w:pPr>
    </w:p>
    <w:p>
      <w:pPr>
        <w:ind w:left="1120" w:right="140" w:firstLine="362"/>
        <w:spacing w:after="0" w:line="255" w:lineRule="auto"/>
        <w:rPr>
          <w:sz w:val="20"/>
          <w:szCs w:val="20"/>
          <w:color w:val="auto"/>
        </w:rPr>
      </w:pPr>
      <w:r>
        <w:rPr>
          <w:rFonts w:ascii="Times New Roman" w:cs="Times New Roman" w:eastAsia="Times New Roman" w:hAnsi="Times New Roman"/>
          <w:sz w:val="15"/>
          <w:szCs w:val="15"/>
          <w:color w:val="auto"/>
        </w:rPr>
        <w:t>The debt securities of a series may be issued in the form of one or more global securities that will be deposited with a depositary or its nominees identified in the prospectus supplement relating to the debt securities. In such a case, one or more global securities will be issued in a denomination or aggregate denominations equal to the portion of the aggregate principal amount of outstanding debt securities of the series to be represented by such global security or securities.</w:t>
      </w:r>
    </w:p>
    <w:p>
      <w:pPr>
        <w:spacing w:after="0" w:line="153" w:lineRule="exact"/>
        <w:rPr>
          <w:sz w:val="20"/>
          <w:szCs w:val="20"/>
          <w:color w:val="auto"/>
        </w:rPr>
      </w:pPr>
    </w:p>
    <w:p>
      <w:pPr>
        <w:ind w:left="1120" w:right="160" w:firstLine="362"/>
        <w:spacing w:after="0" w:line="255" w:lineRule="auto"/>
        <w:rPr>
          <w:sz w:val="20"/>
          <w:szCs w:val="20"/>
          <w:color w:val="auto"/>
        </w:rPr>
      </w:pPr>
      <w:r>
        <w:rPr>
          <w:rFonts w:ascii="Times New Roman" w:cs="Times New Roman" w:eastAsia="Times New Roman" w:hAnsi="Times New Roman"/>
          <w:sz w:val="15"/>
          <w:szCs w:val="15"/>
          <w:color w:val="auto"/>
        </w:rPr>
        <w:t>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w:t>
      </w:r>
    </w:p>
    <w:p>
      <w:pPr>
        <w:spacing w:after="0" w:line="2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Protection in the Event of Change of Control</w:t>
      </w:r>
    </w:p>
    <w:p>
      <w:pPr>
        <w:spacing w:after="0" w:line="97" w:lineRule="exact"/>
        <w:rPr>
          <w:sz w:val="20"/>
          <w:szCs w:val="20"/>
          <w:color w:val="auto"/>
        </w:rPr>
      </w:pPr>
    </w:p>
    <w:p>
      <w:pPr>
        <w:ind w:left="1120" w:right="100" w:firstLine="362"/>
        <w:spacing w:after="0" w:line="287" w:lineRule="auto"/>
        <w:rPr>
          <w:sz w:val="20"/>
          <w:szCs w:val="20"/>
          <w:color w:val="auto"/>
        </w:rPr>
      </w:pPr>
      <w:r>
        <w:rPr>
          <w:rFonts w:ascii="Times New Roman" w:cs="Times New Roman" w:eastAsia="Times New Roman" w:hAnsi="Times New Roman"/>
          <w:sz w:val="14"/>
          <w:szCs w:val="14"/>
          <w:color w:val="auto"/>
        </w:rPr>
        <w:t>Any provision in an indenture that governs our debt securities covered by this prospectus that includes any covenant or other provision providing for a put or increased interest or otherwise that would afford holders of our debt securities additional protection in the event of a recapitalization transaction, a change of control of our company, or a highly leveraged transaction will be described in the applicable prospectus supplement.</w:t>
      </w:r>
    </w:p>
    <w:p>
      <w:pPr>
        <w:spacing w:after="0" w:line="2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Covenants</w:t>
      </w:r>
    </w:p>
    <w:p>
      <w:pPr>
        <w:spacing w:after="0" w:line="97" w:lineRule="exact"/>
        <w:rPr>
          <w:sz w:val="20"/>
          <w:szCs w:val="20"/>
          <w:color w:val="auto"/>
        </w:rPr>
      </w:pPr>
    </w:p>
    <w:p>
      <w:pPr>
        <w:ind w:left="1120" w:right="260" w:firstLine="362"/>
        <w:spacing w:after="0" w:line="260" w:lineRule="auto"/>
        <w:rPr>
          <w:sz w:val="20"/>
          <w:szCs w:val="20"/>
          <w:color w:val="auto"/>
        </w:rPr>
      </w:pPr>
      <w:r>
        <w:rPr>
          <w:rFonts w:ascii="Times New Roman" w:cs="Times New Roman" w:eastAsia="Times New Roman" w:hAnsi="Times New Roman"/>
          <w:sz w:val="15"/>
          <w:szCs w:val="15"/>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0160"/>
          </w:cols>
          <w:pgMar w:left="300" w:top="400" w:right="1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Consolidation, Merger, Conveyance, Transfer or Lease</w:t>
      </w:r>
    </w:p>
    <w:p>
      <w:pPr>
        <w:spacing w:after="0" w:line="97" w:lineRule="exact"/>
        <w:rPr>
          <w:sz w:val="20"/>
          <w:szCs w:val="20"/>
          <w:color w:val="auto"/>
        </w:rPr>
      </w:pPr>
    </w:p>
    <w:p>
      <w:pPr>
        <w:jc w:val="both"/>
        <w:ind w:left="1120" w:firstLine="362"/>
        <w:spacing w:after="0" w:line="260" w:lineRule="auto"/>
        <w:rPr>
          <w:sz w:val="20"/>
          <w:szCs w:val="20"/>
          <w:color w:val="auto"/>
        </w:rPr>
      </w:pPr>
      <w:r>
        <w:rPr>
          <w:rFonts w:ascii="Times New Roman" w:cs="Times New Roman" w:eastAsia="Times New Roman" w:hAnsi="Times New Roman"/>
          <w:sz w:val="15"/>
          <w:szCs w:val="15"/>
          <w:color w:val="auto"/>
        </w:rPr>
        <w:t>We may agree in any indenture that governs the debt securities of any series covered by this prospectus that we will not consolidate with or merge into any other person or convey, transfer or lease (as lessor) our properties and assets as, or substantially as, an entirety to any person, unless such person and such proposed transaction meets various criteria, which we will describe in detail in the applicable prospectus supplement.</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Defaults and Notice</w:t>
      </w:r>
    </w:p>
    <w:p>
      <w:pPr>
        <w:spacing w:after="0" w:line="97" w:lineRule="exact"/>
        <w:rPr>
          <w:sz w:val="20"/>
          <w:szCs w:val="20"/>
          <w:color w:val="auto"/>
        </w:rPr>
      </w:pPr>
    </w:p>
    <w:p>
      <w:pPr>
        <w:jc w:val="both"/>
        <w:ind w:left="1120" w:firstLine="362"/>
        <w:spacing w:after="0" w:line="273" w:lineRule="auto"/>
        <w:rPr>
          <w:sz w:val="20"/>
          <w:szCs w:val="20"/>
          <w:color w:val="auto"/>
        </w:rPr>
      </w:pPr>
      <w:r>
        <w:rPr>
          <w:rFonts w:ascii="Times New Roman" w:cs="Times New Roman" w:eastAsia="Times New Roman" w:hAnsi="Times New Roman"/>
          <w:sz w:val="15"/>
          <w:szCs w:val="15"/>
          <w:color w:val="auto"/>
        </w:rPr>
        <w:t>The debt securities of any series will contain events of default to be specified in the applicable prospectus supplement, which may include, without limitation:</w:t>
      </w:r>
    </w:p>
    <w:p>
      <w:pPr>
        <w:spacing w:after="0" w:line="62" w:lineRule="exact"/>
        <w:rPr>
          <w:sz w:val="20"/>
          <w:szCs w:val="20"/>
          <w:color w:val="auto"/>
        </w:rPr>
      </w:pPr>
    </w:p>
    <w:p>
      <w:pPr>
        <w:ind w:left="1920" w:right="340" w:hanging="354"/>
        <w:spacing w:after="0" w:line="273" w:lineRule="auto"/>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interest upon any debt security of that series when it becomes due and payable, and continuance of such default for a period of 30 days;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the principal of or any premium on any debt security of that series at its maturity;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deposit of any sinking fund payment, when and as due by the terms of a debt security of that series;</w:t>
      </w:r>
    </w:p>
    <w:p>
      <w:pPr>
        <w:spacing w:after="0" w:line="104" w:lineRule="exact"/>
        <w:rPr>
          <w:rFonts w:ascii="Times New Roman" w:cs="Times New Roman" w:eastAsia="Times New Roman" w:hAnsi="Times New Roman"/>
          <w:sz w:val="15"/>
          <w:szCs w:val="15"/>
          <w:color w:val="auto"/>
        </w:rPr>
      </w:pPr>
    </w:p>
    <w:p>
      <w:pPr>
        <w:ind w:left="1920" w:right="400" w:hanging="354"/>
        <w:spacing w:after="0" w:line="273" w:lineRule="auto"/>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performance or breach of any other covenants or agreements in the indenture with respect to the debt securities of such series; and</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relating to our bankruptcy, insolvency or reorganization.</w:t>
      </w:r>
    </w:p>
    <w:p>
      <w:pPr>
        <w:spacing w:after="0" w:line="182" w:lineRule="exact"/>
        <w:rPr>
          <w:sz w:val="20"/>
          <w:szCs w:val="20"/>
          <w:color w:val="auto"/>
        </w:rPr>
      </w:pPr>
    </w:p>
    <w:p>
      <w:pPr>
        <w:ind w:left="1120" w:right="20" w:firstLine="362"/>
        <w:spacing w:after="0" w:line="252" w:lineRule="auto"/>
        <w:rPr>
          <w:sz w:val="20"/>
          <w:szCs w:val="20"/>
          <w:color w:val="auto"/>
        </w:rPr>
      </w:pPr>
      <w:r>
        <w:rPr>
          <w:rFonts w:ascii="Times New Roman" w:cs="Times New Roman" w:eastAsia="Times New Roman" w:hAnsi="Times New Roman"/>
          <w:sz w:val="15"/>
          <w:szCs w:val="15"/>
          <w:color w:val="auto"/>
        </w:rPr>
        <w:t>If an event of default with respect to debt securities of any series shall occur and be continuing, we may agree that the trustee or the holders of at least 25% in aggregate principal amount of the then outstanding debt securities of such series may declare the principal amount (or, if the debt securities of such series are issued at an original issue discount, such portion of the principal amount as may be specified in the terms of the debt securities of such series) of all debt securities of such series or such other amount or amounts as the debt securities or supplemental indenture with respect to such series may provide, to be due and payable immediately. Any provisions pertaining to events of default and any remedies associated therewith will be described in the applicable prospectus supplement.</w:t>
      </w:r>
    </w:p>
    <w:p>
      <w:pPr>
        <w:spacing w:after="0" w:line="155" w:lineRule="exact"/>
        <w:rPr>
          <w:sz w:val="20"/>
          <w:szCs w:val="20"/>
          <w:color w:val="auto"/>
        </w:rPr>
      </w:pPr>
    </w:p>
    <w:p>
      <w:pPr>
        <w:ind w:left="1120" w:right="140" w:firstLine="362"/>
        <w:spacing w:after="0" w:line="251" w:lineRule="auto"/>
        <w:rPr>
          <w:sz w:val="20"/>
          <w:szCs w:val="20"/>
          <w:color w:val="auto"/>
        </w:rPr>
      </w:pPr>
      <w:r>
        <w:rPr>
          <w:rFonts w:ascii="Times New Roman" w:cs="Times New Roman" w:eastAsia="Times New Roman" w:hAnsi="Times New Roman"/>
          <w:sz w:val="15"/>
          <w:szCs w:val="15"/>
          <w:color w:val="auto"/>
        </w:rPr>
        <w:t>Any indenture that governs our debt securities covered by this prospectus may require that the trustee under such indenture shall, within 90 days after the occurrence of a default, give to holders of debt securities of any series notice of all uncured and unwaived defaults with respect to such series known to it. However, in the case of a default that results from the failure to make any payment of the principal of, premium, if any, or interest on the debt securities of any series, or in the payment of any sinking or purchase fund installment with respect to debt securities of such series, if any,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156" w:lineRule="exact"/>
        <w:rPr>
          <w:sz w:val="20"/>
          <w:szCs w:val="20"/>
          <w:color w:val="auto"/>
        </w:rPr>
      </w:pPr>
    </w:p>
    <w:p>
      <w:pPr>
        <w:ind w:left="1120" w:right="20" w:firstLine="362"/>
        <w:spacing w:after="0" w:line="251" w:lineRule="auto"/>
        <w:rPr>
          <w:sz w:val="20"/>
          <w:szCs w:val="20"/>
          <w:color w:val="auto"/>
        </w:rPr>
      </w:pPr>
      <w:r>
        <w:rPr>
          <w:rFonts w:ascii="Times New Roman" w:cs="Times New Roman" w:eastAsia="Times New Roman" w:hAnsi="Times New Roman"/>
          <w:sz w:val="15"/>
          <w:szCs w:val="15"/>
          <w:color w:val="auto"/>
        </w:rPr>
        <w:t>Any indenture that governs our debt securities covered by this prospectus will contain a provision entitling the trustee to be indemnified by holders of debt securities before proceeding to exercise any trust or power under the indenture at the request of such holders. Any such indenture may provide that the holders of at least a majority in 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in good faith that the actions or proceedings as directed may not lawfully be taken, would involve the trustee in personal liability or would be unduly prejudicial to the holders of the debt securities of such series not joining in such direction.</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160"/>
          </w:cols>
          <w:pgMar w:left="300" w:top="400" w:right="1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20" w:firstLine="362"/>
        <w:spacing w:after="0" w:line="271" w:lineRule="auto"/>
        <w:rPr>
          <w:sz w:val="20"/>
          <w:szCs w:val="20"/>
          <w:color w:val="auto"/>
        </w:rPr>
      </w:pPr>
      <w:r>
        <w:rPr>
          <w:rFonts w:ascii="Times New Roman" w:cs="Times New Roman" w:eastAsia="Times New Roman" w:hAnsi="Times New Roman"/>
          <w:sz w:val="14"/>
          <w:szCs w:val="14"/>
          <w:color w:val="auto"/>
        </w:rPr>
        <w:t>Any indenture that governs our debt securities covered by this prospectus may endow the holders of such debt securities to institute a proceeding with respect to such indenture, subject to certain conditions, which will be specified in the applicable prospectus supplement and which may include, that the holders of at least a majority in aggregate principal amount of the debt securities of such series then outstanding make a written request upon the trustee to exercise its power under the indenture, indemnify the trustee and afford the trustee reasonable opportunity to act.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2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Modification of the Indenture</w:t>
      </w:r>
    </w:p>
    <w:p>
      <w:pPr>
        <w:spacing w:after="0" w:line="97" w:lineRule="exact"/>
        <w:rPr>
          <w:sz w:val="20"/>
          <w:szCs w:val="20"/>
          <w:color w:val="auto"/>
        </w:rPr>
      </w:pPr>
    </w:p>
    <w:p>
      <w:pPr>
        <w:ind w:left="1120" w:right="60" w:firstLine="362"/>
        <w:spacing w:after="0" w:line="273" w:lineRule="auto"/>
        <w:rPr>
          <w:sz w:val="20"/>
          <w:szCs w:val="20"/>
          <w:color w:val="auto"/>
        </w:rPr>
      </w:pPr>
      <w:r>
        <w:rPr>
          <w:rFonts w:ascii="Times New Roman" w:cs="Times New Roman" w:eastAsia="Times New Roman" w:hAnsi="Times New Roman"/>
          <w:sz w:val="15"/>
          <w:szCs w:val="15"/>
          <w:color w:val="auto"/>
        </w:rPr>
        <w:t>We and the trustee may modify any indenture that governs our debt securities of any series covered by this prospectus with or without the consent of the holders of such debt securities, under certain circumstances to be described in a prospectus supplement.</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Defeasance; Satisfaction and Discharge</w:t>
      </w:r>
    </w:p>
    <w:p>
      <w:pPr>
        <w:spacing w:after="0" w:line="97" w:lineRule="exact"/>
        <w:rPr>
          <w:sz w:val="20"/>
          <w:szCs w:val="20"/>
          <w:color w:val="auto"/>
        </w:rPr>
      </w:pPr>
    </w:p>
    <w:p>
      <w:pPr>
        <w:ind w:left="1120" w:right="40" w:firstLine="362"/>
        <w:spacing w:after="0" w:line="273" w:lineRule="auto"/>
        <w:rPr>
          <w:sz w:val="20"/>
          <w:szCs w:val="20"/>
          <w:color w:val="auto"/>
        </w:rPr>
      </w:pPr>
      <w:r>
        <w:rPr>
          <w:rFonts w:ascii="Times New Roman" w:cs="Times New Roman" w:eastAsia="Times New Roman" w:hAnsi="Times New Roman"/>
          <w:sz w:val="15"/>
          <w:szCs w:val="15"/>
          <w:color w:val="auto"/>
        </w:rPr>
        <w:t>The prospectus supplement will outline the conditions under which we may elect to have certain of our obligations under the indenture discharged and under which the indenture obligations will be deemed to be satisfied.</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Regarding the Trustee</w:t>
      </w:r>
    </w:p>
    <w:p>
      <w:pPr>
        <w:spacing w:after="0" w:line="97" w:lineRule="exact"/>
        <w:rPr>
          <w:sz w:val="20"/>
          <w:szCs w:val="20"/>
          <w:color w:val="auto"/>
        </w:rPr>
      </w:pPr>
    </w:p>
    <w:p>
      <w:pPr>
        <w:ind w:left="1120" w:firstLine="362"/>
        <w:spacing w:after="0" w:line="252" w:lineRule="auto"/>
        <w:rPr>
          <w:sz w:val="20"/>
          <w:szCs w:val="20"/>
          <w:color w:val="auto"/>
        </w:rPr>
      </w:pPr>
      <w:r>
        <w:rPr>
          <w:rFonts w:ascii="Times New Roman" w:cs="Times New Roman" w:eastAsia="Times New Roman" w:hAnsi="Times New Roman"/>
          <w:sz w:val="15"/>
          <w:szCs w:val="15"/>
          <w:color w:val="auto"/>
        </w:rPr>
        <w:t>We will identify the trustee and any relationship that we may have with such trustee, with respect to any series of debt securities, in the prospectus supplement relating to the applicable debt securities. You should note that if the trustee becomes a creditor of us,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2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Governing Law</w:t>
      </w:r>
    </w:p>
    <w:p>
      <w:pPr>
        <w:spacing w:after="0" w:line="97" w:lineRule="exact"/>
        <w:rPr>
          <w:sz w:val="20"/>
          <w:szCs w:val="20"/>
          <w:color w:val="auto"/>
        </w:rPr>
      </w:pPr>
    </w:p>
    <w:p>
      <w:pPr>
        <w:ind w:left="1120" w:right="240" w:firstLine="362"/>
        <w:spacing w:after="0" w:line="273" w:lineRule="auto"/>
        <w:rPr>
          <w:sz w:val="20"/>
          <w:szCs w:val="20"/>
          <w:color w:val="auto"/>
        </w:rPr>
      </w:pPr>
      <w:r>
        <w:rPr>
          <w:rFonts w:ascii="Times New Roman" w:cs="Times New Roman" w:eastAsia="Times New Roman" w:hAnsi="Times New Roman"/>
          <w:sz w:val="15"/>
          <w:szCs w:val="15"/>
          <w:color w:val="auto"/>
        </w:rPr>
        <w:t>The law governing the indenture and the debt securities will be identified in the prospectus supplement relating to the applicable indenture and debt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160"/>
          </w:cols>
          <w:pgMar w:left="300" w:top="400" w:right="1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DESCRIPTION OF OUR UNITS</w:t>
      </w:r>
    </w:p>
    <w:p>
      <w:pPr>
        <w:spacing w:after="0" w:line="184" w:lineRule="exact"/>
        <w:rPr>
          <w:sz w:val="20"/>
          <w:szCs w:val="20"/>
          <w:color w:val="auto"/>
        </w:rPr>
      </w:pPr>
    </w:p>
    <w:p>
      <w:pPr>
        <w:ind w:left="1120" w:right="79" w:firstLine="362"/>
        <w:spacing w:after="0" w:line="252"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one or more of the securities that may be offered under this prospectus, in any combination,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55" w:lineRule="exact"/>
        <w:rPr>
          <w:sz w:val="20"/>
          <w:szCs w:val="20"/>
          <w:color w:val="auto"/>
        </w:rPr>
      </w:pPr>
    </w:p>
    <w:p>
      <w:pPr>
        <w:ind w:left="1120" w:right="39" w:firstLine="362"/>
        <w:spacing w:after="0" w:line="253" w:lineRule="auto"/>
        <w:rPr>
          <w:sz w:val="20"/>
          <w:szCs w:val="20"/>
          <w:color w:val="auto"/>
        </w:rPr>
      </w:pPr>
      <w:r>
        <w:rPr>
          <w:rFonts w:ascii="Times New Roman" w:cs="Times New Roman" w:eastAsia="Times New Roman" w:hAnsi="Times New Roman"/>
          <w:sz w:val="15"/>
          <w:szCs w:val="15"/>
          <w:color w:val="auto"/>
        </w:rPr>
        <w:t>We will incorporate by reference into the registration statement of which this prospectus forms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5" w:lineRule="exact"/>
        <w:rPr>
          <w:sz w:val="20"/>
          <w:szCs w:val="20"/>
          <w:color w:val="auto"/>
        </w:rPr>
      </w:pPr>
    </w:p>
    <w:p>
      <w:pPr>
        <w:ind w:left="1120" w:right="299" w:firstLine="362"/>
        <w:spacing w:after="0" w:line="255" w:lineRule="auto"/>
        <w:rPr>
          <w:sz w:val="20"/>
          <w:szCs w:val="20"/>
          <w:color w:val="auto"/>
        </w:rPr>
      </w:pPr>
      <w:r>
        <w:rPr>
          <w:rFonts w:ascii="Times New Roman" w:cs="Times New Roman" w:eastAsia="Times New Roman" w:hAnsi="Times New Roman"/>
          <w:sz w:val="15"/>
          <w:szCs w:val="15"/>
          <w:color w:val="auto"/>
        </w:rPr>
        <w:t>We may issue units comprised of one or more of the securities that may be offered under this prospectus.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units, including:</w:t>
      </w:r>
    </w:p>
    <w:p>
      <w:pPr>
        <w:spacing w:after="0" w:line="105" w:lineRule="exact"/>
        <w:rPr>
          <w:sz w:val="20"/>
          <w:szCs w:val="20"/>
          <w:color w:val="auto"/>
        </w:rPr>
      </w:pPr>
    </w:p>
    <w:p>
      <w:pPr>
        <w:ind w:left="1920" w:right="179" w:hanging="354"/>
        <w:spacing w:after="0" w:line="273" w:lineRule="auto"/>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units and of the securities comprising the units, including whether, and under what circumstances, those securities may be held or transferred separately;</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and obligations of the unit agent, if any;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of the governing unit agreement that differ from those described below;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the issuance, payment, settlement, transfer or exchange of the units or of the securities comprising the units.</w:t>
      </w:r>
    </w:p>
    <w:p>
      <w:pPr>
        <w:spacing w:after="0" w:line="182" w:lineRule="exact"/>
        <w:rPr>
          <w:sz w:val="20"/>
          <w:szCs w:val="20"/>
          <w:color w:val="auto"/>
        </w:rPr>
      </w:pPr>
    </w:p>
    <w:p>
      <w:pPr>
        <w:ind w:left="1120" w:right="19" w:firstLine="362"/>
        <w:spacing w:after="0" w:line="260" w:lineRule="auto"/>
        <w:rPr>
          <w:sz w:val="20"/>
          <w:szCs w:val="20"/>
          <w:color w:val="auto"/>
        </w:rPr>
      </w:pPr>
      <w:r>
        <w:rPr>
          <w:rFonts w:ascii="Times New Roman" w:cs="Times New Roman" w:eastAsia="Times New Roman" w:hAnsi="Times New Roman"/>
          <w:sz w:val="15"/>
          <w:szCs w:val="15"/>
          <w:color w:val="auto"/>
        </w:rPr>
        <w:t>The provisions described in this section, as well as those described under “Description of Our Common Stock,” “Description of our Preferred Stock,” “Description of Our Debt Securities” and “Description of Our Warrants,” will apply to each unit and to any common stock, preferred stock, debt securities or warrants included in each unit, respectively.</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Issuance in Series</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may issue units in such amounts and in numerous distinct series as we determine.</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159"/>
          </w:cols>
          <w:pgMar w:left="300" w:top="400"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84" w:lineRule="exact"/>
        <w:rPr>
          <w:sz w:val="20"/>
          <w:szCs w:val="20"/>
          <w:color w:val="auto"/>
        </w:rPr>
      </w:pPr>
    </w:p>
    <w:p>
      <w:pPr>
        <w:ind w:left="1120" w:right="80" w:firstLine="362"/>
        <w:spacing w:after="0" w:line="252" w:lineRule="auto"/>
        <w:rPr>
          <w:sz w:val="20"/>
          <w:szCs w:val="20"/>
          <w:color w:val="auto"/>
        </w:rPr>
      </w:pPr>
      <w:r>
        <w:rPr>
          <w:rFonts w:ascii="Times New Roman" w:cs="Times New Roman" w:eastAsia="Times New Roman" w:hAnsi="Times New Roman"/>
          <w:sz w:val="15"/>
          <w:szCs w:val="15"/>
          <w:color w:val="auto"/>
        </w:rPr>
        <w:t>We file annual, quarterly and current reports, proxy statements and other information with the SEC. The SEC maintains an Internet website at www.sec.gov that contains reports, proxy and information statements, and other information regarding issuers that file electronically with the SEC. Our reports on Forms 10-K, 10-Q and 8-K, and amendments to those reports, are also available for download, free of charge, as soon as reasonably practicable after these reports are filed with, or furnished to, the SEC, at our website at www.invivyd.com. Information contained on or accessible through our website is not a part of this prospectus or any prospectus supplement, and the inclusion of our website address in this prospectus is an inactive textual reference only.</w:t>
      </w:r>
    </w:p>
    <w:p>
      <w:pPr>
        <w:spacing w:after="0" w:line="33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84" w:lineRule="exact"/>
        <w:rPr>
          <w:sz w:val="20"/>
          <w:szCs w:val="20"/>
          <w:color w:val="auto"/>
        </w:rPr>
      </w:pPr>
    </w:p>
    <w:p>
      <w:pPr>
        <w:ind w:left="1120" w:right="120" w:firstLine="362"/>
        <w:spacing w:after="0" w:line="269"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We incorporate by reference in this prospectus (i) the documents listed below,</w:t>
      </w:r>
    </w:p>
    <w:p>
      <w:pPr>
        <w:spacing w:after="0" w:line="2" w:lineRule="exact"/>
        <w:rPr>
          <w:sz w:val="20"/>
          <w:szCs w:val="20"/>
          <w:color w:val="auto"/>
        </w:rPr>
      </w:pPr>
    </w:p>
    <w:p>
      <w:pPr>
        <w:ind w:left="1120" w:right="100" w:firstLine="2"/>
        <w:spacing w:after="0" w:line="248" w:lineRule="auto"/>
        <w:tabs>
          <w:tab w:leader="none" w:pos="133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documents that we file with the SEC under Section 13(a), 13(c), 14 or 15(d) of the Exchange Act after the date of the initial filing of the registration statement of which this prospectus is included and prior to the effectiveness of such registration statement, and (iii) and any future filings that we may make with the SEC under Sections 13(a), 13(c), 14, or 15(d) of the Exchange Act prior to the termination of the offering under this prospectus; provided, however, that we are not incorporating, in each case, any documents or information deemed to have been furnished and not filed, including any information that we disclose under Items 2.02 or 7.01 of any Current Report on Form 8-K, in accordance with SEC rules:</w:t>
      </w:r>
    </w:p>
    <w:p>
      <w:pPr>
        <w:spacing w:after="0" w:line="80" w:lineRule="exact"/>
        <w:rPr>
          <w:rFonts w:ascii="Times New Roman" w:cs="Times New Roman" w:eastAsia="Times New Roman" w:hAnsi="Times New Roman"/>
          <w:sz w:val="15"/>
          <w:szCs w:val="15"/>
          <w:color w:val="auto"/>
        </w:rPr>
      </w:pPr>
    </w:p>
    <w:p>
      <w:pPr>
        <w:ind w:left="1920" w:right="40" w:hanging="354"/>
        <w:spacing w:after="0" w:line="273" w:lineRule="auto"/>
        <w:tabs>
          <w:tab w:leader="none" w:pos="1920"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122">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fiscal year ended December 31, 2021, filed with the SEC on March 31, 2022 (as amended by the Annual Report on </w:t>
      </w:r>
      <w:hyperlink r:id="rId123">
        <w:r>
          <w:rPr>
            <w:rFonts w:ascii="Times New Roman" w:cs="Times New Roman" w:eastAsia="Times New Roman" w:hAnsi="Times New Roman"/>
            <w:sz w:val="15"/>
            <w:szCs w:val="15"/>
            <w:u w:val="single" w:color="auto"/>
            <w:color w:val="0000EE"/>
          </w:rPr>
          <w:t>Form 10-K/A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on April 29, 2022);</w:t>
      </w:r>
    </w:p>
    <w:p>
      <w:pPr>
        <w:spacing w:after="0" w:line="61" w:lineRule="exact"/>
        <w:rPr>
          <w:rFonts w:ascii="Times New Roman" w:cs="Times New Roman" w:eastAsia="Times New Roman" w:hAnsi="Times New Roman"/>
          <w:sz w:val="15"/>
          <w:szCs w:val="15"/>
          <w:color w:val="auto"/>
        </w:rPr>
      </w:pPr>
    </w:p>
    <w:p>
      <w:pPr>
        <w:ind w:left="1920" w:right="200" w:hanging="354"/>
        <w:spacing w:after="0" w:line="273" w:lineRule="auto"/>
        <w:tabs>
          <w:tab w:leader="none" w:pos="1920" w:val="left"/>
        </w:tabs>
        <w:numPr>
          <w:ilvl w:val="1"/>
          <w:numId w:val="43"/>
        </w:numPr>
        <w:rPr>
          <w:rFonts w:ascii="Times New Roman" w:cs="Times New Roman" w:eastAsia="Times New Roman" w:hAnsi="Times New Roman"/>
          <w:sz w:val="15"/>
          <w:szCs w:val="15"/>
          <w:color w:val="0000EE"/>
        </w:rPr>
      </w:pPr>
      <w:hyperlink r:id="rId124">
        <w:r>
          <w:rPr>
            <w:rFonts w:ascii="Times New Roman" w:cs="Times New Roman" w:eastAsia="Times New Roman" w:hAnsi="Times New Roman"/>
            <w:sz w:val="15"/>
            <w:szCs w:val="15"/>
            <w:color w:val="auto"/>
          </w:rPr>
          <w:t xml:space="preserve">our Quarterly Reports on Form 10-Q for the quarterly periods ended March 31, 2022 and June 30, 2022, filed with the SEC on </w:t>
        </w:r>
        <w:r>
          <w:rPr>
            <w:rFonts w:ascii="Times New Roman" w:cs="Times New Roman" w:eastAsia="Times New Roman" w:hAnsi="Times New Roman"/>
            <w:sz w:val="15"/>
            <w:szCs w:val="15"/>
            <w:u w:val="single" w:color="auto"/>
            <w:color w:val="0000EE"/>
          </w:rPr>
          <w:t>May 13,</w:t>
        </w:r>
      </w:hyperlink>
      <w:r>
        <w:rPr>
          <w:rFonts w:ascii="Times New Roman" w:cs="Times New Roman" w:eastAsia="Times New Roman" w:hAnsi="Times New Roman"/>
          <w:sz w:val="15"/>
          <w:szCs w:val="15"/>
          <w:color w:val="auto"/>
        </w:rPr>
        <w:t xml:space="preserve"> </w:t>
      </w:r>
      <w:hyperlink r:id="rId124">
        <w:r>
          <w:rPr>
            <w:rFonts w:ascii="Times New Roman" w:cs="Times New Roman" w:eastAsia="Times New Roman" w:hAnsi="Times New Roman"/>
            <w:sz w:val="15"/>
            <w:szCs w:val="15"/>
            <w:u w:val="single" w:color="auto"/>
            <w:color w:val="0000EE"/>
          </w:rPr>
          <w:t>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w:hyperlink r:id="rId125">
        <w:r>
          <w:rPr>
            <w:rFonts w:ascii="Times New Roman" w:cs="Times New Roman" w:eastAsia="Times New Roman" w:hAnsi="Times New Roman"/>
            <w:sz w:val="15"/>
            <w:szCs w:val="15"/>
            <w:u w:val="single" w:color="auto"/>
            <w:color w:val="0000EE"/>
          </w:rPr>
          <w:t>August 15, 2022</w:t>
        </w:r>
      </w:hyperlink>
      <w:hyperlink r:id="rId124">
        <w:r>
          <w:rPr>
            <w:rFonts w:ascii="Times New Roman" w:cs="Times New Roman" w:eastAsia="Times New Roman" w:hAnsi="Times New Roman"/>
            <w:sz w:val="15"/>
            <w:szCs w:val="15"/>
            <w:color w:val="000000"/>
          </w:rPr>
          <w:t>, respectively;</w:t>
        </w:r>
      </w:hyperlink>
    </w:p>
    <w:p>
      <w:pPr>
        <w:spacing w:after="0" w:line="61" w:lineRule="exact"/>
        <w:rPr>
          <w:rFonts w:ascii="Times New Roman" w:cs="Times New Roman" w:eastAsia="Times New Roman" w:hAnsi="Times New Roman"/>
          <w:sz w:val="15"/>
          <w:szCs w:val="15"/>
          <w:color w:val="0000EE"/>
        </w:rPr>
      </w:pPr>
    </w:p>
    <w:p>
      <w:pPr>
        <w:ind w:left="1920" w:right="160" w:hanging="354"/>
        <w:spacing w:after="0" w:line="255" w:lineRule="auto"/>
        <w:tabs>
          <w:tab w:leader="none" w:pos="1920" w:val="left"/>
        </w:tabs>
        <w:numPr>
          <w:ilvl w:val="1"/>
          <w:numId w:val="43"/>
        </w:numPr>
        <w:rPr>
          <w:rFonts w:ascii="Times New Roman" w:cs="Times New Roman" w:eastAsia="Times New Roman" w:hAnsi="Times New Roman"/>
          <w:sz w:val="15"/>
          <w:szCs w:val="15"/>
          <w:color w:val="0000EE"/>
        </w:rPr>
      </w:pPr>
      <w:hyperlink r:id="rId126">
        <w:r>
          <w:rPr>
            <w:rFonts w:ascii="Times New Roman" w:cs="Times New Roman" w:eastAsia="Times New Roman" w:hAnsi="Times New Roman"/>
            <w:sz w:val="15"/>
            <w:szCs w:val="15"/>
            <w:color w:val="auto"/>
          </w:rPr>
          <w:t xml:space="preserve">our Current Reports on Form 8-K (other than the portions thereof that are furnished and not filed) as filed with the SEC on </w:t>
        </w:r>
        <w:r>
          <w:rPr>
            <w:rFonts w:ascii="Times New Roman" w:cs="Times New Roman" w:eastAsia="Times New Roman" w:hAnsi="Times New Roman"/>
            <w:sz w:val="15"/>
            <w:szCs w:val="15"/>
            <w:u w:val="single" w:color="auto"/>
            <w:color w:val="0000EE"/>
          </w:rPr>
          <w:t>January 13,</w:t>
        </w:r>
      </w:hyperlink>
      <w:r>
        <w:rPr>
          <w:rFonts w:ascii="Times New Roman" w:cs="Times New Roman" w:eastAsia="Times New Roman" w:hAnsi="Times New Roman"/>
          <w:sz w:val="15"/>
          <w:szCs w:val="15"/>
          <w:color w:val="auto"/>
        </w:rPr>
        <w:t xml:space="preserve"> </w:t>
      </w:r>
      <w:hyperlink r:id="rId127">
        <w:r>
          <w:rPr>
            <w:rFonts w:ascii="Times New Roman" w:cs="Times New Roman" w:eastAsia="Times New Roman" w:hAnsi="Times New Roman"/>
            <w:sz w:val="15"/>
            <w:szCs w:val="15"/>
            <w:u w:val="single" w:color="auto"/>
            <w:color w:val="0000EE"/>
          </w:rPr>
          <w:t>2022, February 18, 2022, February 22, 2022, February 23, 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(as amended by the Current Report on Form 8-K/A filed on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March 21,</w:t>
        </w:r>
      </w:hyperlink>
      <w:r>
        <w:rPr>
          <w:rFonts w:ascii="Times New Roman" w:cs="Times New Roman" w:eastAsia="Times New Roman" w:hAnsi="Times New Roman"/>
          <w:sz w:val="15"/>
          <w:szCs w:val="15"/>
          <w:color w:val="0000EE"/>
        </w:rPr>
        <w:t xml:space="preserve"> </w:t>
      </w:r>
      <w:hyperlink r:id="rId128">
        <w:r>
          <w:rPr>
            <w:rFonts w:ascii="Times New Roman" w:cs="Times New Roman" w:eastAsia="Times New Roman" w:hAnsi="Times New Roman"/>
            <w:sz w:val="15"/>
            <w:szCs w:val="15"/>
            <w:u w:val="single" w:color="auto"/>
            <w:color w:val="0000EE"/>
          </w:rPr>
          <w:t>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March 1,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March 21,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May 19,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21,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22,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30,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July 5,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September 12,</w:t>
        </w:r>
      </w:hyperlink>
      <w:r>
        <w:rPr>
          <w:rFonts w:ascii="Times New Roman" w:cs="Times New Roman" w:eastAsia="Times New Roman" w:hAnsi="Times New Roman"/>
          <w:sz w:val="15"/>
          <w:szCs w:val="15"/>
          <w:color w:val="0000EE"/>
        </w:rPr>
        <w:t xml:space="preserve"> </w:t>
      </w:r>
      <w:hyperlink r:id="rId128">
        <w:r>
          <w:rPr>
            <w:rFonts w:ascii="Times New Roman" w:cs="Times New Roman" w:eastAsia="Times New Roman" w:hAnsi="Times New Roman"/>
            <w:sz w:val="15"/>
            <w:szCs w:val="15"/>
            <w:u w:val="single" w:color="auto"/>
            <w:color w:val="0000EE"/>
          </w:rPr>
          <w:t>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w:hyperlink r:id="rId129">
        <w:r>
          <w:rPr>
            <w:rFonts w:ascii="Times New Roman" w:cs="Times New Roman" w:eastAsia="Times New Roman" w:hAnsi="Times New Roman"/>
            <w:sz w:val="15"/>
            <w:szCs w:val="15"/>
            <w:u w:val="single" w:color="auto"/>
            <w:color w:val="0000EE"/>
          </w:rPr>
          <w:t>September 13, 2022</w:t>
        </w:r>
      </w:hyperlink>
      <w:hyperlink r:id="rId128">
        <w:r>
          <w:rPr>
            <w:rFonts w:ascii="Times New Roman" w:cs="Times New Roman" w:eastAsia="Times New Roman" w:hAnsi="Times New Roman"/>
            <w:sz w:val="15"/>
            <w:szCs w:val="15"/>
            <w:color w:val="000000"/>
          </w:rPr>
          <w:t>; and</w:t>
        </w:r>
      </w:hyperlink>
    </w:p>
    <w:p>
      <w:pPr>
        <w:spacing w:after="0" w:line="75" w:lineRule="exact"/>
        <w:rPr>
          <w:rFonts w:ascii="Times New Roman" w:cs="Times New Roman" w:eastAsia="Times New Roman" w:hAnsi="Times New Roman"/>
          <w:sz w:val="15"/>
          <w:szCs w:val="15"/>
          <w:color w:val="0000EE"/>
        </w:rPr>
      </w:pPr>
    </w:p>
    <w:p>
      <w:pPr>
        <w:ind w:left="1920" w:right="160" w:hanging="354"/>
        <w:spacing w:after="0" w:line="260" w:lineRule="auto"/>
        <w:tabs>
          <w:tab w:leader="none" w:pos="1920" w:val="left"/>
        </w:tabs>
        <w:numPr>
          <w:ilvl w:val="1"/>
          <w:numId w:val="43"/>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the description of our common stock contained in our Registration Statement on </w:t>
      </w:r>
      <w:hyperlink r:id="rId85">
        <w:r>
          <w:rPr>
            <w:rFonts w:ascii="Times New Roman" w:cs="Times New Roman" w:eastAsia="Times New Roman" w:hAnsi="Times New Roman"/>
            <w:sz w:val="15"/>
            <w:szCs w:val="15"/>
            <w:u w:val="single" w:color="auto"/>
            <w:color w:val="0000EE"/>
          </w:rPr>
          <w:t>Form 8-A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filed on August 3, 2021, as updated by </w:t>
      </w:r>
      <w:hyperlink r:id="rId130">
        <w:r>
          <w:rPr>
            <w:rFonts w:ascii="Times New Roman" w:cs="Times New Roman" w:eastAsia="Times New Roman" w:hAnsi="Times New Roman"/>
            <w:sz w:val="15"/>
            <w:szCs w:val="15"/>
            <w:u w:val="single" w:color="auto"/>
            <w:color w:val="0000EE"/>
          </w:rPr>
          <w:t>Exhibit 4.2</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to</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our Annual Report on Form 10-K for the fiscal year ended December 31, 2021, including any amendments or reports filed</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for the purpose of updating such description.</w:t>
      </w:r>
    </w:p>
    <w:p>
      <w:pPr>
        <w:spacing w:after="0" w:line="149" w:lineRule="exact"/>
        <w:rPr>
          <w:rFonts w:ascii="Times New Roman" w:cs="Times New Roman" w:eastAsia="Times New Roman" w:hAnsi="Times New Roman"/>
          <w:sz w:val="15"/>
          <w:szCs w:val="15"/>
          <w:color w:val="auto"/>
        </w:rPr>
      </w:pPr>
    </w:p>
    <w:p>
      <w:pPr>
        <w:ind w:left="1120" w:firstLine="362"/>
        <w:spacing w:after="0" w:line="255" w:lineRule="auto"/>
        <w:rPr>
          <w:sz w:val="20"/>
          <w:szCs w:val="20"/>
          <w:color w:val="auto"/>
        </w:rPr>
      </w:pPr>
      <w:r>
        <w:rPr>
          <w:rFonts w:ascii="Times New Roman" w:cs="Times New Roman" w:eastAsia="Times New Roman" w:hAnsi="Times New Roman"/>
          <w:sz w:val="15"/>
          <w:szCs w:val="15"/>
          <w:color w:val="auto"/>
        </w:rPr>
        <w:t>You may request, orally or in writing, a copy of any or all of the documents incorporated herein by reference. These documents will be provided to you at no cost, by contacting: Invivyd, Inc., Corporate Secretary, at 1601 Trapelo Road, Suite 178, Waltham, MA 02451 or (781) 819-0080. In addition, copies of any or all of the documents incorporated herein by reference may be accessed at our website at www.invivyd.com. The information on such website is not incorporated by reference and is not a part of this prospectus.</w:t>
      </w:r>
    </w:p>
    <w:p>
      <w:pPr>
        <w:spacing w:after="0" w:line="98" w:lineRule="exact"/>
        <w:rPr>
          <w:rFonts w:ascii="Times New Roman" w:cs="Times New Roman" w:eastAsia="Times New Roman" w:hAnsi="Times New Roman"/>
          <w:sz w:val="15"/>
          <w:szCs w:val="15"/>
          <w:color w:val="auto"/>
        </w:rPr>
      </w:pPr>
    </w:p>
    <w:p>
      <w:pPr>
        <w:ind w:left="558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160"/>
          </w:cols>
          <w:pgMar w:left="300" w:top="400" w:right="1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84" w:lineRule="exact"/>
        <w:rPr>
          <w:sz w:val="20"/>
          <w:szCs w:val="20"/>
          <w:color w:val="auto"/>
        </w:rPr>
      </w:pPr>
    </w:p>
    <w:p>
      <w:pPr>
        <w:jc w:val="both"/>
        <w:ind w:left="1120" w:right="79" w:firstLine="362"/>
        <w:spacing w:after="0" w:line="260" w:lineRule="auto"/>
        <w:rPr>
          <w:sz w:val="20"/>
          <w:szCs w:val="20"/>
          <w:color w:val="auto"/>
        </w:rPr>
      </w:pPr>
      <w:r>
        <w:rPr>
          <w:rFonts w:ascii="Times New Roman" w:cs="Times New Roman" w:eastAsia="Times New Roman" w:hAnsi="Times New Roman"/>
          <w:sz w:val="15"/>
          <w:szCs w:val="15"/>
          <w:color w:val="auto"/>
        </w:rPr>
        <w:t>The validity of the issuance of the securities offered hereby will be passed upon for us by Hogan Lovells US LLP, Philadelphia, Pennsylvania. As appropriate, legal counsel representing the underwriters, dealers or agents will be named in the accompanying prospectus supplement and may opine to certain legal matters.</w:t>
      </w: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4" w:lineRule="exact"/>
        <w:rPr>
          <w:sz w:val="20"/>
          <w:szCs w:val="20"/>
          <w:color w:val="auto"/>
        </w:rPr>
      </w:pPr>
    </w:p>
    <w:p>
      <w:pPr>
        <w:ind w:left="1120" w:right="139" w:firstLine="362"/>
        <w:spacing w:after="0" w:line="260" w:lineRule="auto"/>
        <w:rPr>
          <w:sz w:val="20"/>
          <w:szCs w:val="20"/>
          <w:color w:val="auto"/>
        </w:rPr>
      </w:pPr>
      <w:r>
        <w:rPr>
          <w:rFonts w:ascii="Times New Roman" w:cs="Times New Roman" w:eastAsia="Times New Roman" w:hAnsi="Times New Roman"/>
          <w:sz w:val="15"/>
          <w:szCs w:val="15"/>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0159"/>
          </w:cols>
          <w:pgMar w:left="300" w:top="400"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203835</wp:posOffset>
            </wp:positionV>
            <wp:extent cx="574230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5742305" cy="1397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224790</wp:posOffset>
            </wp:positionV>
            <wp:extent cx="574230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5742305" cy="6985"/>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640080</wp:posOffset>
            </wp:positionV>
            <wp:extent cx="2146300" cy="3448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2146300" cy="344805"/>
                    </a:xfrm>
                    <a:prstGeom prst="rect">
                      <a:avLst/>
                    </a:prstGeom>
                    <a:noFill/>
                  </pic:spPr>
                </pic:pic>
              </a:graphicData>
            </a:graphic>
          </wp:anchor>
        </w:drawing>
      </w:r>
    </w:p>
    <w:p>
      <w:pPr>
        <w:sectPr>
          <w:pgSz w:w="11900" w:h="16838" w:orient="portrait"/>
          <w:cols w:equalWidth="0" w:num="1">
            <w:col w:w="10159"/>
          </w:cols>
          <w:pgMar w:left="300" w:top="4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44,000,000 Shares of Common Stock</w:t>
      </w:r>
    </w:p>
    <w:p>
      <w:pPr>
        <w:spacing w:after="0" w:line="1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Pre-Funded Warrants to Purchase up to 6,000,000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859790</wp:posOffset>
            </wp:positionV>
            <wp:extent cx="12033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201295</wp:posOffset>
            </wp:positionV>
            <wp:extent cx="12033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16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Cantor</w:t>
      </w:r>
    </w:p>
    <w:p>
      <w:pPr>
        <w:spacing w:after="0" w:line="1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Lead Manager</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198120</wp:posOffset>
            </wp:positionV>
            <wp:extent cx="12033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5"/>
          <w:szCs w:val="15"/>
          <w:b w:val="1"/>
          <w:bCs w:val="1"/>
          <w:color w:val="auto"/>
        </w:rPr>
        <w:t>November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351155</wp:posOffset>
            </wp:positionV>
            <wp:extent cx="574230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5742305" cy="698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407670</wp:posOffset>
            </wp:positionV>
            <wp:extent cx="5742305"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5742305" cy="13970"/>
                    </a:xfrm>
                    <a:prstGeom prst="rect">
                      <a:avLst/>
                    </a:prstGeom>
                    <a:noFill/>
                  </pic:spPr>
                </pic:pic>
              </a:graphicData>
            </a:graphic>
          </wp:anchor>
        </w:drawing>
      </w:r>
    </w:p>
    <w:p>
      <w:pPr>
        <w:sectPr>
          <w:pgSz w:w="11900" w:h="16838" w:orient="portrait"/>
          <w:cols w:equalWidth="0" w:num="1">
            <w:col w:w="10159"/>
          </w:cols>
          <w:pgMar w:left="300" w:top="400" w:right="1440" w:bottom="1440" w:gutter="0" w:footer="0" w:header="0"/>
          <w:type w:val="continuous"/>
        </w:sectPr>
      </w:pPr>
    </w:p>
    <w:bookmarkStart w:id="74" w:name="page75"/>
    <w:bookmarkEnd w:id="74"/>
    <w:p>
      <w:pPr>
        <w:ind w:left="3380"/>
        <w:spacing w:after="0"/>
        <w:rPr>
          <w:sz w:val="20"/>
          <w:szCs w:val="20"/>
          <w:color w:val="auto"/>
        </w:rPr>
      </w:pPr>
      <w:r>
        <w:rPr>
          <w:rFonts w:ascii="Arial" w:cs="Arial" w:eastAsia="Arial" w:hAnsi="Arial"/>
          <w:sz w:val="30"/>
          <w:szCs w:val="30"/>
          <w:b w:val="1"/>
          <w:bCs w:val="1"/>
          <w:color w:val="auto"/>
        </w:rPr>
        <w:t>Calculation of Filing Fee Tables</w:t>
      </w:r>
    </w:p>
    <w:p>
      <w:pPr>
        <w:spacing w:after="0" w:line="176" w:lineRule="exact"/>
        <w:rPr>
          <w:sz w:val="20"/>
          <w:szCs w:val="20"/>
          <w:color w:val="auto"/>
        </w:rPr>
      </w:pPr>
    </w:p>
    <w:p>
      <w:pPr>
        <w:ind w:left="5340"/>
        <w:spacing w:after="0"/>
        <w:rPr>
          <w:sz w:val="20"/>
          <w:szCs w:val="20"/>
          <w:color w:val="auto"/>
        </w:rPr>
      </w:pPr>
      <w:r>
        <w:rPr>
          <w:rFonts w:ascii="Arial" w:cs="Arial" w:eastAsia="Arial" w:hAnsi="Arial"/>
          <w:sz w:val="30"/>
          <w:szCs w:val="30"/>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30"/>
          <w:szCs w:val="30"/>
          <w:b w:val="1"/>
          <w:bCs w:val="1"/>
          <w:color w:val="auto"/>
        </w:rPr>
        <w:t>Invivyd, Inc.</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9"/>
          </w:tcPr>
          <w:p>
            <w:pPr>
              <w:spacing w:after="0"/>
              <w:rPr>
                <w:sz w:val="20"/>
                <w:szCs w:val="20"/>
                <w:color w:val="auto"/>
              </w:rPr>
            </w:pPr>
            <w:r>
              <w:rPr>
                <w:rFonts w:ascii="Arial" w:cs="Arial" w:eastAsia="Arial" w:hAnsi="Arial"/>
                <w:sz w:val="18"/>
                <w:szCs w:val="18"/>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1400" w:type="dxa"/>
            <w:vAlign w:val="bottom"/>
            <w:tcBorders>
              <w:right w:val="single" w:sz="8" w:color="9ADAF6"/>
            </w:tcBorders>
            <w:gridSpan w:val="8"/>
            <w:shd w:val="clear" w:color="auto" w:fill="9ADAF6"/>
          </w:tcPr>
          <w:p>
            <w:pPr>
              <w:spacing w:after="0"/>
              <w:rPr>
                <w:sz w:val="17"/>
                <w:szCs w:val="17"/>
                <w:color w:val="auto"/>
              </w:rPr>
            </w:pPr>
          </w:p>
        </w:tc>
        <w:tc>
          <w:tcPr>
            <w:tcW w:w="1320" w:type="dxa"/>
            <w:vAlign w:val="bottom"/>
            <w:gridSpan w:val="7"/>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Filing Fee</w:t>
            </w:r>
          </w:p>
        </w:tc>
        <w:tc>
          <w:tcPr>
            <w:tcW w:w="0" w:type="dxa"/>
            <w:vAlign w:val="bottom"/>
          </w:tcPr>
          <w:p>
            <w:pPr>
              <w:spacing w:after="0"/>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1400" w:type="dxa"/>
            <w:vAlign w:val="bottom"/>
            <w:tcBorders>
              <w:right w:val="single" w:sz="8" w:color="9ADAF6"/>
            </w:tcBorders>
            <w:gridSpan w:val="8"/>
            <w:shd w:val="clear" w:color="auto" w:fill="9ADAF6"/>
          </w:tcPr>
          <w:p>
            <w:pPr>
              <w:spacing w:after="0"/>
              <w:rPr>
                <w:sz w:val="17"/>
                <w:szCs w:val="17"/>
                <w:color w:val="auto"/>
              </w:rPr>
            </w:pPr>
          </w:p>
        </w:tc>
        <w:tc>
          <w:tcPr>
            <w:tcW w:w="1320" w:type="dxa"/>
            <w:vAlign w:val="bottom"/>
            <w:gridSpan w:val="7"/>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Previously</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720" w:type="dxa"/>
            <w:vAlign w:val="bottom"/>
            <w:gridSpan w:val="3"/>
            <w:vMerge w:val="restart"/>
            <w:shd w:val="clear" w:color="auto" w:fill="9ADAF6"/>
          </w:tcPr>
          <w:p>
            <w:pPr>
              <w:jc w:val="center"/>
              <w:ind w:right="171"/>
              <w:spacing w:after="0"/>
              <w:rPr>
                <w:sz w:val="20"/>
                <w:szCs w:val="20"/>
                <w:color w:val="auto"/>
              </w:rPr>
            </w:pPr>
            <w:r>
              <w:rPr>
                <w:rFonts w:ascii="Arial" w:cs="Arial" w:eastAsia="Arial" w:hAnsi="Arial"/>
                <w:sz w:val="18"/>
                <w:szCs w:val="18"/>
                <w:b w:val="1"/>
                <w:bCs w:val="1"/>
                <w:color w:val="auto"/>
                <w:w w:val="96"/>
              </w:rPr>
              <w:t>Fee</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5"/>
            <w:vMerge w:val="restart"/>
            <w:shd w:val="clear" w:color="auto" w:fill="9ADAF6"/>
          </w:tcPr>
          <w:p>
            <w:pPr>
              <w:ind w:left="20"/>
              <w:spacing w:after="0"/>
              <w:rPr>
                <w:sz w:val="20"/>
                <w:szCs w:val="20"/>
                <w:color w:val="auto"/>
              </w:rPr>
            </w:pPr>
            <w:r>
              <w:rPr>
                <w:rFonts w:ascii="Arial" w:cs="Arial" w:eastAsia="Arial" w:hAnsi="Arial"/>
                <w:sz w:val="18"/>
                <w:szCs w:val="18"/>
                <w:b w:val="1"/>
                <w:bCs w:val="1"/>
                <w:color w:val="auto"/>
                <w:w w:val="98"/>
              </w:rPr>
              <w:t>Proposed</w:t>
            </w: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Carry</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820" w:type="dxa"/>
            <w:vAlign w:val="bottom"/>
            <w:tcBorders>
              <w:right w:val="single" w:sz="8" w:color="auto"/>
            </w:tcBorders>
            <w:gridSpan w:val="4"/>
            <w:shd w:val="clear" w:color="auto" w:fill="9ADAF6"/>
          </w:tcPr>
          <w:p>
            <w:pPr>
              <w:jc w:val="center"/>
              <w:ind w:right="240"/>
              <w:spacing w:after="0" w:line="200" w:lineRule="exact"/>
              <w:rPr>
                <w:sz w:val="20"/>
                <w:szCs w:val="20"/>
                <w:color w:val="auto"/>
              </w:rPr>
            </w:pPr>
            <w:r>
              <w:rPr>
                <w:rFonts w:ascii="Arial" w:cs="Arial" w:eastAsia="Arial" w:hAnsi="Arial"/>
                <w:sz w:val="18"/>
                <w:szCs w:val="18"/>
                <w:b w:val="1"/>
                <w:bCs w:val="1"/>
                <w:color w:val="auto"/>
                <w:w w:val="98"/>
              </w:rPr>
              <w:t>Paid in</w:t>
            </w: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720" w:type="dxa"/>
            <w:vAlign w:val="bottom"/>
            <w:gridSpan w:val="3"/>
            <w:vMerge w:val="continue"/>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right"/>
              <w:ind w:right="40"/>
              <w:spacing w:after="0"/>
              <w:rPr>
                <w:sz w:val="20"/>
                <w:szCs w:val="20"/>
                <w:color w:val="auto"/>
              </w:rPr>
            </w:pPr>
            <w:r>
              <w:rPr>
                <w:rFonts w:ascii="Arial" w:cs="Arial" w:eastAsia="Arial" w:hAnsi="Arial"/>
                <w:sz w:val="18"/>
                <w:szCs w:val="18"/>
                <w:b w:val="1"/>
                <w:bCs w:val="1"/>
                <w:color w:val="auto"/>
              </w:rPr>
              <w:t>Maximum</w:t>
            </w:r>
          </w:p>
        </w:tc>
        <w:tc>
          <w:tcPr>
            <w:tcW w:w="80" w:type="dxa"/>
            <w:vAlign w:val="bottom"/>
            <w:tcBorders>
              <w:left w:val="single" w:sz="8" w:color="9ADAF6"/>
            </w:tcBorders>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9ADAF6"/>
            </w:tcBorders>
            <w:gridSpan w:val="3"/>
            <w:vMerge w:val="restart"/>
            <w:shd w:val="clear" w:color="auto" w:fill="9ADAF6"/>
          </w:tcPr>
          <w:p>
            <w:pPr>
              <w:jc w:val="center"/>
              <w:ind w:left="54"/>
              <w:spacing w:after="0"/>
              <w:rPr>
                <w:sz w:val="20"/>
                <w:szCs w:val="20"/>
                <w:color w:val="auto"/>
              </w:rPr>
            </w:pPr>
            <w:r>
              <w:rPr>
                <w:rFonts w:ascii="Arial" w:cs="Arial" w:eastAsia="Arial" w:hAnsi="Arial"/>
                <w:sz w:val="18"/>
                <w:szCs w:val="18"/>
                <w:b w:val="1"/>
                <w:bCs w:val="1"/>
                <w:color w:val="auto"/>
                <w:w w:val="97"/>
              </w:rPr>
              <w:t>Carry</w:t>
            </w: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Carry</w:t>
            </w:r>
          </w:p>
        </w:tc>
        <w:tc>
          <w:tcPr>
            <w:tcW w:w="40" w:type="dxa"/>
            <w:vAlign w:val="bottom"/>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right w:val="single" w:sz="8" w:color="auto"/>
            </w:tcBorders>
            <w:gridSpan w:val="5"/>
            <w:vMerge w:val="restart"/>
            <w:shd w:val="clear" w:color="auto" w:fill="9ADAF6"/>
          </w:tcPr>
          <w:p>
            <w:pPr>
              <w:jc w:val="center"/>
              <w:ind w:right="40"/>
              <w:spacing w:after="0"/>
              <w:rPr>
                <w:sz w:val="20"/>
                <w:szCs w:val="20"/>
                <w:color w:val="auto"/>
              </w:rPr>
            </w:pPr>
            <w:r>
              <w:rPr>
                <w:rFonts w:ascii="Arial" w:cs="Arial" w:eastAsia="Arial" w:hAnsi="Arial"/>
                <w:sz w:val="18"/>
                <w:szCs w:val="18"/>
                <w:b w:val="1"/>
                <w:bCs w:val="1"/>
                <w:color w:val="auto"/>
                <w:w w:val="98"/>
              </w:rPr>
              <w:t>Connection</w:t>
            </w: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680" w:type="dxa"/>
            <w:vAlign w:val="bottom"/>
            <w:gridSpan w:val="2"/>
            <w:shd w:val="clear" w:color="auto" w:fill="9ADAF6"/>
          </w:tcPr>
          <w:p>
            <w:pPr>
              <w:spacing w:after="0" w:line="178" w:lineRule="exact"/>
              <w:rPr>
                <w:sz w:val="20"/>
                <w:szCs w:val="20"/>
                <w:color w:val="auto"/>
              </w:rPr>
            </w:pPr>
            <w:r>
              <w:rPr>
                <w:rFonts w:ascii="Arial" w:cs="Arial" w:eastAsia="Arial" w:hAnsi="Arial"/>
                <w:sz w:val="18"/>
                <w:szCs w:val="18"/>
                <w:b w:val="1"/>
                <w:bCs w:val="1"/>
                <w:color w:val="auto"/>
                <w:w w:val="92"/>
              </w:rPr>
              <w:t>Security</w:t>
            </w:r>
          </w:p>
        </w:tc>
        <w:tc>
          <w:tcPr>
            <w:tcW w:w="20" w:type="dxa"/>
            <w:vAlign w:val="bottom"/>
          </w:tcPr>
          <w:p>
            <w:pPr>
              <w:spacing w:after="0"/>
              <w:rPr>
                <w:sz w:val="15"/>
                <w:szCs w:val="15"/>
                <w:color w:val="auto"/>
              </w:rPr>
            </w:pPr>
          </w:p>
        </w:tc>
        <w:tc>
          <w:tcPr>
            <w:tcW w:w="980" w:type="dxa"/>
            <w:vAlign w:val="bottom"/>
            <w:gridSpan w:val="5"/>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6"/>
              </w:rPr>
              <w:t>Calculation</w:t>
            </w: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5"/>
            <w:shd w:val="clear" w:color="auto" w:fill="9ADAF6"/>
          </w:tcPr>
          <w:p>
            <w:pPr>
              <w:ind w:left="20"/>
              <w:spacing w:after="0" w:line="178" w:lineRule="exact"/>
              <w:rPr>
                <w:sz w:val="20"/>
                <w:szCs w:val="20"/>
                <w:color w:val="auto"/>
              </w:rPr>
            </w:pPr>
            <w:r>
              <w:rPr>
                <w:rFonts w:ascii="Arial" w:cs="Arial" w:eastAsia="Arial" w:hAnsi="Arial"/>
                <w:sz w:val="18"/>
                <w:szCs w:val="18"/>
                <w:b w:val="1"/>
                <w:bCs w:val="1"/>
                <w:color w:val="auto"/>
                <w:w w:val="98"/>
              </w:rPr>
              <w:t>Maximum</w:t>
            </w:r>
          </w:p>
        </w:tc>
        <w:tc>
          <w:tcPr>
            <w:tcW w:w="20" w:type="dxa"/>
            <w:vAlign w:val="bottom"/>
          </w:tcPr>
          <w:p>
            <w:pPr>
              <w:spacing w:after="0"/>
              <w:rPr>
                <w:sz w:val="15"/>
                <w:szCs w:val="15"/>
                <w:color w:val="auto"/>
              </w:rPr>
            </w:pPr>
          </w:p>
        </w:tc>
        <w:tc>
          <w:tcPr>
            <w:tcW w:w="900" w:type="dxa"/>
            <w:vAlign w:val="bottom"/>
            <w:gridSpan w:val="4"/>
            <w:vMerge w:val="continue"/>
            <w:shd w:val="clear" w:color="auto" w:fill="9ADAF6"/>
          </w:tcPr>
          <w:p>
            <w:pPr>
              <w:spacing w:after="0"/>
              <w:rPr>
                <w:sz w:val="15"/>
                <w:szCs w:val="15"/>
                <w:color w:val="auto"/>
              </w:rPr>
            </w:pPr>
          </w:p>
        </w:tc>
        <w:tc>
          <w:tcPr>
            <w:tcW w:w="80" w:type="dxa"/>
            <w:vAlign w:val="bottom"/>
            <w:tcBorders>
              <w:left w:val="single" w:sz="8" w:color="9ADAF6"/>
            </w:tcBorders>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9"/>
              </w:rPr>
              <w:t>Amount of</w:t>
            </w:r>
          </w:p>
        </w:tc>
        <w:tc>
          <w:tcPr>
            <w:tcW w:w="20" w:type="dxa"/>
            <w:vAlign w:val="bottom"/>
          </w:tcPr>
          <w:p>
            <w:pPr>
              <w:spacing w:after="0"/>
              <w:rPr>
                <w:sz w:val="15"/>
                <w:szCs w:val="15"/>
                <w:color w:val="auto"/>
              </w:rPr>
            </w:pPr>
          </w:p>
        </w:tc>
        <w:tc>
          <w:tcPr>
            <w:tcW w:w="600" w:type="dxa"/>
            <w:vAlign w:val="bottom"/>
            <w:tcBorders>
              <w:right w:val="single" w:sz="8" w:color="9ADAF6"/>
            </w:tcBorders>
            <w:gridSpan w:val="3"/>
            <w:vMerge w:val="continue"/>
            <w:shd w:val="clear" w:color="auto" w:fill="9ADAF6"/>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5"/>
                <w:szCs w:val="15"/>
                <w:color w:val="auto"/>
              </w:rPr>
            </w:pPr>
          </w:p>
        </w:tc>
        <w:tc>
          <w:tcPr>
            <w:tcW w:w="1020" w:type="dxa"/>
            <w:vAlign w:val="bottom"/>
            <w:tcBorders>
              <w:right w:val="single" w:sz="8" w:color="auto"/>
            </w:tcBorders>
            <w:gridSpan w:val="5"/>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shd w:val="clear" w:color="auto" w:fill="9ADAF6"/>
          </w:tcPr>
          <w:p>
            <w:pPr>
              <w:ind w:left="20"/>
              <w:spacing w:after="0" w:line="200" w:lineRule="exact"/>
              <w:rPr>
                <w:sz w:val="20"/>
                <w:szCs w:val="20"/>
                <w:color w:val="auto"/>
              </w:rPr>
            </w:pPr>
            <w:r>
              <w:rPr>
                <w:rFonts w:ascii="Arial" w:cs="Arial" w:eastAsia="Arial" w:hAnsi="Arial"/>
                <w:sz w:val="18"/>
                <w:szCs w:val="18"/>
                <w:b w:val="1"/>
                <w:bCs w:val="1"/>
                <w:color w:val="auto"/>
                <w:w w:val="98"/>
              </w:rPr>
              <w:t>Security</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Class</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40" w:type="dxa"/>
            <w:vAlign w:val="bottom"/>
            <w:gridSpan w:val="4"/>
            <w:shd w:val="clear" w:color="auto" w:fill="9ADAF6"/>
          </w:tcPr>
          <w:p>
            <w:pPr>
              <w:jc w:val="center"/>
              <w:ind w:right="51"/>
              <w:spacing w:after="0" w:line="200" w:lineRule="exact"/>
              <w:rPr>
                <w:sz w:val="20"/>
                <w:szCs w:val="20"/>
                <w:color w:val="auto"/>
              </w:rPr>
            </w:pPr>
            <w:r>
              <w:rPr>
                <w:rFonts w:ascii="Arial" w:cs="Arial" w:eastAsia="Arial" w:hAnsi="Arial"/>
                <w:sz w:val="18"/>
                <w:szCs w:val="18"/>
                <w:b w:val="1"/>
                <w:bCs w:val="1"/>
                <w:color w:val="auto"/>
                <w:w w:val="99"/>
              </w:rPr>
              <w:t>or Carry</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80" w:type="dxa"/>
            <w:vAlign w:val="bottom"/>
            <w:gridSpan w:val="2"/>
            <w:shd w:val="clear" w:color="auto" w:fill="9ADAF6"/>
          </w:tcPr>
          <w:p>
            <w:pPr>
              <w:ind w:left="100"/>
              <w:spacing w:after="0" w:line="200" w:lineRule="exact"/>
              <w:rPr>
                <w:sz w:val="20"/>
                <w:szCs w:val="20"/>
                <w:color w:val="auto"/>
              </w:rPr>
            </w:pPr>
            <w:r>
              <w:rPr>
                <w:rFonts w:ascii="Arial" w:cs="Arial" w:eastAsia="Arial" w:hAnsi="Arial"/>
                <w:sz w:val="18"/>
                <w:szCs w:val="18"/>
                <w:b w:val="1"/>
                <w:bCs w:val="1"/>
                <w:color w:val="auto"/>
                <w:w w:val="97"/>
              </w:rPr>
              <w:t>Amount</w:t>
            </w: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5"/>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w:t>
            </w:r>
          </w:p>
        </w:tc>
        <w:tc>
          <w:tcPr>
            <w:tcW w:w="20" w:type="dxa"/>
            <w:vAlign w:val="bottom"/>
          </w:tcPr>
          <w:p>
            <w:pPr>
              <w:spacing w:after="0"/>
              <w:rPr>
                <w:sz w:val="17"/>
                <w:szCs w:val="17"/>
                <w:color w:val="auto"/>
              </w:rPr>
            </w:pPr>
          </w:p>
        </w:tc>
        <w:tc>
          <w:tcPr>
            <w:tcW w:w="900" w:type="dxa"/>
            <w:vAlign w:val="bottom"/>
            <w:gridSpan w:val="4"/>
            <w:shd w:val="clear" w:color="auto" w:fill="9ADAF6"/>
          </w:tcPr>
          <w:p>
            <w:pPr>
              <w:jc w:val="right"/>
              <w:ind w:right="20"/>
              <w:spacing w:after="0" w:line="200" w:lineRule="exact"/>
              <w:rPr>
                <w:sz w:val="20"/>
                <w:szCs w:val="20"/>
                <w:color w:val="auto"/>
              </w:rPr>
            </w:pPr>
            <w:r>
              <w:rPr>
                <w:rFonts w:ascii="Arial" w:cs="Arial" w:eastAsia="Arial" w:hAnsi="Arial"/>
                <w:sz w:val="18"/>
                <w:szCs w:val="18"/>
                <w:b w:val="1"/>
                <w:bCs w:val="1"/>
                <w:color w:val="auto"/>
                <w:w w:val="96"/>
              </w:rPr>
              <w:t>Aggregate</w:t>
            </w:r>
          </w:p>
        </w:tc>
        <w:tc>
          <w:tcPr>
            <w:tcW w:w="440" w:type="dxa"/>
            <w:vAlign w:val="bottom"/>
            <w:tcBorders>
              <w:left w:val="single" w:sz="8" w:color="9ADAF6"/>
            </w:tcBorders>
            <w:gridSpan w:val="2"/>
            <w:shd w:val="clear" w:color="auto" w:fill="9ADAF6"/>
          </w:tcPr>
          <w:p>
            <w:pPr>
              <w:ind w:left="80"/>
              <w:spacing w:after="0" w:line="200" w:lineRule="exact"/>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1060" w:type="dxa"/>
            <w:vAlign w:val="bottom"/>
            <w:gridSpan w:val="4"/>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7"/>
              </w:rPr>
              <w:t>Registration</w:t>
            </w:r>
          </w:p>
        </w:tc>
        <w:tc>
          <w:tcPr>
            <w:tcW w:w="20" w:type="dxa"/>
            <w:vAlign w:val="bottom"/>
          </w:tcPr>
          <w:p>
            <w:pPr>
              <w:spacing w:after="0"/>
              <w:rPr>
                <w:sz w:val="17"/>
                <w:szCs w:val="17"/>
                <w:color w:val="auto"/>
              </w:rPr>
            </w:pPr>
          </w:p>
        </w:tc>
        <w:tc>
          <w:tcPr>
            <w:tcW w:w="74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7"/>
                <w:szCs w:val="17"/>
                <w:color w:val="auto"/>
              </w:rPr>
            </w:pPr>
          </w:p>
        </w:tc>
        <w:tc>
          <w:tcPr>
            <w:tcW w:w="72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Initial</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780" w:type="dxa"/>
            <w:vAlign w:val="bottom"/>
            <w:tcBorders>
              <w:right w:val="single" w:sz="8" w:color="auto"/>
            </w:tcBorders>
            <w:gridSpan w:val="3"/>
            <w:shd w:val="clear" w:color="auto" w:fill="9ADAF6"/>
          </w:tcPr>
          <w:p>
            <w:pPr>
              <w:jc w:val="center"/>
              <w:ind w:right="260"/>
              <w:spacing w:after="0" w:line="200" w:lineRule="exact"/>
              <w:rPr>
                <w:sz w:val="20"/>
                <w:szCs w:val="20"/>
                <w:color w:val="auto"/>
              </w:rPr>
            </w:pPr>
            <w:r>
              <w:rPr>
                <w:rFonts w:ascii="Arial" w:cs="Arial" w:eastAsia="Arial" w:hAnsi="Arial"/>
                <w:sz w:val="18"/>
                <w:szCs w:val="18"/>
                <w:b w:val="1"/>
                <w:bCs w:val="1"/>
                <w:color w:val="auto"/>
                <w:w w:val="99"/>
              </w:rPr>
              <w:t>with</w:t>
            </w: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3"/>
            <w:shd w:val="clear" w:color="auto" w:fill="9ADAF6"/>
          </w:tcPr>
          <w:p>
            <w:pPr>
              <w:ind w:left="180"/>
              <w:spacing w:after="0" w:line="121" w:lineRule="exact"/>
              <w:rPr>
                <w:sz w:val="20"/>
                <w:szCs w:val="20"/>
                <w:color w:val="auto"/>
              </w:rPr>
            </w:pPr>
            <w:r>
              <w:rPr>
                <w:rFonts w:ascii="Arial" w:cs="Arial" w:eastAsia="Arial" w:hAnsi="Arial"/>
                <w:sz w:val="14"/>
                <w:szCs w:val="14"/>
                <w:b w:val="1"/>
                <w:bCs w:val="1"/>
                <w:color w:val="auto"/>
              </w:rPr>
              <w:t>Type</w:t>
            </w:r>
          </w:p>
        </w:tc>
        <w:tc>
          <w:tcPr>
            <w:tcW w:w="80" w:type="dxa"/>
            <w:vAlign w:val="bottom"/>
            <w:tcBorders>
              <w:right w:val="single" w:sz="8" w:color="9ADAF6"/>
            </w:tcBorders>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840" w:type="dxa"/>
            <w:vAlign w:val="bottom"/>
            <w:gridSpan w:val="4"/>
            <w:vMerge w:val="restart"/>
            <w:shd w:val="clear" w:color="auto" w:fill="9ADAF6"/>
          </w:tcPr>
          <w:p>
            <w:pPr>
              <w:jc w:val="center"/>
              <w:ind w:right="51"/>
              <w:spacing w:after="0"/>
              <w:rPr>
                <w:sz w:val="20"/>
                <w:szCs w:val="20"/>
                <w:color w:val="auto"/>
              </w:rPr>
            </w:pPr>
            <w:r>
              <w:rPr>
                <w:rFonts w:ascii="Arial" w:cs="Arial" w:eastAsia="Arial" w:hAnsi="Arial"/>
                <w:sz w:val="18"/>
                <w:szCs w:val="18"/>
                <w:b w:val="1"/>
                <w:bCs w:val="1"/>
                <w:color w:val="auto"/>
                <w:w w:val="98"/>
              </w:rPr>
              <w:t>Forward</w:t>
            </w:r>
          </w:p>
        </w:tc>
        <w:tc>
          <w:tcPr>
            <w:tcW w:w="40" w:type="dxa"/>
            <w:vAlign w:val="bottom"/>
            <w:tcBorders>
              <w:right w:val="single" w:sz="8" w:color="9ADAF6"/>
            </w:tcBorders>
          </w:tcPr>
          <w:p>
            <w:pPr>
              <w:spacing w:after="0"/>
              <w:rPr>
                <w:sz w:val="10"/>
                <w:szCs w:val="10"/>
                <w:color w:val="auto"/>
              </w:rPr>
            </w:pPr>
          </w:p>
        </w:tc>
        <w:tc>
          <w:tcPr>
            <w:tcW w:w="920" w:type="dxa"/>
            <w:vAlign w:val="bottom"/>
            <w:gridSpan w:val="4"/>
            <w:shd w:val="clear" w:color="auto" w:fill="9ADAF6"/>
          </w:tcPr>
          <w:p>
            <w:pPr>
              <w:jc w:val="right"/>
              <w:spacing w:after="0" w:line="121" w:lineRule="exact"/>
              <w:rPr>
                <w:sz w:val="20"/>
                <w:szCs w:val="20"/>
                <w:color w:val="auto"/>
              </w:rPr>
            </w:pPr>
            <w:r>
              <w:rPr>
                <w:rFonts w:ascii="Arial" w:cs="Arial" w:eastAsia="Arial" w:hAnsi="Arial"/>
                <w:sz w:val="14"/>
                <w:szCs w:val="14"/>
                <w:b w:val="1"/>
                <w:bCs w:val="1"/>
                <w:color w:val="auto"/>
              </w:rPr>
              <w:t>Registered</w:t>
            </w:r>
          </w:p>
        </w:tc>
        <w:tc>
          <w:tcPr>
            <w:tcW w:w="20" w:type="dxa"/>
            <w:vAlign w:val="bottom"/>
          </w:tcPr>
          <w:p>
            <w:pPr>
              <w:spacing w:after="0"/>
              <w:rPr>
                <w:sz w:val="10"/>
                <w:szCs w:val="10"/>
                <w:color w:val="auto"/>
              </w:rPr>
            </w:pPr>
          </w:p>
        </w:tc>
        <w:tc>
          <w:tcPr>
            <w:tcW w:w="860" w:type="dxa"/>
            <w:vAlign w:val="bottom"/>
            <w:gridSpan w:val="5"/>
            <w:vMerge w:val="restart"/>
            <w:shd w:val="clear" w:color="auto" w:fill="9ADAF6"/>
          </w:tcPr>
          <w:p>
            <w:pPr>
              <w:ind w:left="40"/>
              <w:spacing w:after="0"/>
              <w:rPr>
                <w:sz w:val="20"/>
                <w:szCs w:val="20"/>
                <w:color w:val="auto"/>
              </w:rPr>
            </w:pPr>
            <w:r>
              <w:rPr>
                <w:rFonts w:ascii="Arial" w:cs="Arial" w:eastAsia="Arial" w:hAnsi="Arial"/>
                <w:sz w:val="18"/>
                <w:szCs w:val="18"/>
                <w:b w:val="1"/>
                <w:bCs w:val="1"/>
                <w:color w:val="auto"/>
              </w:rPr>
              <w:t>Price Per</w:t>
            </w:r>
          </w:p>
        </w:tc>
        <w:tc>
          <w:tcPr>
            <w:tcW w:w="20" w:type="dxa"/>
            <w:vAlign w:val="bottom"/>
          </w:tcPr>
          <w:p>
            <w:pPr>
              <w:spacing w:after="0"/>
              <w:rPr>
                <w:sz w:val="10"/>
                <w:szCs w:val="10"/>
                <w:color w:val="auto"/>
              </w:rPr>
            </w:pPr>
          </w:p>
        </w:tc>
        <w:tc>
          <w:tcPr>
            <w:tcW w:w="900" w:type="dxa"/>
            <w:vAlign w:val="bottom"/>
            <w:gridSpan w:val="4"/>
            <w:shd w:val="clear" w:color="auto" w:fill="9ADAF6"/>
          </w:tcPr>
          <w:p>
            <w:pPr>
              <w:jc w:val="right"/>
              <w:ind w:right="100"/>
              <w:spacing w:after="0" w:line="121" w:lineRule="exact"/>
              <w:rPr>
                <w:sz w:val="20"/>
                <w:szCs w:val="20"/>
                <w:color w:val="auto"/>
              </w:rPr>
            </w:pPr>
            <w:r>
              <w:rPr>
                <w:rFonts w:ascii="Arial" w:cs="Arial" w:eastAsia="Arial" w:hAnsi="Arial"/>
                <w:sz w:val="14"/>
                <w:szCs w:val="14"/>
                <w:b w:val="1"/>
                <w:bCs w:val="1"/>
                <w:color w:val="auto"/>
              </w:rPr>
              <w:t>Offering</w:t>
            </w:r>
          </w:p>
        </w:tc>
        <w:tc>
          <w:tcPr>
            <w:tcW w:w="440" w:type="dxa"/>
            <w:vAlign w:val="bottom"/>
            <w:tcBorders>
              <w:left w:val="single" w:sz="8" w:color="9ADAF6"/>
            </w:tcBorders>
            <w:gridSpan w:val="2"/>
            <w:shd w:val="clear" w:color="auto" w:fill="9ADAF6"/>
          </w:tcPr>
          <w:p>
            <w:pPr>
              <w:ind w:left="40"/>
              <w:spacing w:after="0" w:line="121" w:lineRule="exact"/>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0"/>
                <w:szCs w:val="10"/>
                <w:color w:val="auto"/>
              </w:rPr>
            </w:pPr>
          </w:p>
        </w:tc>
        <w:tc>
          <w:tcPr>
            <w:tcW w:w="1060" w:type="dxa"/>
            <w:vAlign w:val="bottom"/>
            <w:gridSpan w:val="4"/>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0"/>
                <w:szCs w:val="10"/>
                <w:color w:val="auto"/>
              </w:rPr>
            </w:pPr>
          </w:p>
        </w:tc>
        <w:tc>
          <w:tcPr>
            <w:tcW w:w="600" w:type="dxa"/>
            <w:vAlign w:val="bottom"/>
            <w:tcBorders>
              <w:right w:val="single" w:sz="8" w:color="9ADAF6"/>
            </w:tcBorders>
            <w:gridSpan w:val="3"/>
            <w:shd w:val="clear" w:color="auto" w:fill="9ADAF6"/>
          </w:tcPr>
          <w:p>
            <w:pPr>
              <w:jc w:val="center"/>
              <w:ind w:left="54"/>
              <w:spacing w:after="0" w:line="121" w:lineRule="exact"/>
              <w:rPr>
                <w:sz w:val="20"/>
                <w:szCs w:val="20"/>
                <w:color w:val="auto"/>
              </w:rPr>
            </w:pPr>
            <w:r>
              <w:rPr>
                <w:rFonts w:ascii="Arial" w:cs="Arial" w:eastAsia="Arial" w:hAnsi="Arial"/>
                <w:sz w:val="14"/>
                <w:szCs w:val="14"/>
                <w:b w:val="1"/>
                <w:bCs w:val="1"/>
                <w:color w:val="auto"/>
              </w:rPr>
              <w:t>Form</w:t>
            </w: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File</w:t>
            </w:r>
          </w:p>
        </w:tc>
        <w:tc>
          <w:tcPr>
            <w:tcW w:w="40" w:type="dxa"/>
            <w:vAlign w:val="bottom"/>
          </w:tcPr>
          <w:p>
            <w:pPr>
              <w:spacing w:after="0"/>
              <w:rPr>
                <w:sz w:val="10"/>
                <w:szCs w:val="10"/>
                <w:color w:val="auto"/>
              </w:rPr>
            </w:pPr>
          </w:p>
        </w:tc>
        <w:tc>
          <w:tcPr>
            <w:tcW w:w="760" w:type="dxa"/>
            <w:vAlign w:val="bottom"/>
            <w:gridSpan w:val="2"/>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Effective</w:t>
            </w: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820" w:type="dxa"/>
            <w:vAlign w:val="bottom"/>
            <w:tcBorders>
              <w:right w:val="single" w:sz="8" w:color="auto"/>
            </w:tcBorders>
            <w:gridSpan w:val="4"/>
            <w:shd w:val="clear" w:color="auto" w:fill="9ADAF6"/>
          </w:tcPr>
          <w:p>
            <w:pPr>
              <w:jc w:val="center"/>
              <w:ind w:right="220"/>
              <w:spacing w:after="0" w:line="121" w:lineRule="exact"/>
              <w:rPr>
                <w:sz w:val="20"/>
                <w:szCs w:val="20"/>
                <w:color w:val="auto"/>
              </w:rPr>
            </w:pPr>
            <w:r>
              <w:rPr>
                <w:rFonts w:ascii="Arial" w:cs="Arial" w:eastAsia="Arial" w:hAnsi="Arial"/>
                <w:sz w:val="14"/>
                <w:szCs w:val="14"/>
                <w:b w:val="1"/>
                <w:bCs w:val="1"/>
                <w:color w:val="auto"/>
              </w:rPr>
              <w:t>Unsold</w:t>
            </w: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840" w:type="dxa"/>
            <w:vAlign w:val="bottom"/>
            <w:gridSpan w:val="4"/>
            <w:vMerge w:val="continue"/>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5"/>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680" w:type="dxa"/>
            <w:vAlign w:val="bottom"/>
            <w:gridSpan w:val="3"/>
            <w:shd w:val="clear" w:color="auto" w:fill="9ADAF6"/>
          </w:tcPr>
          <w:p>
            <w:pPr>
              <w:jc w:val="right"/>
              <w:ind w:right="240"/>
              <w:spacing w:after="0" w:line="178" w:lineRule="exact"/>
              <w:rPr>
                <w:sz w:val="20"/>
                <w:szCs w:val="20"/>
                <w:color w:val="auto"/>
              </w:rPr>
            </w:pPr>
            <w:r>
              <w:rPr>
                <w:rFonts w:ascii="Arial" w:cs="Arial" w:eastAsia="Arial" w:hAnsi="Arial"/>
                <w:sz w:val="18"/>
                <w:szCs w:val="18"/>
                <w:b w:val="1"/>
                <w:bCs w:val="1"/>
                <w:color w:val="auto"/>
                <w:w w:val="95"/>
              </w:rPr>
              <w:t>Price</w:t>
            </w:r>
          </w:p>
        </w:tc>
        <w:tc>
          <w:tcPr>
            <w:tcW w:w="80" w:type="dxa"/>
            <w:vAlign w:val="bottom"/>
            <w:tcBorders>
              <w:left w:val="single" w:sz="8" w:color="9ADAF6"/>
            </w:tcBorders>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9ADAF6"/>
            </w:tcBorders>
            <w:gridSpan w:val="3"/>
            <w:shd w:val="clear" w:color="auto" w:fill="9ADAF6"/>
          </w:tcPr>
          <w:p>
            <w:pPr>
              <w:jc w:val="center"/>
              <w:ind w:left="34"/>
              <w:spacing w:after="0" w:line="178" w:lineRule="exact"/>
              <w:rPr>
                <w:sz w:val="20"/>
                <w:szCs w:val="20"/>
                <w:color w:val="auto"/>
              </w:rPr>
            </w:pPr>
            <w:r>
              <w:rPr>
                <w:rFonts w:ascii="Arial" w:cs="Arial" w:eastAsia="Arial" w:hAnsi="Arial"/>
                <w:sz w:val="18"/>
                <w:szCs w:val="18"/>
                <w:b w:val="1"/>
                <w:bCs w:val="1"/>
                <w:color w:val="auto"/>
                <w:w w:val="95"/>
              </w:rPr>
              <w:t>Type</w:t>
            </w: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9"/>
              </w:rPr>
              <w:t>Number</w:t>
            </w:r>
          </w:p>
        </w:tc>
        <w:tc>
          <w:tcPr>
            <w:tcW w:w="40" w:type="dxa"/>
            <w:vAlign w:val="bottom"/>
          </w:tcPr>
          <w:p>
            <w:pPr>
              <w:spacing w:after="0"/>
              <w:rPr>
                <w:sz w:val="15"/>
                <w:szCs w:val="15"/>
                <w:color w:val="auto"/>
              </w:rPr>
            </w:pPr>
          </w:p>
        </w:tc>
        <w:tc>
          <w:tcPr>
            <w:tcW w:w="760" w:type="dxa"/>
            <w:vAlign w:val="bottom"/>
            <w:gridSpan w:val="2"/>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right w:val="single" w:sz="8" w:color="auto"/>
            </w:tcBorders>
            <w:gridSpan w:val="5"/>
            <w:shd w:val="clear" w:color="auto" w:fill="9ADAF6"/>
          </w:tcPr>
          <w:p>
            <w:pPr>
              <w:jc w:val="center"/>
              <w:ind w:right="20"/>
              <w:spacing w:after="0" w:line="178" w:lineRule="exact"/>
              <w:rPr>
                <w:sz w:val="20"/>
                <w:szCs w:val="20"/>
                <w:color w:val="auto"/>
              </w:rPr>
            </w:pPr>
            <w:r>
              <w:rPr>
                <w:rFonts w:ascii="Arial" w:cs="Arial" w:eastAsia="Arial" w:hAnsi="Arial"/>
                <w:sz w:val="18"/>
                <w:szCs w:val="18"/>
                <w:b w:val="1"/>
                <w:bCs w:val="1"/>
                <w:color w:val="auto"/>
                <w:w w:val="97"/>
              </w:rPr>
              <w:t>Securities</w:t>
            </w:r>
          </w:p>
        </w:tc>
        <w:tc>
          <w:tcPr>
            <w:tcW w:w="0" w:type="dxa"/>
            <w:vAlign w:val="bottom"/>
          </w:tcPr>
          <w:p>
            <w:pPr>
              <w:spacing w:after="0"/>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r>
              <w:rPr>
                <w:rFonts w:ascii="Arial" w:cs="Arial" w:eastAsia="Arial" w:hAnsi="Arial"/>
                <w:sz w:val="18"/>
                <w:szCs w:val="18"/>
                <w:b w:val="1"/>
                <w:bCs w:val="1"/>
                <w:color w:val="auto"/>
              </w:rPr>
              <w:t>Rule</w:t>
            </w:r>
          </w:p>
        </w:tc>
        <w:tc>
          <w:tcPr>
            <w:tcW w:w="2720" w:type="dxa"/>
            <w:vAlign w:val="bottom"/>
            <w:gridSpan w:val="15"/>
            <w:shd w:val="clear" w:color="auto" w:fill="9ADAF6"/>
          </w:tcPr>
          <w:p>
            <w:pPr>
              <w:spacing w:after="0"/>
              <w:rPr>
                <w:sz w:val="20"/>
                <w:szCs w:val="20"/>
                <w:color w:val="auto"/>
              </w:rPr>
            </w:pPr>
            <w:r>
              <w:rPr>
                <w:rFonts w:ascii="Arial" w:cs="Arial" w:eastAsia="Arial" w:hAnsi="Arial"/>
                <w:sz w:val="18"/>
                <w:szCs w:val="18"/>
                <w:b w:val="1"/>
                <w:bCs w:val="1"/>
                <w:color w:val="auto"/>
              </w:rPr>
              <w:t>Unit</w:t>
            </w: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1940" w:type="dxa"/>
            <w:vAlign w:val="bottom"/>
            <w:gridSpan w:val="11"/>
            <w:shd w:val="clear" w:color="auto" w:fill="9ADAF6"/>
          </w:tcPr>
          <w:p>
            <w:pPr>
              <w:spacing w:after="0"/>
              <w:rPr>
                <w:sz w:val="20"/>
                <w:szCs w:val="20"/>
                <w:color w:val="auto"/>
              </w:rPr>
            </w:pPr>
            <w:r>
              <w:rPr>
                <w:rFonts w:ascii="Arial" w:cs="Arial" w:eastAsia="Arial" w:hAnsi="Arial"/>
                <w:sz w:val="18"/>
                <w:szCs w:val="18"/>
                <w:b w:val="1"/>
                <w:bCs w:val="1"/>
                <w:color w:val="auto"/>
              </w:rPr>
              <w:t>Date</w:t>
            </w:r>
          </w:p>
        </w:tc>
        <w:tc>
          <w:tcPr>
            <w:tcW w:w="780" w:type="dxa"/>
            <w:vAlign w:val="bottom"/>
            <w:tcBorders>
              <w:right w:val="single" w:sz="8" w:color="auto"/>
            </w:tcBorders>
            <w:gridSpan w:val="3"/>
            <w:vMerge w:val="restart"/>
            <w:shd w:val="clear" w:color="auto" w:fill="9ADAF6"/>
          </w:tcPr>
          <w:p>
            <w:pPr>
              <w:jc w:val="center"/>
              <w:ind w:right="280"/>
              <w:spacing w:after="0"/>
              <w:rPr>
                <w:sz w:val="20"/>
                <w:szCs w:val="20"/>
                <w:color w:val="auto"/>
              </w:rPr>
            </w:pPr>
            <w:r>
              <w:rPr>
                <w:rFonts w:ascii="Arial" w:cs="Arial" w:eastAsia="Arial" w:hAnsi="Arial"/>
                <w:sz w:val="18"/>
                <w:szCs w:val="18"/>
                <w:b w:val="1"/>
                <w:bCs w:val="1"/>
                <w:color w:val="auto"/>
                <w:w w:val="97"/>
              </w:rPr>
              <w:t>to be</w:t>
            </w:r>
          </w:p>
        </w:tc>
        <w:tc>
          <w:tcPr>
            <w:tcW w:w="0" w:type="dxa"/>
            <w:vAlign w:val="bottom"/>
          </w:tcPr>
          <w:p>
            <w:pPr>
              <w:spacing w:after="0"/>
              <w:rPr>
                <w:sz w:val="1"/>
                <w:szCs w:val="1"/>
                <w:color w:val="auto"/>
              </w:rPr>
            </w:pPr>
          </w:p>
        </w:tc>
      </w:tr>
      <w:tr>
        <w:trPr>
          <w:trHeight w:val="21"/>
        </w:trPr>
        <w:tc>
          <w:tcPr>
            <w:tcW w:w="2060" w:type="dxa"/>
            <w:vAlign w:val="bottom"/>
            <w:tcBorders>
              <w:left w:val="single" w:sz="8" w:color="auto"/>
              <w:right w:val="single" w:sz="8" w:color="9ADAF6"/>
            </w:tcBorders>
            <w:gridSpan w:val="13"/>
          </w:tcPr>
          <w:p>
            <w:pPr>
              <w:spacing w:after="0" w:line="20" w:lineRule="exact"/>
              <w:rPr>
                <w:sz w:val="1"/>
                <w:szCs w:val="1"/>
                <w:color w:val="auto"/>
              </w:rPr>
            </w:pPr>
          </w:p>
        </w:tc>
        <w:tc>
          <w:tcPr>
            <w:tcW w:w="1720" w:type="dxa"/>
            <w:vAlign w:val="bottom"/>
            <w:tcBorders>
              <w:right w:val="single" w:sz="8" w:color="9ADAF6"/>
            </w:tcBorders>
            <w:gridSpan w:val="9"/>
            <w:shd w:val="clear" w:color="auto" w:fill="9ADAF6"/>
          </w:tcPr>
          <w:p>
            <w:pPr>
              <w:spacing w:after="0" w:line="20" w:lineRule="exact"/>
              <w:rPr>
                <w:sz w:val="1"/>
                <w:szCs w:val="1"/>
                <w:color w:val="auto"/>
              </w:rPr>
            </w:pPr>
          </w:p>
        </w:tc>
        <w:tc>
          <w:tcPr>
            <w:tcW w:w="1400" w:type="dxa"/>
            <w:vAlign w:val="bottom"/>
            <w:tcBorders>
              <w:right w:val="single" w:sz="8" w:color="9ADAF6"/>
            </w:tcBorders>
            <w:gridSpan w:val="8"/>
            <w:shd w:val="clear" w:color="auto" w:fill="9ADAF6"/>
          </w:tcPr>
          <w:p>
            <w:pPr>
              <w:spacing w:after="0" w:line="20" w:lineRule="exact"/>
              <w:rPr>
                <w:sz w:val="1"/>
                <w:szCs w:val="1"/>
                <w:color w:val="auto"/>
              </w:rPr>
            </w:pPr>
          </w:p>
        </w:tc>
        <w:tc>
          <w:tcPr>
            <w:tcW w:w="1320" w:type="dxa"/>
            <w:vAlign w:val="bottom"/>
            <w:gridSpan w:val="7"/>
            <w:shd w:val="clear" w:color="auto" w:fill="9ADAF6"/>
          </w:tcPr>
          <w:p>
            <w:pPr>
              <w:spacing w:after="0" w:line="20" w:lineRule="exact"/>
              <w:rPr>
                <w:sz w:val="1"/>
                <w:szCs w:val="1"/>
                <w:color w:val="auto"/>
              </w:rPr>
            </w:pPr>
          </w:p>
        </w:tc>
        <w:tc>
          <w:tcPr>
            <w:tcW w:w="2040" w:type="dxa"/>
            <w:vAlign w:val="bottom"/>
            <w:tcBorders>
              <w:left w:val="single" w:sz="8" w:color="9ADAF6"/>
            </w:tcBorders>
            <w:gridSpan w:val="10"/>
            <w:shd w:val="clear" w:color="auto" w:fill="9ADAF6"/>
          </w:tcPr>
          <w:p>
            <w:pPr>
              <w:spacing w:after="0" w:line="20" w:lineRule="exact"/>
              <w:rPr>
                <w:sz w:val="1"/>
                <w:szCs w:val="1"/>
                <w:color w:val="auto"/>
              </w:rPr>
            </w:pPr>
          </w:p>
        </w:tc>
        <w:tc>
          <w:tcPr>
            <w:tcW w:w="100" w:type="dxa"/>
            <w:vAlign w:val="bottom"/>
            <w:tcBorders>
              <w:left w:val="single" w:sz="8" w:color="9ADAF6"/>
              <w:right w:val="single" w:sz="8" w:color="9ADAF6"/>
            </w:tcBorders>
            <w:shd w:val="clear" w:color="auto" w:fill="9ADAF6"/>
          </w:tcPr>
          <w:p>
            <w:pPr>
              <w:spacing w:after="0" w:line="20" w:lineRule="exact"/>
              <w:rPr>
                <w:sz w:val="1"/>
                <w:szCs w:val="1"/>
                <w:color w:val="auto"/>
              </w:rPr>
            </w:pPr>
          </w:p>
        </w:tc>
        <w:tc>
          <w:tcPr>
            <w:tcW w:w="1940" w:type="dxa"/>
            <w:vAlign w:val="bottom"/>
            <w:gridSpan w:val="11"/>
            <w:shd w:val="clear" w:color="auto" w:fill="9ADAF6"/>
          </w:tcPr>
          <w:p>
            <w:pPr>
              <w:spacing w:after="0" w:line="20" w:lineRule="exact"/>
              <w:rPr>
                <w:sz w:val="1"/>
                <w:szCs w:val="1"/>
                <w:color w:val="auto"/>
              </w:rPr>
            </w:pPr>
          </w:p>
        </w:tc>
        <w:tc>
          <w:tcPr>
            <w:tcW w:w="780" w:type="dxa"/>
            <w:vAlign w:val="bottom"/>
            <w:tcBorders>
              <w:right w:val="single" w:sz="8" w:color="auto"/>
            </w:tcBorders>
            <w:gridSpan w:val="3"/>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1400" w:type="dxa"/>
            <w:vAlign w:val="bottom"/>
            <w:tcBorders>
              <w:right w:val="single" w:sz="8" w:color="9ADAF6"/>
            </w:tcBorders>
            <w:gridSpan w:val="8"/>
            <w:shd w:val="clear" w:color="auto" w:fill="9ADAF6"/>
          </w:tcPr>
          <w:p>
            <w:pPr>
              <w:spacing w:after="0"/>
              <w:rPr>
                <w:sz w:val="17"/>
                <w:szCs w:val="17"/>
                <w:color w:val="auto"/>
              </w:rPr>
            </w:pPr>
          </w:p>
        </w:tc>
        <w:tc>
          <w:tcPr>
            <w:tcW w:w="1320" w:type="dxa"/>
            <w:vAlign w:val="bottom"/>
            <w:gridSpan w:val="7"/>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Carried</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9ADAF6"/>
            </w:tcBorders>
            <w:gridSpan w:val="13"/>
          </w:tcPr>
          <w:p>
            <w:pPr>
              <w:spacing w:after="0"/>
              <w:rPr>
                <w:sz w:val="20"/>
                <w:szCs w:val="20"/>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p>
        </w:tc>
        <w:tc>
          <w:tcPr>
            <w:tcW w:w="1400" w:type="dxa"/>
            <w:vAlign w:val="bottom"/>
            <w:tcBorders>
              <w:right w:val="single" w:sz="8" w:color="9ADAF6"/>
            </w:tcBorders>
            <w:gridSpan w:val="8"/>
            <w:shd w:val="clear" w:color="auto" w:fill="9ADAF6"/>
          </w:tcPr>
          <w:p>
            <w:pPr>
              <w:spacing w:after="0"/>
              <w:rPr>
                <w:sz w:val="20"/>
                <w:szCs w:val="20"/>
                <w:color w:val="auto"/>
              </w:rPr>
            </w:pPr>
          </w:p>
        </w:tc>
        <w:tc>
          <w:tcPr>
            <w:tcW w:w="1320" w:type="dxa"/>
            <w:vAlign w:val="bottom"/>
            <w:gridSpan w:val="7"/>
            <w:shd w:val="clear" w:color="auto" w:fill="9ADAF6"/>
          </w:tcPr>
          <w:p>
            <w:pPr>
              <w:spacing w:after="0"/>
              <w:rPr>
                <w:sz w:val="20"/>
                <w:szCs w:val="20"/>
                <w:color w:val="auto"/>
              </w:rPr>
            </w:pPr>
          </w:p>
        </w:tc>
        <w:tc>
          <w:tcPr>
            <w:tcW w:w="2040" w:type="dxa"/>
            <w:vAlign w:val="bottom"/>
            <w:tcBorders>
              <w:left w:val="single" w:sz="8" w:color="9ADAF6"/>
            </w:tcBorders>
            <w:gridSpan w:val="10"/>
            <w:shd w:val="clear" w:color="auto" w:fill="9ADAF6"/>
          </w:tcPr>
          <w:p>
            <w:pPr>
              <w:spacing w:after="0"/>
              <w:rPr>
                <w:sz w:val="20"/>
                <w:szCs w:val="20"/>
                <w:color w:val="auto"/>
              </w:rPr>
            </w:pPr>
          </w:p>
        </w:tc>
        <w:tc>
          <w:tcPr>
            <w:tcW w:w="100" w:type="dxa"/>
            <w:vAlign w:val="bottom"/>
            <w:tcBorders>
              <w:left w:val="single" w:sz="8" w:color="9ADAF6"/>
              <w:right w:val="single" w:sz="8" w:color="9ADAF6"/>
            </w:tcBorders>
            <w:shd w:val="clear" w:color="auto" w:fill="9ADAF6"/>
          </w:tcPr>
          <w:p>
            <w:pPr>
              <w:spacing w:after="0"/>
              <w:rPr>
                <w:sz w:val="20"/>
                <w:szCs w:val="20"/>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Forward</w:t>
            </w: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gridSpan w:val="16"/>
          </w:tcPr>
          <w:p>
            <w:pPr>
              <w:ind w:left="700"/>
              <w:spacing w:after="0"/>
              <w:rPr>
                <w:sz w:val="20"/>
                <w:szCs w:val="20"/>
                <w:color w:val="auto"/>
              </w:rPr>
            </w:pPr>
            <w:r>
              <w:rPr>
                <w:rFonts w:ascii="Arial" w:cs="Arial" w:eastAsia="Arial" w:hAnsi="Arial"/>
                <w:sz w:val="18"/>
                <w:szCs w:val="18"/>
                <w:b w:val="1"/>
                <w:bCs w:val="1"/>
                <w:color w:val="auto"/>
              </w:rPr>
              <w:t>Newly Registered Securities</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rPr>
              <w:t>Fees to</w:t>
            </w:r>
          </w:p>
        </w:tc>
        <w:tc>
          <w:tcPr>
            <w:tcW w:w="20" w:type="dxa"/>
            <w:vAlign w:val="bottom"/>
          </w:tcPr>
          <w:p>
            <w:pPr>
              <w:spacing w:after="0"/>
              <w:rPr>
                <w:sz w:val="16"/>
                <w:szCs w:val="16"/>
                <w:color w:val="auto"/>
              </w:rPr>
            </w:pPr>
          </w:p>
        </w:tc>
        <w:tc>
          <w:tcPr>
            <w:tcW w:w="32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4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680" w:type="dxa"/>
            <w:vAlign w:val="bottom"/>
            <w:gridSpan w:val="2"/>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720" w:type="dxa"/>
            <w:vAlign w:val="bottom"/>
            <w:gridSpan w:val="3"/>
            <w:vMerge w:val="restart"/>
            <w:shd w:val="clear" w:color="auto" w:fill="E7E7E2"/>
          </w:tcPr>
          <w:p>
            <w:pPr>
              <w:jc w:val="center"/>
              <w:ind w:right="171"/>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900" w:type="dxa"/>
            <w:vAlign w:val="bottom"/>
            <w:gridSpan w:val="3"/>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tcBorders>
              <w:righ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ind w:left="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6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6"/>
                <w:szCs w:val="16"/>
                <w:color w:val="auto"/>
              </w:rPr>
            </w:pPr>
          </w:p>
        </w:tc>
        <w:tc>
          <w:tcPr>
            <w:tcW w:w="360" w:type="dxa"/>
            <w:vAlign w:val="bottom"/>
            <w:vMerge w:val="restart"/>
            <w:shd w:val="clear" w:color="auto" w:fill="E7E7E2"/>
          </w:tcPr>
          <w:p>
            <w:pPr>
              <w:ind w:left="4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4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ind w:left="54"/>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780" w:type="dxa"/>
            <w:vAlign w:val="bottom"/>
            <w:tcBorders>
              <w:right w:val="single" w:sz="8" w:color="auto"/>
            </w:tcBorders>
            <w:gridSpan w:val="3"/>
            <w:vMerge w:val="restart"/>
            <w:shd w:val="clear" w:color="auto" w:fill="E7E7E2"/>
          </w:tcPr>
          <w:p>
            <w:pPr>
              <w:ind w:left="4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be Paid</w:t>
            </w:r>
          </w:p>
        </w:tc>
        <w:tc>
          <w:tcPr>
            <w:tcW w:w="20" w:type="dxa"/>
            <w:vAlign w:val="bottom"/>
          </w:tcPr>
          <w:p>
            <w:pPr>
              <w:spacing w:after="0"/>
              <w:rPr>
                <w:sz w:val="11"/>
                <w:szCs w:val="11"/>
                <w:color w:val="auto"/>
              </w:rPr>
            </w:pPr>
          </w:p>
        </w:tc>
        <w:tc>
          <w:tcPr>
            <w:tcW w:w="3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280" w:type="dxa"/>
            <w:vAlign w:val="bottom"/>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8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72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280" w:type="dxa"/>
            <w:vAlign w:val="bottom"/>
            <w:tcBorders>
              <w:right w:val="single" w:sz="8" w:color="E7E7E2"/>
            </w:tcBorders>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780" w:type="dxa"/>
            <w:vAlign w:val="bottom"/>
            <w:tcBorders>
              <w:right w:val="single" w:sz="8" w:color="auto"/>
            </w:tcBorders>
            <w:gridSpan w:val="3"/>
            <w:vMerge w:val="continue"/>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1400" w:type="dxa"/>
            <w:vAlign w:val="bottom"/>
            <w:tcBorders>
              <w:right w:val="single" w:sz="8" w:color="E7E7E2"/>
            </w:tcBorders>
            <w:gridSpan w:val="8"/>
            <w:shd w:val="clear" w:color="auto" w:fill="E7E7E2"/>
          </w:tcPr>
          <w:p>
            <w:pPr>
              <w:spacing w:after="0"/>
              <w:rPr>
                <w:sz w:val="8"/>
                <w:szCs w:val="8"/>
                <w:color w:val="auto"/>
              </w:rPr>
            </w:pPr>
          </w:p>
        </w:tc>
        <w:tc>
          <w:tcPr>
            <w:tcW w:w="1320" w:type="dxa"/>
            <w:vAlign w:val="bottom"/>
            <w:gridSpan w:val="7"/>
            <w:shd w:val="clear" w:color="auto" w:fill="E7E7E2"/>
          </w:tcPr>
          <w:p>
            <w:pPr>
              <w:spacing w:after="0"/>
              <w:rPr>
                <w:sz w:val="8"/>
                <w:szCs w:val="8"/>
                <w:color w:val="auto"/>
              </w:rPr>
            </w:pPr>
          </w:p>
        </w:tc>
        <w:tc>
          <w:tcPr>
            <w:tcW w:w="2040" w:type="dxa"/>
            <w:vAlign w:val="bottom"/>
            <w:tcBorders>
              <w:left w:val="single" w:sz="8" w:color="E7E7E2"/>
            </w:tcBorders>
            <w:gridSpan w:val="10"/>
            <w:shd w:val="clear" w:color="auto" w:fill="E7E7E2"/>
          </w:tcPr>
          <w:p>
            <w:pPr>
              <w:spacing w:after="0"/>
              <w:rPr>
                <w:sz w:val="8"/>
                <w:szCs w:val="8"/>
                <w:color w:val="auto"/>
              </w:rPr>
            </w:pPr>
          </w:p>
        </w:tc>
        <w:tc>
          <w:tcPr>
            <w:tcW w:w="100" w:type="dxa"/>
            <w:vAlign w:val="bottom"/>
            <w:tcBorders>
              <w:left w:val="single" w:sz="8" w:color="E7E7E2"/>
              <w:right w:val="single" w:sz="8" w:color="E7E7E2"/>
            </w:tcBorders>
            <w:shd w:val="clear" w:color="auto" w:fill="E7E7E2"/>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Fees</w:t>
            </w:r>
          </w:p>
        </w:tc>
        <w:tc>
          <w:tcPr>
            <w:tcW w:w="1720" w:type="dxa"/>
            <w:vAlign w:val="bottom"/>
            <w:tcBorders>
              <w:right w:val="single" w:sz="8" w:color="E7E7E2"/>
            </w:tcBorders>
            <w:gridSpan w:val="9"/>
            <w:shd w:val="clear" w:color="auto" w:fill="E7E7E2"/>
          </w:tcPr>
          <w:p>
            <w:pPr>
              <w:spacing w:after="0"/>
              <w:rPr>
                <w:sz w:val="16"/>
                <w:szCs w:val="16"/>
                <w:color w:val="auto"/>
              </w:rPr>
            </w:pPr>
          </w:p>
        </w:tc>
        <w:tc>
          <w:tcPr>
            <w:tcW w:w="1400" w:type="dxa"/>
            <w:vAlign w:val="bottom"/>
            <w:tcBorders>
              <w:right w:val="single" w:sz="8" w:color="E7E7E2"/>
            </w:tcBorders>
            <w:gridSpan w:val="8"/>
            <w:shd w:val="clear" w:color="auto" w:fill="E7E7E2"/>
          </w:tcPr>
          <w:p>
            <w:pPr>
              <w:spacing w:after="0"/>
              <w:rPr>
                <w:sz w:val="16"/>
                <w:szCs w:val="16"/>
                <w:color w:val="auto"/>
              </w:rPr>
            </w:pPr>
          </w:p>
        </w:tc>
        <w:tc>
          <w:tcPr>
            <w:tcW w:w="1320" w:type="dxa"/>
            <w:vAlign w:val="bottom"/>
            <w:gridSpan w:val="7"/>
            <w:shd w:val="clear" w:color="auto" w:fill="E7E7E2"/>
          </w:tcPr>
          <w:p>
            <w:pPr>
              <w:spacing w:after="0"/>
              <w:rPr>
                <w:sz w:val="16"/>
                <w:szCs w:val="16"/>
                <w:color w:val="auto"/>
              </w:rPr>
            </w:pPr>
          </w:p>
        </w:tc>
        <w:tc>
          <w:tcPr>
            <w:tcW w:w="2040" w:type="dxa"/>
            <w:vAlign w:val="bottom"/>
            <w:tcBorders>
              <w:left w:val="single" w:sz="8" w:color="E7E7E2"/>
            </w:tcBorders>
            <w:gridSpan w:val="10"/>
            <w:shd w:val="clear" w:color="auto" w:fill="E7E7E2"/>
          </w:tcPr>
          <w:p>
            <w:pPr>
              <w:spacing w:after="0"/>
              <w:rPr>
                <w:sz w:val="16"/>
                <w:szCs w:val="16"/>
                <w:color w:val="auto"/>
              </w:rPr>
            </w:pPr>
          </w:p>
        </w:tc>
        <w:tc>
          <w:tcPr>
            <w:tcW w:w="100" w:type="dxa"/>
            <w:vAlign w:val="bottom"/>
            <w:tcBorders>
              <w:left w:val="single" w:sz="8" w:color="E7E7E2"/>
              <w:right w:val="single" w:sz="8" w:color="E7E7E2"/>
            </w:tcBorders>
            <w:shd w:val="clear" w:color="auto" w:fill="E7E7E2"/>
          </w:tcPr>
          <w:p>
            <w:pPr>
              <w:spacing w:after="0"/>
              <w:rPr>
                <w:sz w:val="16"/>
                <w:szCs w:val="16"/>
                <w:color w:val="auto"/>
              </w:rPr>
            </w:pPr>
          </w:p>
        </w:tc>
        <w:tc>
          <w:tcPr>
            <w:tcW w:w="2720" w:type="dxa"/>
            <w:vAlign w:val="bottom"/>
            <w:tcBorders>
              <w:right w:val="single" w:sz="8" w:color="auto"/>
            </w:tcBorders>
            <w:gridSpan w:val="14"/>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6"/>
              </w:rPr>
              <w:t>Previously</w:t>
            </w:r>
          </w:p>
        </w:tc>
        <w:tc>
          <w:tcPr>
            <w:tcW w:w="20" w:type="dxa"/>
            <w:vAlign w:val="bottom"/>
          </w:tcPr>
          <w:p>
            <w:pPr>
              <w:spacing w:after="0"/>
              <w:rPr>
                <w:sz w:val="17"/>
                <w:szCs w:val="17"/>
                <w:color w:val="auto"/>
              </w:rPr>
            </w:pPr>
          </w:p>
        </w:tc>
        <w:tc>
          <w:tcPr>
            <w:tcW w:w="32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4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680" w:type="dxa"/>
            <w:vAlign w:val="bottom"/>
            <w:gridSpan w:val="2"/>
            <w:shd w:val="clear" w:color="auto" w:fill="E7E7E2"/>
          </w:tcPr>
          <w:p>
            <w:pPr>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720" w:type="dxa"/>
            <w:vAlign w:val="bottom"/>
            <w:gridSpan w:val="3"/>
            <w:shd w:val="clear" w:color="auto" w:fill="E7E7E2"/>
          </w:tcPr>
          <w:p>
            <w:pPr>
              <w:jc w:val="center"/>
              <w:ind w:right="171"/>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gridSpan w:val="3"/>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shd w:val="clear" w:color="auto" w:fill="E7E7E2"/>
          </w:tcPr>
          <w:p>
            <w:pPr>
              <w:ind w:left="6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60" w:type="dxa"/>
            <w:vAlign w:val="bottom"/>
            <w:gridSpan w:val="2"/>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7"/>
                <w:szCs w:val="17"/>
                <w:color w:val="auto"/>
              </w:rPr>
            </w:pPr>
          </w:p>
        </w:tc>
        <w:tc>
          <w:tcPr>
            <w:tcW w:w="360" w:type="dxa"/>
            <w:vAlign w:val="bottom"/>
            <w:shd w:val="clear" w:color="auto" w:fill="E7E7E2"/>
          </w:tcPr>
          <w:p>
            <w:pPr>
              <w:ind w:left="4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40" w:type="dxa"/>
            <w:vAlign w:val="bottom"/>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tcBorders>
              <w:right w:val="single" w:sz="8" w:color="E7E7E2"/>
            </w:tcBorders>
            <w:gridSpan w:val="3"/>
            <w:shd w:val="clear" w:color="auto" w:fill="E7E7E2"/>
          </w:tcPr>
          <w:p>
            <w:pPr>
              <w:jc w:val="center"/>
              <w:ind w:left="54"/>
              <w:spacing w:after="0" w:line="200" w:lineRule="exact"/>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780" w:type="dxa"/>
            <w:vAlign w:val="bottom"/>
            <w:tcBorders>
              <w:right w:val="single" w:sz="8" w:color="auto"/>
            </w:tcBorders>
            <w:gridSpan w:val="3"/>
            <w:shd w:val="clear" w:color="auto" w:fill="E7E7E2"/>
          </w:tcPr>
          <w:p>
            <w:pPr>
              <w:ind w:left="440"/>
              <w:spacing w:after="0" w:line="200"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Paid</w:t>
            </w:r>
          </w:p>
        </w:tc>
        <w:tc>
          <w:tcPr>
            <w:tcW w:w="1720" w:type="dxa"/>
            <w:vAlign w:val="bottom"/>
            <w:tcBorders>
              <w:right w:val="single" w:sz="8" w:color="E7E7E2"/>
            </w:tcBorders>
            <w:gridSpan w:val="9"/>
            <w:shd w:val="clear" w:color="auto" w:fill="E7E7E2"/>
          </w:tcPr>
          <w:p>
            <w:pPr>
              <w:spacing w:after="0"/>
              <w:rPr>
                <w:sz w:val="20"/>
                <w:szCs w:val="20"/>
                <w:color w:val="auto"/>
              </w:rPr>
            </w:pPr>
          </w:p>
        </w:tc>
        <w:tc>
          <w:tcPr>
            <w:tcW w:w="1400" w:type="dxa"/>
            <w:vAlign w:val="bottom"/>
            <w:tcBorders>
              <w:right w:val="single" w:sz="8" w:color="E7E7E2"/>
            </w:tcBorders>
            <w:gridSpan w:val="8"/>
            <w:shd w:val="clear" w:color="auto" w:fill="E7E7E2"/>
          </w:tcPr>
          <w:p>
            <w:pPr>
              <w:spacing w:after="0"/>
              <w:rPr>
                <w:sz w:val="20"/>
                <w:szCs w:val="20"/>
                <w:color w:val="auto"/>
              </w:rPr>
            </w:pPr>
          </w:p>
        </w:tc>
        <w:tc>
          <w:tcPr>
            <w:tcW w:w="1320" w:type="dxa"/>
            <w:vAlign w:val="bottom"/>
            <w:gridSpan w:val="7"/>
            <w:shd w:val="clear" w:color="auto" w:fill="E7E7E2"/>
          </w:tcPr>
          <w:p>
            <w:pPr>
              <w:spacing w:after="0"/>
              <w:rPr>
                <w:sz w:val="20"/>
                <w:szCs w:val="20"/>
                <w:color w:val="auto"/>
              </w:rPr>
            </w:pPr>
          </w:p>
        </w:tc>
        <w:tc>
          <w:tcPr>
            <w:tcW w:w="2040" w:type="dxa"/>
            <w:vAlign w:val="bottom"/>
            <w:tcBorders>
              <w:left w:val="single" w:sz="8" w:color="E7E7E2"/>
            </w:tcBorders>
            <w:gridSpan w:val="10"/>
            <w:shd w:val="clear" w:color="auto" w:fill="E7E7E2"/>
          </w:tcPr>
          <w:p>
            <w:pPr>
              <w:spacing w:after="0"/>
              <w:rPr>
                <w:sz w:val="20"/>
                <w:szCs w:val="20"/>
                <w:color w:val="auto"/>
              </w:rPr>
            </w:pPr>
          </w:p>
        </w:tc>
        <w:tc>
          <w:tcPr>
            <w:tcW w:w="100" w:type="dxa"/>
            <w:vAlign w:val="bottom"/>
            <w:tcBorders>
              <w:left w:val="single" w:sz="8" w:color="E7E7E2"/>
              <w:right w:val="single" w:sz="8" w:color="E7E7E2"/>
            </w:tcBorders>
            <w:shd w:val="clear" w:color="auto" w:fill="E7E7E2"/>
          </w:tcPr>
          <w:p>
            <w:pPr>
              <w:spacing w:after="0"/>
              <w:rPr>
                <w:sz w:val="20"/>
                <w:szCs w:val="20"/>
                <w:color w:val="auto"/>
              </w:rPr>
            </w:pPr>
          </w:p>
        </w:tc>
        <w:tc>
          <w:tcPr>
            <w:tcW w:w="2720" w:type="dxa"/>
            <w:vAlign w:val="bottom"/>
            <w:tcBorders>
              <w:right w:val="single" w:sz="8" w:color="auto"/>
            </w:tcBorders>
            <w:gridSpan w:val="14"/>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14"/>
          </w:tcPr>
          <w:p>
            <w:pPr>
              <w:ind w:left="60"/>
              <w:spacing w:after="0"/>
              <w:rPr>
                <w:sz w:val="20"/>
                <w:szCs w:val="20"/>
                <w:color w:val="auto"/>
              </w:rPr>
            </w:pPr>
            <w:r>
              <w:rPr>
                <w:rFonts w:ascii="Arial" w:cs="Arial" w:eastAsia="Arial" w:hAnsi="Arial"/>
                <w:sz w:val="18"/>
                <w:szCs w:val="18"/>
                <w:b w:val="1"/>
                <w:bCs w:val="1"/>
                <w:color w:val="auto"/>
              </w:rPr>
              <w:t>Carry Forward Securities</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Carry</w:t>
            </w:r>
          </w:p>
        </w:tc>
        <w:tc>
          <w:tcPr>
            <w:tcW w:w="1720" w:type="dxa"/>
            <w:vAlign w:val="bottom"/>
            <w:tcBorders>
              <w:right w:val="single" w:sz="8" w:color="E7E7E2"/>
            </w:tcBorders>
            <w:gridSpan w:val="9"/>
            <w:shd w:val="clear" w:color="auto" w:fill="E7E7E2"/>
          </w:tcPr>
          <w:p>
            <w:pPr>
              <w:spacing w:after="0"/>
              <w:rPr>
                <w:sz w:val="16"/>
                <w:szCs w:val="16"/>
                <w:color w:val="auto"/>
              </w:rPr>
            </w:pPr>
          </w:p>
        </w:tc>
        <w:tc>
          <w:tcPr>
            <w:tcW w:w="1400" w:type="dxa"/>
            <w:vAlign w:val="bottom"/>
            <w:tcBorders>
              <w:right w:val="single" w:sz="8" w:color="E7E7E2"/>
            </w:tcBorders>
            <w:gridSpan w:val="8"/>
            <w:shd w:val="clear" w:color="auto" w:fill="E7E7E2"/>
          </w:tcPr>
          <w:p>
            <w:pPr>
              <w:spacing w:after="0"/>
              <w:rPr>
                <w:sz w:val="16"/>
                <w:szCs w:val="16"/>
                <w:color w:val="auto"/>
              </w:rPr>
            </w:pPr>
          </w:p>
        </w:tc>
        <w:tc>
          <w:tcPr>
            <w:tcW w:w="1320" w:type="dxa"/>
            <w:vAlign w:val="bottom"/>
            <w:gridSpan w:val="7"/>
            <w:shd w:val="clear" w:color="auto" w:fill="E7E7E2"/>
          </w:tcPr>
          <w:p>
            <w:pPr>
              <w:spacing w:after="0"/>
              <w:rPr>
                <w:sz w:val="16"/>
                <w:szCs w:val="16"/>
                <w:color w:val="auto"/>
              </w:rPr>
            </w:pPr>
          </w:p>
        </w:tc>
        <w:tc>
          <w:tcPr>
            <w:tcW w:w="2040" w:type="dxa"/>
            <w:vAlign w:val="bottom"/>
            <w:tcBorders>
              <w:left w:val="single" w:sz="8" w:color="E7E7E2"/>
            </w:tcBorders>
            <w:gridSpan w:val="10"/>
            <w:shd w:val="clear" w:color="auto" w:fill="E7E7E2"/>
          </w:tcPr>
          <w:p>
            <w:pPr>
              <w:spacing w:after="0"/>
              <w:rPr>
                <w:sz w:val="16"/>
                <w:szCs w:val="16"/>
                <w:color w:val="auto"/>
              </w:rPr>
            </w:pPr>
          </w:p>
        </w:tc>
        <w:tc>
          <w:tcPr>
            <w:tcW w:w="100" w:type="dxa"/>
            <w:vAlign w:val="bottom"/>
            <w:tcBorders>
              <w:left w:val="single" w:sz="8" w:color="E7E7E2"/>
              <w:right w:val="single" w:sz="8" w:color="E7E7E2"/>
            </w:tcBorders>
            <w:shd w:val="clear" w:color="auto" w:fill="E7E7E2"/>
          </w:tcPr>
          <w:p>
            <w:pPr>
              <w:spacing w:after="0"/>
              <w:rPr>
                <w:sz w:val="16"/>
                <w:szCs w:val="16"/>
                <w:color w:val="auto"/>
              </w:rPr>
            </w:pPr>
          </w:p>
        </w:tc>
        <w:tc>
          <w:tcPr>
            <w:tcW w:w="2720" w:type="dxa"/>
            <w:vAlign w:val="bottom"/>
            <w:tcBorders>
              <w:right w:val="single" w:sz="8" w:color="auto"/>
            </w:tcBorders>
            <w:gridSpan w:val="14"/>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rPr>
              <w:t>Forward</w:t>
            </w:r>
          </w:p>
        </w:tc>
        <w:tc>
          <w:tcPr>
            <w:tcW w:w="20" w:type="dxa"/>
            <w:vAlign w:val="bottom"/>
          </w:tcPr>
          <w:p>
            <w:pPr>
              <w:spacing w:after="0"/>
              <w:rPr>
                <w:sz w:val="17"/>
                <w:szCs w:val="17"/>
                <w:color w:val="auto"/>
              </w:rPr>
            </w:pPr>
          </w:p>
        </w:tc>
        <w:tc>
          <w:tcPr>
            <w:tcW w:w="32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4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680" w:type="dxa"/>
            <w:vAlign w:val="bottom"/>
            <w:gridSpan w:val="2"/>
            <w:shd w:val="clear" w:color="auto" w:fill="E7E7E2"/>
          </w:tcPr>
          <w:p>
            <w:pPr>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720" w:type="dxa"/>
            <w:vAlign w:val="bottom"/>
            <w:gridSpan w:val="3"/>
            <w:shd w:val="clear" w:color="auto" w:fill="E7E7E2"/>
          </w:tcPr>
          <w:p>
            <w:pPr>
              <w:jc w:val="center"/>
              <w:ind w:right="171"/>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gridSpan w:val="3"/>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shd w:val="clear" w:color="auto" w:fill="E7E7E2"/>
          </w:tcPr>
          <w:p>
            <w:pPr>
              <w:ind w:left="6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60" w:type="dxa"/>
            <w:vAlign w:val="bottom"/>
            <w:gridSpan w:val="2"/>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7"/>
                <w:szCs w:val="17"/>
                <w:color w:val="auto"/>
              </w:rPr>
            </w:pPr>
          </w:p>
        </w:tc>
        <w:tc>
          <w:tcPr>
            <w:tcW w:w="360" w:type="dxa"/>
            <w:vAlign w:val="bottom"/>
            <w:shd w:val="clear" w:color="auto" w:fill="E7E7E2"/>
          </w:tcPr>
          <w:p>
            <w:pPr>
              <w:ind w:left="4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40" w:type="dxa"/>
            <w:vAlign w:val="bottom"/>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tcBorders>
              <w:right w:val="single" w:sz="8" w:color="E7E7E2"/>
            </w:tcBorders>
            <w:gridSpan w:val="3"/>
            <w:shd w:val="clear" w:color="auto" w:fill="E7E7E2"/>
          </w:tcPr>
          <w:p>
            <w:pPr>
              <w:jc w:val="center"/>
              <w:ind w:left="54"/>
              <w:spacing w:after="0" w:line="200" w:lineRule="exact"/>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780" w:type="dxa"/>
            <w:vAlign w:val="bottom"/>
            <w:tcBorders>
              <w:right w:val="single" w:sz="8" w:color="auto"/>
            </w:tcBorders>
            <w:gridSpan w:val="3"/>
            <w:shd w:val="clear" w:color="auto" w:fill="E7E7E2"/>
          </w:tcPr>
          <w:p>
            <w:pPr>
              <w:ind w:left="440"/>
              <w:spacing w:after="0" w:line="200"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Securities</w:t>
            </w:r>
          </w:p>
        </w:tc>
        <w:tc>
          <w:tcPr>
            <w:tcW w:w="1720" w:type="dxa"/>
            <w:vAlign w:val="bottom"/>
            <w:tcBorders>
              <w:right w:val="single" w:sz="8" w:color="E7E7E2"/>
            </w:tcBorders>
            <w:gridSpan w:val="9"/>
            <w:shd w:val="clear" w:color="auto" w:fill="E7E7E2"/>
          </w:tcPr>
          <w:p>
            <w:pPr>
              <w:spacing w:after="0"/>
              <w:rPr>
                <w:sz w:val="20"/>
                <w:szCs w:val="20"/>
                <w:color w:val="auto"/>
              </w:rPr>
            </w:pPr>
          </w:p>
        </w:tc>
        <w:tc>
          <w:tcPr>
            <w:tcW w:w="1400" w:type="dxa"/>
            <w:vAlign w:val="bottom"/>
            <w:tcBorders>
              <w:right w:val="single" w:sz="8" w:color="E7E7E2"/>
            </w:tcBorders>
            <w:gridSpan w:val="8"/>
            <w:shd w:val="clear" w:color="auto" w:fill="E7E7E2"/>
          </w:tcPr>
          <w:p>
            <w:pPr>
              <w:spacing w:after="0"/>
              <w:rPr>
                <w:sz w:val="20"/>
                <w:szCs w:val="20"/>
                <w:color w:val="auto"/>
              </w:rPr>
            </w:pPr>
          </w:p>
        </w:tc>
        <w:tc>
          <w:tcPr>
            <w:tcW w:w="1320" w:type="dxa"/>
            <w:vAlign w:val="bottom"/>
            <w:gridSpan w:val="7"/>
            <w:shd w:val="clear" w:color="auto" w:fill="E7E7E2"/>
          </w:tcPr>
          <w:p>
            <w:pPr>
              <w:spacing w:after="0"/>
              <w:rPr>
                <w:sz w:val="20"/>
                <w:szCs w:val="20"/>
                <w:color w:val="auto"/>
              </w:rPr>
            </w:pPr>
          </w:p>
        </w:tc>
        <w:tc>
          <w:tcPr>
            <w:tcW w:w="2040" w:type="dxa"/>
            <w:vAlign w:val="bottom"/>
            <w:tcBorders>
              <w:left w:val="single" w:sz="8" w:color="E7E7E2"/>
            </w:tcBorders>
            <w:gridSpan w:val="10"/>
            <w:shd w:val="clear" w:color="auto" w:fill="E7E7E2"/>
          </w:tcPr>
          <w:p>
            <w:pPr>
              <w:spacing w:after="0"/>
              <w:rPr>
                <w:sz w:val="20"/>
                <w:szCs w:val="20"/>
                <w:color w:val="auto"/>
              </w:rPr>
            </w:pPr>
          </w:p>
        </w:tc>
        <w:tc>
          <w:tcPr>
            <w:tcW w:w="100" w:type="dxa"/>
            <w:vAlign w:val="bottom"/>
            <w:tcBorders>
              <w:left w:val="single" w:sz="8" w:color="E7E7E2"/>
              <w:right w:val="single" w:sz="8" w:color="E7E7E2"/>
            </w:tcBorders>
            <w:shd w:val="clear" w:color="auto" w:fill="E7E7E2"/>
          </w:tcPr>
          <w:p>
            <w:pPr>
              <w:spacing w:after="0"/>
              <w:rPr>
                <w:sz w:val="20"/>
                <w:szCs w:val="20"/>
                <w:color w:val="auto"/>
              </w:rPr>
            </w:pPr>
          </w:p>
        </w:tc>
        <w:tc>
          <w:tcPr>
            <w:tcW w:w="2720" w:type="dxa"/>
            <w:vAlign w:val="bottom"/>
            <w:tcBorders>
              <w:right w:val="single" w:sz="8" w:color="auto"/>
            </w:tcBorders>
            <w:gridSpan w:val="14"/>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40" w:type="dxa"/>
            <w:vAlign w:val="bottom"/>
            <w:gridSpan w:val="10"/>
          </w:tcPr>
          <w:p>
            <w:pPr>
              <w:jc w:val="right"/>
              <w:spacing w:after="0"/>
              <w:rPr>
                <w:sz w:val="20"/>
                <w:szCs w:val="20"/>
                <w:color w:val="auto"/>
              </w:rPr>
            </w:pPr>
            <w:r>
              <w:rPr>
                <w:rFonts w:ascii="Arial" w:cs="Arial" w:eastAsia="Arial" w:hAnsi="Arial"/>
                <w:sz w:val="18"/>
                <w:szCs w:val="18"/>
                <w:color w:val="auto"/>
              </w:rPr>
              <w:t>Total Offering Amounts: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12"/>
          </w:tcPr>
          <w:p>
            <w:pPr>
              <w:jc w:val="right"/>
              <w:spacing w:after="0"/>
              <w:rPr>
                <w:sz w:val="20"/>
                <w:szCs w:val="20"/>
                <w:color w:val="auto"/>
              </w:rPr>
            </w:pPr>
            <w:r>
              <w:rPr>
                <w:rFonts w:ascii="Arial" w:cs="Arial" w:eastAsia="Arial" w:hAnsi="Arial"/>
                <w:sz w:val="18"/>
                <w:szCs w:val="18"/>
                <w:color w:val="auto"/>
              </w:rPr>
              <w:t>Total Fees Previously Paid: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Total Fee Offsets: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Net Fee Due:</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3700" w:type="dxa"/>
            <w:vAlign w:val="bottom"/>
            <w:gridSpan w:val="20"/>
          </w:tcPr>
          <w:p>
            <w:pPr>
              <w:spacing w:after="0"/>
              <w:rPr>
                <w:sz w:val="20"/>
                <w:szCs w:val="20"/>
                <w:color w:val="auto"/>
              </w:rPr>
            </w:pPr>
            <w:r>
              <w:rPr>
                <w:rFonts w:ascii="Arial" w:cs="Arial" w:eastAsia="Arial" w:hAnsi="Arial"/>
                <w:sz w:val="18"/>
                <w:szCs w:val="18"/>
                <w:b w:val="1"/>
                <w:bCs w:val="1"/>
                <w:color w:val="auto"/>
              </w:rPr>
              <w:t>Table 2: Fee Offset Claims and Sources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2060" w:type="dxa"/>
            <w:vAlign w:val="bottom"/>
            <w:tcBorders>
              <w:top w:val="single" w:sz="8" w:color="auto"/>
              <w:left w:val="single" w:sz="8" w:color="auto"/>
              <w:right w:val="single" w:sz="8" w:color="9ADAF6"/>
            </w:tcBorders>
            <w:gridSpan w:val="13"/>
          </w:tcPr>
          <w:p>
            <w:pPr>
              <w:spacing w:after="0"/>
              <w:rPr>
                <w:sz w:val="17"/>
                <w:szCs w:val="17"/>
                <w:color w:val="auto"/>
              </w:rPr>
            </w:pPr>
          </w:p>
        </w:tc>
        <w:tc>
          <w:tcPr>
            <w:tcW w:w="1720" w:type="dxa"/>
            <w:vAlign w:val="bottom"/>
            <w:tcBorders>
              <w:top w:val="single" w:sz="8" w:color="auto"/>
              <w:right w:val="single" w:sz="8" w:color="9ADAF6"/>
            </w:tcBorders>
            <w:gridSpan w:val="9"/>
            <w:shd w:val="clear" w:color="auto" w:fill="9ADAF6"/>
          </w:tcPr>
          <w:p>
            <w:pPr>
              <w:spacing w:after="0"/>
              <w:rPr>
                <w:sz w:val="17"/>
                <w:szCs w:val="17"/>
                <w:color w:val="auto"/>
              </w:rPr>
            </w:pPr>
          </w:p>
        </w:tc>
        <w:tc>
          <w:tcPr>
            <w:tcW w:w="1400" w:type="dxa"/>
            <w:vAlign w:val="bottom"/>
            <w:tcBorders>
              <w:top w:val="single" w:sz="8" w:color="auto"/>
              <w:right w:val="single" w:sz="8" w:color="9ADAF6"/>
            </w:tcBorders>
            <w:gridSpan w:val="8"/>
          </w:tcPr>
          <w:p>
            <w:pPr>
              <w:spacing w:after="0"/>
              <w:rPr>
                <w:sz w:val="17"/>
                <w:szCs w:val="17"/>
                <w:color w:val="auto"/>
              </w:rPr>
            </w:pPr>
          </w:p>
        </w:tc>
        <w:tc>
          <w:tcPr>
            <w:tcW w:w="1320" w:type="dxa"/>
            <w:vAlign w:val="bottom"/>
            <w:tcBorders>
              <w:top w:val="single" w:sz="8" w:color="auto"/>
            </w:tcBorders>
            <w:gridSpan w:val="7"/>
          </w:tcPr>
          <w:p>
            <w:pPr>
              <w:spacing w:after="0"/>
              <w:rPr>
                <w:sz w:val="17"/>
                <w:szCs w:val="17"/>
                <w:color w:val="auto"/>
              </w:rPr>
            </w:pPr>
          </w:p>
        </w:tc>
        <w:tc>
          <w:tcPr>
            <w:tcW w:w="2040" w:type="dxa"/>
            <w:vAlign w:val="bottom"/>
            <w:tcBorders>
              <w:top w:val="single" w:sz="8" w:color="auto"/>
              <w:left w:val="single" w:sz="8" w:color="9ADAF6"/>
            </w:tcBorders>
            <w:gridSpan w:val="10"/>
          </w:tcPr>
          <w:p>
            <w:pPr>
              <w:spacing w:after="0"/>
              <w:rPr>
                <w:sz w:val="17"/>
                <w:szCs w:val="17"/>
                <w:color w:val="auto"/>
              </w:rPr>
            </w:pPr>
          </w:p>
        </w:tc>
        <w:tc>
          <w:tcPr>
            <w:tcW w:w="100" w:type="dxa"/>
            <w:vAlign w:val="bottom"/>
            <w:tcBorders>
              <w:top w:val="single" w:sz="8" w:color="auto"/>
              <w:left w:val="single" w:sz="8" w:color="9ADAF6"/>
              <w:right w:val="single" w:sz="8" w:color="9ADAF6"/>
            </w:tcBorders>
          </w:tcPr>
          <w:p>
            <w:pPr>
              <w:spacing w:after="0"/>
              <w:rPr>
                <w:sz w:val="17"/>
                <w:szCs w:val="17"/>
                <w:color w:val="auto"/>
              </w:rPr>
            </w:pPr>
          </w:p>
        </w:tc>
        <w:tc>
          <w:tcPr>
            <w:tcW w:w="2720" w:type="dxa"/>
            <w:vAlign w:val="bottom"/>
            <w:tcBorders>
              <w:top w:val="single" w:sz="8" w:color="auto"/>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Unsold</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8"/>
              </w:rPr>
              <w:t>Unsold</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Aggregate</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Form</w:t>
            </w: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gridSpan w:val="5"/>
            <w:vMerge w:val="restart"/>
            <w:shd w:val="clear" w:color="auto" w:fill="9ADAF6"/>
          </w:tcPr>
          <w:p>
            <w:pPr>
              <w:ind w:left="60"/>
              <w:spacing w:after="0"/>
              <w:rPr>
                <w:sz w:val="20"/>
                <w:szCs w:val="20"/>
                <w:color w:val="auto"/>
              </w:rPr>
            </w:pPr>
            <w:r>
              <w:rPr>
                <w:rFonts w:ascii="Arial" w:cs="Arial" w:eastAsia="Arial" w:hAnsi="Arial"/>
                <w:sz w:val="18"/>
                <w:szCs w:val="18"/>
                <w:b w:val="1"/>
                <w:bCs w:val="1"/>
                <w:color w:val="auto"/>
              </w:rPr>
              <w:t>Initial</w:t>
            </w: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vMerge w:val="restart"/>
            <w:shd w:val="clear" w:color="auto" w:fill="9ADAF6"/>
          </w:tcPr>
          <w:p>
            <w:pPr>
              <w:jc w:val="right"/>
              <w:ind w:right="140"/>
              <w:spacing w:after="0"/>
              <w:rPr>
                <w:sz w:val="20"/>
                <w:szCs w:val="20"/>
                <w:color w:val="auto"/>
              </w:rPr>
            </w:pPr>
            <w:r>
              <w:rPr>
                <w:rFonts w:ascii="Arial" w:cs="Arial" w:eastAsia="Arial" w:hAnsi="Arial"/>
                <w:sz w:val="18"/>
                <w:szCs w:val="18"/>
                <w:b w:val="1"/>
                <w:bCs w:val="1"/>
                <w:color w:val="auto"/>
              </w:rPr>
              <w:t>Fee</w:t>
            </w: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Type</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Title</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7"/>
              </w:rPr>
              <w:t>Securities</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Offering</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Paid</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7"/>
            <w:shd w:val="clear" w:color="auto" w:fill="9ADAF6"/>
          </w:tcPr>
          <w:p>
            <w:pPr>
              <w:ind w:left="180"/>
              <w:spacing w:after="0" w:line="178" w:lineRule="exact"/>
              <w:rPr>
                <w:sz w:val="20"/>
                <w:szCs w:val="20"/>
                <w:color w:val="auto"/>
              </w:rPr>
            </w:pPr>
            <w:r>
              <w:rPr>
                <w:rFonts w:ascii="Arial" w:cs="Arial" w:eastAsia="Arial" w:hAnsi="Arial"/>
                <w:sz w:val="18"/>
                <w:szCs w:val="18"/>
                <w:b w:val="1"/>
                <w:bCs w:val="1"/>
                <w:color w:val="auto"/>
                <w:w w:val="99"/>
              </w:rPr>
              <w:t>Registrant or</w:t>
            </w: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9"/>
              </w:rPr>
              <w:t>or</w:t>
            </w:r>
          </w:p>
        </w:tc>
        <w:tc>
          <w:tcPr>
            <w:tcW w:w="4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15"/>
                <w:szCs w:val="15"/>
                <w:color w:val="auto"/>
              </w:rPr>
            </w:pPr>
          </w:p>
        </w:tc>
        <w:tc>
          <w:tcPr>
            <w:tcW w:w="600" w:type="dxa"/>
            <w:vAlign w:val="bottom"/>
            <w:tcBorders>
              <w:right w:val="single" w:sz="8" w:color="9ADAF6"/>
            </w:tcBorders>
            <w:gridSpan w:val="5"/>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shd w:val="clear" w:color="auto" w:fill="9ADAF6"/>
          </w:tcPr>
          <w:p>
            <w:pPr>
              <w:ind w:left="80"/>
              <w:spacing w:after="0" w:line="178" w:lineRule="exact"/>
              <w:rPr>
                <w:sz w:val="20"/>
                <w:szCs w:val="20"/>
                <w:color w:val="auto"/>
              </w:rPr>
            </w:pPr>
            <w:r>
              <w:rPr>
                <w:rFonts w:ascii="Arial" w:cs="Arial" w:eastAsia="Arial" w:hAnsi="Arial"/>
                <w:sz w:val="18"/>
                <w:szCs w:val="18"/>
                <w:b w:val="1"/>
                <w:bCs w:val="1"/>
                <w:color w:val="auto"/>
              </w:rPr>
              <w:t>Filing</w:t>
            </w:r>
          </w:p>
        </w:tc>
        <w:tc>
          <w:tcPr>
            <w:tcW w:w="20" w:type="dxa"/>
            <w:vAlign w:val="bottom"/>
          </w:tcPr>
          <w:p>
            <w:pPr>
              <w:spacing w:after="0"/>
              <w:rPr>
                <w:sz w:val="15"/>
                <w:szCs w:val="15"/>
                <w:color w:val="auto"/>
              </w:rPr>
            </w:pPr>
          </w:p>
        </w:tc>
        <w:tc>
          <w:tcPr>
            <w:tcW w:w="660" w:type="dxa"/>
            <w:vAlign w:val="bottom"/>
            <w:gridSpan w:val="2"/>
            <w:vMerge w:val="continue"/>
            <w:shd w:val="clear" w:color="auto" w:fill="9ADAF6"/>
          </w:tcPr>
          <w:p>
            <w:pPr>
              <w:spacing w:after="0"/>
              <w:rPr>
                <w:sz w:val="15"/>
                <w:szCs w:val="15"/>
                <w:color w:val="auto"/>
              </w:rPr>
            </w:pPr>
          </w:p>
        </w:tc>
        <w:tc>
          <w:tcPr>
            <w:tcW w:w="80" w:type="dxa"/>
            <w:vAlign w:val="bottom"/>
            <w:tcBorders>
              <w:left w:val="single" w:sz="8" w:color="9ADAF6"/>
            </w:tcBorders>
          </w:tcPr>
          <w:p>
            <w:pPr>
              <w:spacing w:after="0"/>
              <w:rPr>
                <w:sz w:val="15"/>
                <w:szCs w:val="15"/>
                <w:color w:val="auto"/>
              </w:rPr>
            </w:pPr>
          </w:p>
        </w:tc>
        <w:tc>
          <w:tcPr>
            <w:tcW w:w="980" w:type="dxa"/>
            <w:vAlign w:val="bottom"/>
            <w:gridSpan w:val="4"/>
            <w:shd w:val="clear" w:color="auto" w:fill="9ADAF6"/>
          </w:tcPr>
          <w:p>
            <w:pPr>
              <w:ind w:left="20"/>
              <w:spacing w:after="0" w:line="178" w:lineRule="exact"/>
              <w:rPr>
                <w:sz w:val="20"/>
                <w:szCs w:val="20"/>
                <w:color w:val="auto"/>
              </w:rPr>
            </w:pPr>
            <w:r>
              <w:rPr>
                <w:rFonts w:ascii="Arial" w:cs="Arial" w:eastAsia="Arial" w:hAnsi="Arial"/>
                <w:sz w:val="18"/>
                <w:szCs w:val="18"/>
                <w:b w:val="1"/>
                <w:bCs w:val="1"/>
                <w:color w:val="auto"/>
                <w:w w:val="97"/>
              </w:rPr>
              <w:t>Associated</w:t>
            </w:r>
          </w:p>
        </w:tc>
        <w:tc>
          <w:tcPr>
            <w:tcW w:w="20" w:type="dxa"/>
            <w:vAlign w:val="bottom"/>
          </w:tcPr>
          <w:p>
            <w:pPr>
              <w:spacing w:after="0"/>
              <w:rPr>
                <w:sz w:val="15"/>
                <w:szCs w:val="15"/>
                <w:color w:val="auto"/>
              </w:rPr>
            </w:pPr>
          </w:p>
        </w:tc>
        <w:tc>
          <w:tcPr>
            <w:tcW w:w="960" w:type="dxa"/>
            <w:vAlign w:val="bottom"/>
            <w:gridSpan w:val="4"/>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7"/>
              </w:rPr>
              <w:t>Associated</w:t>
            </w:r>
          </w:p>
        </w:tc>
        <w:tc>
          <w:tcPr>
            <w:tcW w:w="100" w:type="dxa"/>
            <w:vAlign w:val="bottom"/>
            <w:tcBorders>
              <w:left w:val="single" w:sz="8" w:color="9ADAF6"/>
              <w:right w:val="single" w:sz="8" w:color="9ADAF6"/>
            </w:tcBorders>
          </w:tcPr>
          <w:p>
            <w:pPr>
              <w:spacing w:after="0"/>
              <w:rPr>
                <w:sz w:val="15"/>
                <w:szCs w:val="15"/>
                <w:color w:val="auto"/>
              </w:rPr>
            </w:pPr>
          </w:p>
        </w:tc>
        <w:tc>
          <w:tcPr>
            <w:tcW w:w="920" w:type="dxa"/>
            <w:vAlign w:val="bottom"/>
            <w:gridSpan w:val="6"/>
            <w:shd w:val="clear" w:color="auto" w:fill="9ADAF6"/>
          </w:tcPr>
          <w:p>
            <w:pPr>
              <w:jc w:val="center"/>
              <w:ind w:right="20"/>
              <w:spacing w:after="0" w:line="178" w:lineRule="exact"/>
              <w:rPr>
                <w:sz w:val="20"/>
                <w:szCs w:val="20"/>
                <w:color w:val="auto"/>
              </w:rPr>
            </w:pPr>
            <w:r>
              <w:rPr>
                <w:rFonts w:ascii="Arial" w:cs="Arial" w:eastAsia="Arial" w:hAnsi="Arial"/>
                <w:sz w:val="18"/>
                <w:szCs w:val="18"/>
                <w:b w:val="1"/>
                <w:bCs w:val="1"/>
                <w:color w:val="auto"/>
                <w:w w:val="93"/>
              </w:rPr>
              <w:t>Associated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15"/>
                <w:szCs w:val="15"/>
                <w:color w:val="auto"/>
              </w:rPr>
            </w:pPr>
          </w:p>
        </w:tc>
        <w:tc>
          <w:tcPr>
            <w:tcW w:w="640" w:type="dxa"/>
            <w:vAlign w:val="bottom"/>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9"/>
              </w:rPr>
              <w:t>with</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6"/>
            <w:shd w:val="clear" w:color="auto" w:fill="9ADAF6"/>
          </w:tcPr>
          <w:p>
            <w:pPr>
              <w:ind w:left="280"/>
              <w:spacing w:after="0" w:line="200" w:lineRule="exact"/>
              <w:rPr>
                <w:sz w:val="20"/>
                <w:szCs w:val="20"/>
                <w:color w:val="auto"/>
              </w:rPr>
            </w:pPr>
            <w:r>
              <w:rPr>
                <w:rFonts w:ascii="Arial" w:cs="Arial" w:eastAsia="Arial" w:hAnsi="Arial"/>
                <w:sz w:val="18"/>
                <w:szCs w:val="18"/>
                <w:b w:val="1"/>
                <w:bCs w:val="1"/>
                <w:color w:val="auto"/>
                <w:w w:val="97"/>
              </w:rPr>
              <w:t>Filer Name</w:t>
            </w: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Filing</w:t>
            </w: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17"/>
                <w:szCs w:val="17"/>
                <w:color w:val="auto"/>
              </w:rPr>
            </w:pPr>
          </w:p>
        </w:tc>
        <w:tc>
          <w:tcPr>
            <w:tcW w:w="600" w:type="dxa"/>
            <w:vAlign w:val="bottom"/>
            <w:tcBorders>
              <w:right w:val="single" w:sz="8" w:color="9ADAF6"/>
            </w:tcBorders>
            <w:gridSpan w:val="5"/>
            <w:shd w:val="clear" w:color="auto" w:fill="9ADAF6"/>
          </w:tcPr>
          <w:p>
            <w:pPr>
              <w:ind w:left="60"/>
              <w:spacing w:after="0" w:line="200" w:lineRule="exact"/>
              <w:rPr>
                <w:sz w:val="20"/>
                <w:szCs w:val="20"/>
                <w:color w:val="auto"/>
              </w:rPr>
            </w:pPr>
            <w:r>
              <w:rPr>
                <w:rFonts w:ascii="Arial" w:cs="Arial" w:eastAsia="Arial" w:hAnsi="Arial"/>
                <w:sz w:val="18"/>
                <w:szCs w:val="18"/>
                <w:b w:val="1"/>
                <w:bCs w:val="1"/>
                <w:color w:val="auto"/>
              </w:rPr>
              <w:t>Filing</w:t>
            </w:r>
          </w:p>
        </w:tc>
        <w:tc>
          <w:tcPr>
            <w:tcW w:w="20" w:type="dxa"/>
            <w:vAlign w:val="bottom"/>
          </w:tcPr>
          <w:p>
            <w:pPr>
              <w:spacing w:after="0"/>
              <w:rPr>
                <w:sz w:val="17"/>
                <w:szCs w:val="17"/>
                <w:color w:val="auto"/>
              </w:rPr>
            </w:pPr>
          </w:p>
        </w:tc>
        <w:tc>
          <w:tcPr>
            <w:tcW w:w="620" w:type="dxa"/>
            <w:vAlign w:val="bottom"/>
            <w:gridSpan w:val="3"/>
            <w:shd w:val="clear" w:color="auto" w:fill="9ADAF6"/>
          </w:tcPr>
          <w:p>
            <w:pPr>
              <w:ind w:left="120"/>
              <w:spacing w:after="0" w:line="200"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660" w:type="dxa"/>
            <w:vAlign w:val="bottom"/>
            <w:gridSpan w:val="2"/>
            <w:shd w:val="clear" w:color="auto" w:fill="9ADAF6"/>
          </w:tcPr>
          <w:p>
            <w:pPr>
              <w:jc w:val="right"/>
              <w:ind w:right="40"/>
              <w:spacing w:after="0" w:line="200" w:lineRule="exact"/>
              <w:rPr>
                <w:sz w:val="20"/>
                <w:szCs w:val="20"/>
                <w:color w:val="auto"/>
              </w:rPr>
            </w:pPr>
            <w:r>
              <w:rPr>
                <w:rFonts w:ascii="Arial" w:cs="Arial" w:eastAsia="Arial" w:hAnsi="Arial"/>
                <w:sz w:val="18"/>
                <w:szCs w:val="18"/>
                <w:b w:val="1"/>
                <w:bCs w:val="1"/>
                <w:color w:val="auto"/>
              </w:rPr>
              <w:t>Offset</w:t>
            </w: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with Fee</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with Fee</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Associated</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5"/>
              </w:rPr>
              <w:t>Type</w:t>
            </w: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gridSpan w:val="5"/>
            <w:shd w:val="clear" w:color="auto" w:fill="9ADAF6"/>
          </w:tcPr>
          <w:p>
            <w:pPr>
              <w:ind w:left="100"/>
              <w:spacing w:after="0" w:line="200"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7"/>
              </w:rPr>
              <w:t>Claimed</w:t>
            </w:r>
          </w:p>
        </w:tc>
        <w:tc>
          <w:tcPr>
            <w:tcW w:w="80" w:type="dxa"/>
            <w:vAlign w:val="bottom"/>
            <w:tcBorders>
              <w:left w:val="single" w:sz="8" w:color="9ADAF6"/>
            </w:tcBorders>
          </w:tcPr>
          <w:p>
            <w:pPr>
              <w:spacing w:after="0"/>
              <w:rPr>
                <w:sz w:val="17"/>
                <w:szCs w:val="1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6"/>
              </w:rPr>
              <w:t>Offset</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100" w:type="dxa"/>
            <w:vAlign w:val="bottom"/>
            <w:tcBorders>
              <w:left w:val="single" w:sz="8" w:color="9ADAF6"/>
              <w:right w:val="single" w:sz="8" w:color="9ADAF6"/>
            </w:tcBorders>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gridSpan w:val="4"/>
            <w:vMerge w:val="restart"/>
            <w:shd w:val="clear" w:color="auto" w:fill="9ADAF6"/>
          </w:tcPr>
          <w:p>
            <w:pPr>
              <w:jc w:val="center"/>
              <w:ind w:right="240"/>
              <w:spacing w:after="0"/>
              <w:rPr>
                <w:sz w:val="20"/>
                <w:szCs w:val="20"/>
                <w:color w:val="auto"/>
              </w:rPr>
            </w:pPr>
            <w:r>
              <w:rPr>
                <w:rFonts w:ascii="Arial" w:cs="Arial" w:eastAsia="Arial" w:hAnsi="Arial"/>
                <w:sz w:val="18"/>
                <w:szCs w:val="18"/>
                <w:b w:val="1"/>
                <w:bCs w:val="1"/>
                <w:color w:val="auto"/>
                <w:w w:val="99"/>
              </w:rPr>
              <w:t>Offset</w:t>
            </w:r>
          </w:p>
        </w:tc>
        <w:tc>
          <w:tcPr>
            <w:tcW w:w="20" w:type="dxa"/>
            <w:vAlign w:val="bottom"/>
          </w:tcPr>
          <w:p>
            <w:pPr>
              <w:spacing w:after="0"/>
              <w:rPr>
                <w:sz w:val="17"/>
                <w:szCs w:val="17"/>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with Fee</w:t>
            </w:r>
          </w:p>
        </w:tc>
        <w:tc>
          <w:tcPr>
            <w:tcW w:w="40" w:type="dxa"/>
            <w:vAlign w:val="bottom"/>
          </w:tcPr>
          <w:p>
            <w:pPr>
              <w:spacing w:after="0"/>
              <w:rPr>
                <w:sz w:val="17"/>
                <w:szCs w:val="1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8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9ADAF6"/>
          </w:tcPr>
          <w:p>
            <w:pPr>
              <w:spacing w:after="0" w:line="20" w:lineRule="exact"/>
              <w:rPr>
                <w:sz w:val="1"/>
                <w:szCs w:val="1"/>
                <w:color w:val="auto"/>
              </w:rPr>
            </w:pPr>
          </w:p>
        </w:tc>
        <w:tc>
          <w:tcPr>
            <w:tcW w:w="8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6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40" w:type="dxa"/>
            <w:vAlign w:val="bottom"/>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1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28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2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40" w:type="dxa"/>
            <w:vAlign w:val="bottom"/>
            <w:shd w:val="clear" w:color="auto" w:fill="9ADAF6"/>
          </w:tcPr>
          <w:p>
            <w:pPr>
              <w:spacing w:after="0" w:line="20" w:lineRule="exact"/>
              <w:rPr>
                <w:sz w:val="1"/>
                <w:szCs w:val="1"/>
                <w:color w:val="auto"/>
              </w:rPr>
            </w:pPr>
          </w:p>
        </w:tc>
        <w:tc>
          <w:tcPr>
            <w:tcW w:w="80" w:type="dxa"/>
            <w:vAlign w:val="bottom"/>
            <w:tcBorders>
              <w:left w:val="single" w:sz="8" w:color="9ADAF6"/>
            </w:tcBorders>
          </w:tcPr>
          <w:p>
            <w:pPr>
              <w:spacing w:after="0" w:line="20" w:lineRule="exact"/>
              <w:rPr>
                <w:sz w:val="1"/>
                <w:szCs w:val="1"/>
                <w:color w:val="auto"/>
              </w:rPr>
            </w:pPr>
          </w:p>
        </w:tc>
        <w:tc>
          <w:tcPr>
            <w:tcW w:w="900" w:type="dxa"/>
            <w:vAlign w:val="bottom"/>
            <w:gridSpan w:val="3"/>
            <w:vMerge w:val="continue"/>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vMerge w:val="continue"/>
            <w:shd w:val="clear" w:color="auto" w:fill="9ADAF6"/>
          </w:tcPr>
          <w:p>
            <w:pPr>
              <w:spacing w:after="0" w:line="20" w:lineRule="exact"/>
              <w:rPr>
                <w:sz w:val="1"/>
                <w:szCs w:val="1"/>
                <w:color w:val="auto"/>
              </w:rPr>
            </w:pPr>
          </w:p>
        </w:tc>
        <w:tc>
          <w:tcPr>
            <w:tcW w:w="100" w:type="dxa"/>
            <w:vAlign w:val="bottom"/>
            <w:tcBorders>
              <w:left w:val="single" w:sz="8" w:color="9ADAF6"/>
              <w:right w:val="single" w:sz="8" w:color="9ADAF6"/>
            </w:tcBorders>
          </w:tcPr>
          <w:p>
            <w:pPr>
              <w:spacing w:after="0" w:line="20" w:lineRule="exact"/>
              <w:rPr>
                <w:sz w:val="1"/>
                <w:szCs w:val="1"/>
                <w:color w:val="auto"/>
              </w:rPr>
            </w:pPr>
          </w:p>
        </w:tc>
        <w:tc>
          <w:tcPr>
            <w:tcW w:w="1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760" w:type="dxa"/>
            <w:vAlign w:val="bottom"/>
            <w:gridSpan w:val="4"/>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7"/>
              </w:rPr>
              <w:t>Claimed</w:t>
            </w:r>
          </w:p>
        </w:tc>
        <w:tc>
          <w:tcPr>
            <w:tcW w:w="20" w:type="dxa"/>
            <w:vAlign w:val="bottom"/>
          </w:tcPr>
          <w:p>
            <w:pPr>
              <w:spacing w:after="0"/>
              <w:rPr>
                <w:sz w:val="17"/>
                <w:szCs w:val="17"/>
                <w:color w:val="auto"/>
              </w:rPr>
            </w:pPr>
          </w:p>
        </w:tc>
        <w:tc>
          <w:tcPr>
            <w:tcW w:w="760" w:type="dxa"/>
            <w:vAlign w:val="bottom"/>
            <w:gridSpan w:val="2"/>
            <w:shd w:val="clear" w:color="auto" w:fill="9ADAF6"/>
          </w:tcPr>
          <w:p>
            <w:pPr>
              <w:jc w:val="center"/>
              <w:ind w:left="111"/>
              <w:spacing w:after="0" w:line="200" w:lineRule="exact"/>
              <w:rPr>
                <w:sz w:val="20"/>
                <w:szCs w:val="20"/>
                <w:color w:val="auto"/>
              </w:rPr>
            </w:pPr>
            <w:r>
              <w:rPr>
                <w:rFonts w:ascii="Arial" w:cs="Arial" w:eastAsia="Arial" w:hAnsi="Arial"/>
                <w:sz w:val="18"/>
                <w:szCs w:val="18"/>
                <w:b w:val="1"/>
                <w:bCs w:val="1"/>
                <w:color w:val="auto"/>
                <w:w w:val="99"/>
              </w:rPr>
              <w:t>Offset</w:t>
            </w:r>
          </w:p>
        </w:tc>
        <w:tc>
          <w:tcPr>
            <w:tcW w:w="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Source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9ADAF6"/>
            </w:tcBorders>
            <w:gridSpan w:val="13"/>
          </w:tcPr>
          <w:p>
            <w:pPr>
              <w:spacing w:after="0"/>
              <w:rPr>
                <w:sz w:val="20"/>
                <w:szCs w:val="20"/>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p>
        </w:tc>
        <w:tc>
          <w:tcPr>
            <w:tcW w:w="1400" w:type="dxa"/>
            <w:vAlign w:val="bottom"/>
            <w:tcBorders>
              <w:right w:val="single" w:sz="8" w:color="9ADAF6"/>
            </w:tcBorders>
            <w:gridSpan w:val="8"/>
          </w:tcPr>
          <w:p>
            <w:pPr>
              <w:spacing w:after="0"/>
              <w:rPr>
                <w:sz w:val="20"/>
                <w:szCs w:val="20"/>
                <w:color w:val="auto"/>
              </w:rPr>
            </w:pPr>
          </w:p>
        </w:tc>
        <w:tc>
          <w:tcPr>
            <w:tcW w:w="1320" w:type="dxa"/>
            <w:vAlign w:val="bottom"/>
            <w:gridSpan w:val="7"/>
          </w:tcPr>
          <w:p>
            <w:pPr>
              <w:spacing w:after="0"/>
              <w:rPr>
                <w:sz w:val="20"/>
                <w:szCs w:val="20"/>
                <w:color w:val="auto"/>
              </w:rPr>
            </w:pPr>
          </w:p>
        </w:tc>
        <w:tc>
          <w:tcPr>
            <w:tcW w:w="2040" w:type="dxa"/>
            <w:vAlign w:val="bottom"/>
            <w:tcBorders>
              <w:left w:val="single" w:sz="8" w:color="9ADAF6"/>
            </w:tcBorders>
            <w:gridSpan w:val="10"/>
          </w:tcPr>
          <w:p>
            <w:pPr>
              <w:spacing w:after="0"/>
              <w:rPr>
                <w:sz w:val="20"/>
                <w:szCs w:val="20"/>
                <w:color w:val="auto"/>
              </w:rPr>
            </w:pPr>
          </w:p>
        </w:tc>
        <w:tc>
          <w:tcPr>
            <w:tcW w:w="100" w:type="dxa"/>
            <w:vAlign w:val="bottom"/>
            <w:tcBorders>
              <w:left w:val="single" w:sz="8" w:color="9ADAF6"/>
              <w:right w:val="single" w:sz="8" w:color="9ADAF6"/>
            </w:tcBorders>
          </w:tcPr>
          <w:p>
            <w:pPr>
              <w:spacing w:after="0"/>
              <w:rPr>
                <w:sz w:val="20"/>
                <w:szCs w:val="20"/>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Claimed</w:t>
            </w: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gridSpan w:val="16"/>
          </w:tcPr>
          <w:p>
            <w:pPr>
              <w:ind w:left="720"/>
              <w:spacing w:after="0"/>
              <w:rPr>
                <w:sz w:val="20"/>
                <w:szCs w:val="20"/>
                <w:color w:val="auto"/>
              </w:rPr>
            </w:pPr>
            <w:r>
              <w:rPr>
                <w:rFonts w:ascii="Arial" w:cs="Arial" w:eastAsia="Arial" w:hAnsi="Arial"/>
                <w:sz w:val="18"/>
                <w:szCs w:val="18"/>
                <w:b w:val="1"/>
                <w:bCs w:val="1"/>
                <w:color w:val="auto"/>
              </w:rPr>
              <w:t>Rules 457(b) and 0-11(a)(2)</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6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1"/>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1400" w:type="dxa"/>
            <w:vAlign w:val="bottom"/>
            <w:tcBorders>
              <w:right w:val="single" w:sz="8" w:color="E7E7E2"/>
            </w:tcBorders>
            <w:gridSpan w:val="8"/>
          </w:tcPr>
          <w:p>
            <w:pPr>
              <w:spacing w:after="0"/>
              <w:rPr>
                <w:sz w:val="8"/>
                <w:szCs w:val="8"/>
                <w:color w:val="auto"/>
              </w:rPr>
            </w:pPr>
          </w:p>
        </w:tc>
        <w:tc>
          <w:tcPr>
            <w:tcW w:w="1320" w:type="dxa"/>
            <w:vAlign w:val="bottom"/>
            <w:gridSpan w:val="7"/>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89"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6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1"/>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1400" w:type="dxa"/>
            <w:vAlign w:val="bottom"/>
            <w:tcBorders>
              <w:right w:val="single" w:sz="8" w:color="E7E7E2"/>
            </w:tcBorders>
            <w:gridSpan w:val="8"/>
          </w:tcPr>
          <w:p>
            <w:pPr>
              <w:spacing w:after="0"/>
              <w:rPr>
                <w:sz w:val="8"/>
                <w:szCs w:val="8"/>
                <w:color w:val="auto"/>
              </w:rPr>
            </w:pPr>
          </w:p>
        </w:tc>
        <w:tc>
          <w:tcPr>
            <w:tcW w:w="1320" w:type="dxa"/>
            <w:vAlign w:val="bottom"/>
            <w:gridSpan w:val="7"/>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1360" w:type="dxa"/>
            <w:vAlign w:val="bottom"/>
            <w:tcBorders>
              <w:left w:val="single" w:sz="8" w:color="auto"/>
              <w:right w:val="single" w:sz="8" w:color="auto"/>
            </w:tcBorders>
            <w:gridSpan w:val="62"/>
          </w:tcPr>
          <w:p>
            <w:pPr>
              <w:spacing w:after="0"/>
              <w:rPr>
                <w:sz w:val="20"/>
                <w:szCs w:val="20"/>
                <w:color w:val="auto"/>
              </w:rPr>
            </w:pPr>
            <w:r>
              <w:rPr>
                <w:rFonts w:ascii="Arial" w:cs="Arial" w:eastAsia="Arial" w:hAnsi="Arial"/>
                <w:sz w:val="18"/>
                <w:szCs w:val="18"/>
                <w:b w:val="1"/>
                <w:bCs w:val="1"/>
                <w:color w:val="auto"/>
              </w:rPr>
              <w:t>Rule 457(p)</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6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1"/>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1400" w:type="dxa"/>
            <w:vAlign w:val="bottom"/>
            <w:tcBorders>
              <w:right w:val="single" w:sz="8" w:color="E7E7E2"/>
            </w:tcBorders>
            <w:gridSpan w:val="8"/>
          </w:tcPr>
          <w:p>
            <w:pPr>
              <w:spacing w:after="0"/>
              <w:rPr>
                <w:sz w:val="8"/>
                <w:szCs w:val="8"/>
                <w:color w:val="auto"/>
              </w:rPr>
            </w:pPr>
          </w:p>
        </w:tc>
        <w:tc>
          <w:tcPr>
            <w:tcW w:w="1320" w:type="dxa"/>
            <w:vAlign w:val="bottom"/>
            <w:gridSpan w:val="7"/>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89"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6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1"/>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1400" w:type="dxa"/>
            <w:vAlign w:val="bottom"/>
            <w:tcBorders>
              <w:right w:val="single" w:sz="8" w:color="E7E7E2"/>
            </w:tcBorders>
            <w:gridSpan w:val="8"/>
          </w:tcPr>
          <w:p>
            <w:pPr>
              <w:spacing w:after="0"/>
              <w:rPr>
                <w:sz w:val="8"/>
                <w:szCs w:val="8"/>
                <w:color w:val="auto"/>
              </w:rPr>
            </w:pPr>
          </w:p>
        </w:tc>
        <w:tc>
          <w:tcPr>
            <w:tcW w:w="1320" w:type="dxa"/>
            <w:vAlign w:val="bottom"/>
            <w:gridSpan w:val="7"/>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360" w:type="dxa"/>
            <w:vAlign w:val="bottom"/>
            <w:tcBorders>
              <w:left w:val="single" w:sz="8" w:color="auto"/>
              <w:bottom w:val="single" w:sz="8" w:color="auto"/>
              <w:right w:val="single" w:sz="8" w:color="auto"/>
            </w:tcBorders>
            <w:gridSpan w:val="6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2860" w:type="dxa"/>
            <w:vAlign w:val="bottom"/>
            <w:gridSpan w:val="16"/>
          </w:tcPr>
          <w:p>
            <w:pPr>
              <w:spacing w:after="0"/>
              <w:rPr>
                <w:sz w:val="20"/>
                <w:szCs w:val="20"/>
                <w:color w:val="auto"/>
              </w:rPr>
            </w:pPr>
            <w:r>
              <w:rPr>
                <w:rFonts w:ascii="Arial" w:cs="Arial" w:eastAsia="Arial" w:hAnsi="Arial"/>
                <w:sz w:val="18"/>
                <w:szCs w:val="18"/>
                <w:b w:val="1"/>
                <w:bCs w:val="1"/>
                <w:color w:val="auto"/>
                <w:w w:val="99"/>
              </w:rPr>
              <w:t>Table 3: Combined Prospectuses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40" w:type="dxa"/>
            <w:vAlign w:val="bottom"/>
            <w:tcBorders>
              <w:top w:val="single" w:sz="8" w:color="auto"/>
              <w:left w:val="single" w:sz="8" w:color="auto"/>
            </w:tcBorders>
          </w:tcPr>
          <w:p>
            <w:pPr>
              <w:spacing w:after="0"/>
              <w:rPr>
                <w:sz w:val="17"/>
                <w:szCs w:val="17"/>
                <w:color w:val="auto"/>
              </w:rPr>
            </w:pPr>
          </w:p>
        </w:tc>
        <w:tc>
          <w:tcPr>
            <w:tcW w:w="4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8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22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4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280" w:type="dxa"/>
            <w:vAlign w:val="bottom"/>
            <w:tcBorders>
              <w:top w:val="single" w:sz="8" w:color="auto"/>
            </w:tcBorders>
            <w:shd w:val="clear" w:color="auto" w:fill="9ADAF6"/>
          </w:tcPr>
          <w:p>
            <w:pPr>
              <w:spacing w:after="0"/>
              <w:rPr>
                <w:sz w:val="17"/>
                <w:szCs w:val="17"/>
                <w:color w:val="auto"/>
              </w:rPr>
            </w:pPr>
          </w:p>
        </w:tc>
        <w:tc>
          <w:tcPr>
            <w:tcW w:w="8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120" w:type="dxa"/>
            <w:vAlign w:val="bottom"/>
            <w:tcBorders>
              <w:top w:val="single" w:sz="8" w:color="auto"/>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56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76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2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6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260" w:type="dxa"/>
            <w:vAlign w:val="bottom"/>
            <w:tcBorders>
              <w:top w:val="single" w:sz="8" w:color="auto"/>
            </w:tcBorders>
            <w:gridSpan w:val="5"/>
            <w:shd w:val="clear" w:color="auto" w:fill="9ADAF6"/>
          </w:tcPr>
          <w:p>
            <w:pPr>
              <w:ind w:left="40"/>
              <w:spacing w:after="0" w:line="205" w:lineRule="exact"/>
              <w:rPr>
                <w:sz w:val="20"/>
                <w:szCs w:val="20"/>
                <w:color w:val="auto"/>
              </w:rPr>
            </w:pPr>
            <w:r>
              <w:rPr>
                <w:rFonts w:ascii="Arial" w:cs="Arial" w:eastAsia="Arial" w:hAnsi="Arial"/>
                <w:sz w:val="18"/>
                <w:szCs w:val="18"/>
                <w:b w:val="1"/>
                <w:bCs w:val="1"/>
                <w:color w:val="auto"/>
              </w:rPr>
              <w:t>Amount of</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left w:val="single" w:sz="8" w:color="9ADAF6"/>
            </w:tcBorders>
            <w:shd w:val="clear" w:color="auto" w:fill="9ADAF6"/>
          </w:tcPr>
          <w:p>
            <w:pPr>
              <w:spacing w:after="0"/>
              <w:rPr>
                <w:sz w:val="17"/>
                <w:szCs w:val="17"/>
                <w:color w:val="auto"/>
              </w:rPr>
            </w:pPr>
          </w:p>
        </w:tc>
        <w:tc>
          <w:tcPr>
            <w:tcW w:w="1920" w:type="dxa"/>
            <w:vAlign w:val="bottom"/>
            <w:tcBorders>
              <w:top w:val="single" w:sz="8" w:color="auto"/>
            </w:tcBorders>
            <w:gridSpan w:val="8"/>
            <w:shd w:val="clear" w:color="auto" w:fill="9ADAF6"/>
          </w:tcPr>
          <w:p>
            <w:pPr>
              <w:ind w:left="40"/>
              <w:spacing w:after="0" w:line="205" w:lineRule="exact"/>
              <w:rPr>
                <w:sz w:val="20"/>
                <w:szCs w:val="20"/>
                <w:color w:val="auto"/>
              </w:rPr>
            </w:pPr>
            <w:r>
              <w:rPr>
                <w:rFonts w:ascii="Arial" w:cs="Arial" w:eastAsia="Arial" w:hAnsi="Arial"/>
                <w:sz w:val="18"/>
                <w:szCs w:val="18"/>
                <w:b w:val="1"/>
                <w:bCs w:val="1"/>
                <w:color w:val="auto"/>
              </w:rPr>
              <w:t>Maximum Aggregate</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left w:val="single" w:sz="8" w:color="9ADAF6"/>
              <w:right w:val="single" w:sz="8" w:color="9ADAF6"/>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40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7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9ADAF6"/>
          </w:tcPr>
          <w:p>
            <w:pPr>
              <w:spacing w:after="0"/>
              <w:rPr>
                <w:sz w:val="17"/>
                <w:szCs w:val="17"/>
                <w:color w:val="auto"/>
              </w:rPr>
            </w:pPr>
          </w:p>
        </w:tc>
        <w:tc>
          <w:tcPr>
            <w:tcW w:w="700" w:type="dxa"/>
            <w:vAlign w:val="bottom"/>
            <w:tcBorders>
              <w:top w:val="single" w:sz="8" w:color="auto"/>
            </w:tcBorders>
            <w:gridSpan w:val="3"/>
            <w:vMerge w:val="restart"/>
            <w:shd w:val="clear" w:color="auto" w:fill="9ADAF6"/>
          </w:tcPr>
          <w:p>
            <w:pPr>
              <w:jc w:val="center"/>
              <w:ind w:right="200"/>
              <w:spacing w:after="0"/>
              <w:rPr>
                <w:sz w:val="20"/>
                <w:szCs w:val="20"/>
                <w:color w:val="auto"/>
              </w:rPr>
            </w:pPr>
            <w:r>
              <w:rPr>
                <w:rFonts w:ascii="Arial" w:cs="Arial" w:eastAsia="Arial" w:hAnsi="Arial"/>
                <w:sz w:val="18"/>
                <w:szCs w:val="18"/>
                <w:b w:val="1"/>
                <w:bCs w:val="1"/>
                <w:color w:val="auto"/>
                <w:w w:val="97"/>
              </w:rPr>
              <w:t>Initial</w:t>
            </w:r>
          </w:p>
        </w:tc>
        <w:tc>
          <w:tcPr>
            <w:tcW w:w="1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60" w:type="dxa"/>
            <w:vAlign w:val="bottom"/>
            <w:gridSpan w:val="5"/>
            <w:vMerge w:val="restart"/>
            <w:shd w:val="clear" w:color="auto" w:fill="9ADAF6"/>
          </w:tcPr>
          <w:p>
            <w:pPr>
              <w:ind w:left="60"/>
              <w:spacing w:after="0" w:line="200" w:lineRule="exact"/>
              <w:rPr>
                <w:sz w:val="20"/>
                <w:szCs w:val="20"/>
                <w:color w:val="auto"/>
              </w:rPr>
            </w:pPr>
            <w:r>
              <w:rPr>
                <w:rFonts w:ascii="Arial" w:cs="Arial" w:eastAsia="Arial" w:hAnsi="Arial"/>
                <w:sz w:val="18"/>
                <w:szCs w:val="18"/>
                <w:b w:val="1"/>
                <w:bCs w:val="1"/>
                <w:color w:val="auto"/>
              </w:rPr>
              <w:t>Securities</w:t>
            </w: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1920" w:type="dxa"/>
            <w:vAlign w:val="bottom"/>
            <w:gridSpan w:val="8"/>
            <w:vMerge w:val="restart"/>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 Price of</w:t>
            </w:r>
          </w:p>
        </w:tc>
        <w:tc>
          <w:tcPr>
            <w:tcW w:w="40" w:type="dxa"/>
            <w:vAlign w:val="bottom"/>
          </w:tcPr>
          <w:p>
            <w:pPr>
              <w:spacing w:after="0"/>
              <w:rPr>
                <w:sz w:val="8"/>
                <w:szCs w:val="8"/>
                <w:color w:val="auto"/>
              </w:rPr>
            </w:pPr>
          </w:p>
        </w:tc>
        <w:tc>
          <w:tcPr>
            <w:tcW w:w="100" w:type="dxa"/>
            <w:vAlign w:val="bottom"/>
            <w:tcBorders>
              <w:left w:val="single" w:sz="8" w:color="9ADAF6"/>
              <w:right w:val="single" w:sz="8" w:color="9ADAF6"/>
            </w:tcBorders>
            <w:shd w:val="clear" w:color="auto" w:fill="9ADAF6"/>
          </w:tcPr>
          <w:p>
            <w:pPr>
              <w:spacing w:after="0"/>
              <w:rPr>
                <w:sz w:val="8"/>
                <w:szCs w:val="8"/>
                <w:color w:val="auto"/>
              </w:rPr>
            </w:pPr>
          </w:p>
        </w:tc>
        <w:tc>
          <w:tcPr>
            <w:tcW w:w="560" w:type="dxa"/>
            <w:vAlign w:val="bottom"/>
            <w:gridSpan w:val="3"/>
            <w:vMerge w:val="restart"/>
            <w:shd w:val="clear" w:color="auto" w:fill="9ADAF6"/>
          </w:tcPr>
          <w:p>
            <w:pPr>
              <w:jc w:val="center"/>
              <w:ind w:right="33"/>
              <w:spacing w:after="0" w:line="200" w:lineRule="exact"/>
              <w:rPr>
                <w:sz w:val="20"/>
                <w:szCs w:val="20"/>
                <w:color w:val="auto"/>
              </w:rPr>
            </w:pPr>
            <w:r>
              <w:rPr>
                <w:rFonts w:ascii="Arial" w:cs="Arial" w:eastAsia="Arial" w:hAnsi="Arial"/>
                <w:sz w:val="18"/>
                <w:szCs w:val="18"/>
                <w:b w:val="1"/>
                <w:bCs w:val="1"/>
                <w:color w:val="auto"/>
                <w:w w:val="97"/>
              </w:rPr>
              <w:t>Form</w:t>
            </w: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00" w:type="dxa"/>
            <w:vAlign w:val="bottom"/>
            <w:gridSpan w:val="3"/>
            <w:vMerge w:val="continue"/>
            <w:shd w:val="clear" w:color="auto" w:fill="9ADAF6"/>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Borders>
              <w:right w:val="single" w:sz="8" w:color="9ADAF6"/>
            </w:tcBorders>
            <w:gridSpan w:val="10"/>
            <w:vMerge w:val="restart"/>
            <w:shd w:val="clear" w:color="auto" w:fill="9ADAF6"/>
          </w:tcPr>
          <w:p>
            <w:pPr>
              <w:ind w:left="200"/>
              <w:spacing w:after="0"/>
              <w:rPr>
                <w:sz w:val="20"/>
                <w:szCs w:val="20"/>
                <w:color w:val="auto"/>
              </w:rPr>
            </w:pPr>
            <w:r>
              <w:rPr>
                <w:rFonts w:ascii="Arial" w:cs="Arial" w:eastAsia="Arial" w:hAnsi="Arial"/>
                <w:sz w:val="18"/>
                <w:szCs w:val="18"/>
                <w:b w:val="1"/>
                <w:bCs w:val="1"/>
                <w:color w:val="auto"/>
              </w:rPr>
              <w:t>Security Type</w:t>
            </w:r>
          </w:p>
        </w:tc>
        <w:tc>
          <w:tcPr>
            <w:tcW w:w="20" w:type="dxa"/>
            <w:vAlign w:val="bottom"/>
          </w:tcPr>
          <w:p>
            <w:pPr>
              <w:spacing w:after="0"/>
              <w:rPr>
                <w:sz w:val="8"/>
                <w:szCs w:val="8"/>
                <w:color w:val="auto"/>
              </w:rPr>
            </w:pPr>
          </w:p>
        </w:tc>
        <w:tc>
          <w:tcPr>
            <w:tcW w:w="2500" w:type="dxa"/>
            <w:vAlign w:val="bottom"/>
            <w:gridSpan w:val="11"/>
            <w:vMerge w:val="restart"/>
            <w:shd w:val="clear" w:color="auto" w:fill="9ADAF6"/>
          </w:tcPr>
          <w:p>
            <w:pPr>
              <w:jc w:val="center"/>
              <w:ind w:left="211"/>
              <w:spacing w:after="0"/>
              <w:rPr>
                <w:sz w:val="20"/>
                <w:szCs w:val="20"/>
                <w:color w:val="auto"/>
              </w:rPr>
            </w:pPr>
            <w:r>
              <w:rPr>
                <w:rFonts w:ascii="Arial" w:cs="Arial" w:eastAsia="Arial" w:hAnsi="Arial"/>
                <w:sz w:val="18"/>
                <w:szCs w:val="18"/>
                <w:b w:val="1"/>
                <w:bCs w:val="1"/>
                <w:color w:val="auto"/>
                <w:w w:val="98"/>
              </w:rPr>
              <w:t>Security Class Title</w:t>
            </w: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60" w:type="dxa"/>
            <w:vAlign w:val="bottom"/>
            <w:gridSpan w:val="5"/>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1920" w:type="dxa"/>
            <w:vAlign w:val="bottom"/>
            <w:gridSpan w:val="8"/>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left w:val="single" w:sz="8" w:color="9ADAF6"/>
              <w:right w:val="single" w:sz="8" w:color="9ADAF6"/>
            </w:tcBorders>
            <w:shd w:val="clear" w:color="auto" w:fill="9ADAF6"/>
          </w:tcPr>
          <w:p>
            <w:pPr>
              <w:spacing w:after="0"/>
              <w:rPr>
                <w:sz w:val="8"/>
                <w:szCs w:val="8"/>
                <w:color w:val="auto"/>
              </w:rPr>
            </w:pPr>
          </w:p>
        </w:tc>
        <w:tc>
          <w:tcPr>
            <w:tcW w:w="5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restart"/>
            <w:shd w:val="clear" w:color="auto" w:fill="9ADAF6"/>
          </w:tcPr>
          <w:p>
            <w:pPr>
              <w:ind w:left="40"/>
              <w:spacing w:after="0"/>
              <w:rPr>
                <w:sz w:val="20"/>
                <w:szCs w:val="20"/>
                <w:color w:val="auto"/>
              </w:rPr>
            </w:pPr>
            <w:r>
              <w:rPr>
                <w:rFonts w:ascii="Arial" w:cs="Arial" w:eastAsia="Arial" w:hAnsi="Arial"/>
                <w:sz w:val="18"/>
                <w:szCs w:val="18"/>
                <w:b w:val="1"/>
                <w:bCs w:val="1"/>
                <w:color w:val="auto"/>
                <w:w w:val="99"/>
              </w:rPr>
              <w:t>File Number</w:t>
            </w: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Effective</w:t>
            </w: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right w:val="single" w:sz="8" w:color="9ADAF6"/>
            </w:tcBorders>
            <w:gridSpan w:val="10"/>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11"/>
            <w:vMerge w:val="continue"/>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right w:val="single" w:sz="8" w:color="9ADAF6"/>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60" w:type="dxa"/>
            <w:vAlign w:val="bottom"/>
            <w:gridSpan w:val="5"/>
            <w:shd w:val="clear" w:color="auto" w:fill="9ADAF6"/>
          </w:tcPr>
          <w:p>
            <w:pPr>
              <w:ind w:left="40"/>
              <w:spacing w:after="0" w:line="178" w:lineRule="exact"/>
              <w:rPr>
                <w:sz w:val="20"/>
                <w:szCs w:val="20"/>
                <w:color w:val="auto"/>
              </w:rPr>
            </w:pPr>
            <w:r>
              <w:rPr>
                <w:rFonts w:ascii="Arial" w:cs="Arial" w:eastAsia="Arial" w:hAnsi="Arial"/>
                <w:sz w:val="18"/>
                <w:szCs w:val="18"/>
                <w:b w:val="1"/>
                <w:bCs w:val="1"/>
                <w:color w:val="auto"/>
              </w:rPr>
              <w:t>Previously</w:t>
            </w:r>
          </w:p>
        </w:tc>
        <w:tc>
          <w:tcPr>
            <w:tcW w:w="40" w:type="dxa"/>
            <w:vAlign w:val="bottom"/>
          </w:tcPr>
          <w:p>
            <w:pPr>
              <w:spacing w:after="0"/>
              <w:rPr>
                <w:sz w:val="15"/>
                <w:szCs w:val="15"/>
                <w:color w:val="auto"/>
              </w:rPr>
            </w:pPr>
          </w:p>
        </w:tc>
        <w:tc>
          <w:tcPr>
            <w:tcW w:w="80" w:type="dxa"/>
            <w:vAlign w:val="bottom"/>
            <w:tcBorders>
              <w:left w:val="single" w:sz="8" w:color="9ADAF6"/>
            </w:tcBorders>
            <w:shd w:val="clear" w:color="auto" w:fill="9ADAF6"/>
          </w:tcPr>
          <w:p>
            <w:pPr>
              <w:spacing w:after="0"/>
              <w:rPr>
                <w:sz w:val="15"/>
                <w:szCs w:val="15"/>
                <w:color w:val="auto"/>
              </w:rPr>
            </w:pPr>
          </w:p>
        </w:tc>
        <w:tc>
          <w:tcPr>
            <w:tcW w:w="1920" w:type="dxa"/>
            <w:vAlign w:val="bottom"/>
            <w:gridSpan w:val="8"/>
            <w:shd w:val="clear" w:color="auto" w:fill="9ADAF6"/>
          </w:tcPr>
          <w:p>
            <w:pPr>
              <w:ind w:left="20"/>
              <w:spacing w:after="0" w:line="178" w:lineRule="exact"/>
              <w:rPr>
                <w:sz w:val="20"/>
                <w:szCs w:val="20"/>
                <w:color w:val="auto"/>
              </w:rPr>
            </w:pPr>
            <w:r>
              <w:rPr>
                <w:rFonts w:ascii="Arial" w:cs="Arial" w:eastAsia="Arial" w:hAnsi="Arial"/>
                <w:sz w:val="18"/>
                <w:szCs w:val="18"/>
                <w:b w:val="1"/>
                <w:bCs w:val="1"/>
                <w:color w:val="auto"/>
              </w:rPr>
              <w:t>Securities Previously</w:t>
            </w:r>
          </w:p>
        </w:tc>
        <w:tc>
          <w:tcPr>
            <w:tcW w:w="40" w:type="dxa"/>
            <w:vAlign w:val="bottom"/>
          </w:tcPr>
          <w:p>
            <w:pPr>
              <w:spacing w:after="0"/>
              <w:rPr>
                <w:sz w:val="15"/>
                <w:szCs w:val="15"/>
                <w:color w:val="auto"/>
              </w:rPr>
            </w:pPr>
          </w:p>
        </w:tc>
        <w:tc>
          <w:tcPr>
            <w:tcW w:w="100" w:type="dxa"/>
            <w:vAlign w:val="bottom"/>
            <w:tcBorders>
              <w:left w:val="single" w:sz="8" w:color="9ADAF6"/>
              <w:right w:val="single" w:sz="8" w:color="9ADAF6"/>
            </w:tcBorders>
            <w:shd w:val="clear" w:color="auto" w:fill="9ADAF6"/>
          </w:tcPr>
          <w:p>
            <w:pPr>
              <w:spacing w:after="0"/>
              <w:rPr>
                <w:sz w:val="15"/>
                <w:szCs w:val="15"/>
                <w:color w:val="auto"/>
              </w:rPr>
            </w:pPr>
          </w:p>
        </w:tc>
        <w:tc>
          <w:tcPr>
            <w:tcW w:w="560" w:type="dxa"/>
            <w:vAlign w:val="bottom"/>
            <w:gridSpan w:val="3"/>
            <w:shd w:val="clear" w:color="auto" w:fill="9ADAF6"/>
          </w:tcPr>
          <w:p>
            <w:pPr>
              <w:jc w:val="center"/>
              <w:ind w:right="33"/>
              <w:spacing w:after="0" w:line="178" w:lineRule="exact"/>
              <w:rPr>
                <w:sz w:val="20"/>
                <w:szCs w:val="20"/>
                <w:color w:val="auto"/>
              </w:rPr>
            </w:pPr>
            <w:r>
              <w:rPr>
                <w:rFonts w:ascii="Arial" w:cs="Arial" w:eastAsia="Arial" w:hAnsi="Arial"/>
                <w:sz w:val="18"/>
                <w:szCs w:val="18"/>
                <w:b w:val="1"/>
                <w:bCs w:val="1"/>
                <w:color w:val="auto"/>
                <w:w w:val="95"/>
              </w:rPr>
              <w:t>Type</w:t>
            </w:r>
          </w:p>
        </w:tc>
        <w:tc>
          <w:tcPr>
            <w:tcW w:w="20" w:type="dxa"/>
            <w:vAlign w:val="bottom"/>
          </w:tcPr>
          <w:p>
            <w:pPr>
              <w:spacing w:after="0"/>
              <w:rPr>
                <w:sz w:val="15"/>
                <w:szCs w:val="15"/>
                <w:color w:val="auto"/>
              </w:rPr>
            </w:pPr>
          </w:p>
        </w:tc>
        <w:tc>
          <w:tcPr>
            <w:tcW w:w="1100" w:type="dxa"/>
            <w:vAlign w:val="bottom"/>
            <w:gridSpan w:val="4"/>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4"/>
            <w:vMerge w:val="continue"/>
            <w:shd w:val="clear" w:color="auto" w:fill="9ADAF6"/>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8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22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4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280" w:type="dxa"/>
            <w:vAlign w:val="bottom"/>
            <w:tcBorders>
              <w:bottom w:val="single" w:sz="8" w:color="9ADAF6"/>
            </w:tcBorders>
            <w:shd w:val="clear" w:color="auto" w:fill="9ADAF6"/>
          </w:tcPr>
          <w:p>
            <w:pPr>
              <w:spacing w:after="0"/>
              <w:rPr>
                <w:sz w:val="20"/>
                <w:szCs w:val="20"/>
                <w:color w:val="auto"/>
              </w:rPr>
            </w:pPr>
          </w:p>
        </w:tc>
        <w:tc>
          <w:tcPr>
            <w:tcW w:w="8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120" w:type="dxa"/>
            <w:vAlign w:val="bottom"/>
            <w:tcBorders>
              <w:bottom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56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76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2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6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260" w:type="dxa"/>
            <w:vAlign w:val="bottom"/>
            <w:tcBorders>
              <w:bottom w:val="single" w:sz="8" w:color="9ADAF6"/>
            </w:tcBorders>
            <w:gridSpan w:val="5"/>
            <w:shd w:val="clear" w:color="auto" w:fill="9ADAF6"/>
          </w:tcPr>
          <w:p>
            <w:pPr>
              <w:ind w:left="40"/>
              <w:spacing w:after="0"/>
              <w:rPr>
                <w:sz w:val="20"/>
                <w:szCs w:val="20"/>
                <w:color w:val="auto"/>
              </w:rPr>
            </w:pPr>
            <w:r>
              <w:rPr>
                <w:rFonts w:ascii="Arial" w:cs="Arial" w:eastAsia="Arial" w:hAnsi="Arial"/>
                <w:sz w:val="18"/>
                <w:szCs w:val="18"/>
                <w:b w:val="1"/>
                <w:bCs w:val="1"/>
                <w:color w:val="auto"/>
              </w:rPr>
              <w:t>Registered</w:t>
            </w:r>
          </w:p>
        </w:tc>
        <w:tc>
          <w:tcPr>
            <w:tcW w:w="40" w:type="dxa"/>
            <w:vAlign w:val="bottom"/>
          </w:tcPr>
          <w:p>
            <w:pPr>
              <w:spacing w:after="0"/>
              <w:rPr>
                <w:sz w:val="20"/>
                <w:szCs w:val="20"/>
                <w:color w:val="auto"/>
              </w:rPr>
            </w:pPr>
          </w:p>
        </w:tc>
        <w:tc>
          <w:tcPr>
            <w:tcW w:w="80" w:type="dxa"/>
            <w:vAlign w:val="bottom"/>
            <w:tcBorders>
              <w:left w:val="single" w:sz="8" w:color="9ADAF6"/>
              <w:bottom w:val="single" w:sz="8" w:color="9ADAF6"/>
            </w:tcBorders>
            <w:shd w:val="clear" w:color="auto" w:fill="9ADAF6"/>
          </w:tcPr>
          <w:p>
            <w:pPr>
              <w:spacing w:after="0"/>
              <w:rPr>
                <w:sz w:val="20"/>
                <w:szCs w:val="20"/>
                <w:color w:val="auto"/>
              </w:rPr>
            </w:pPr>
          </w:p>
        </w:tc>
        <w:tc>
          <w:tcPr>
            <w:tcW w:w="36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060" w:type="dxa"/>
            <w:vAlign w:val="bottom"/>
            <w:tcBorders>
              <w:bottom w:val="single" w:sz="8" w:color="9ADAF6"/>
            </w:tcBorders>
            <w:gridSpan w:val="4"/>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Registered</w:t>
            </w:r>
          </w:p>
        </w:tc>
        <w:tc>
          <w:tcPr>
            <w:tcW w:w="20" w:type="dxa"/>
            <w:vAlign w:val="bottom"/>
            <w:tcBorders>
              <w:bottom w:val="single" w:sz="8" w:color="9ADAF6"/>
            </w:tcBorders>
            <w:shd w:val="clear" w:color="auto" w:fill="9ADAF6"/>
          </w:tcPr>
          <w:p>
            <w:pPr>
              <w:spacing w:after="0"/>
              <w:rPr>
                <w:sz w:val="20"/>
                <w:szCs w:val="20"/>
                <w:color w:val="auto"/>
              </w:rPr>
            </w:pPr>
          </w:p>
        </w:tc>
        <w:tc>
          <w:tcPr>
            <w:tcW w:w="460" w:type="dxa"/>
            <w:vAlign w:val="bottom"/>
            <w:tcBorders>
              <w:bottom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left w:val="single" w:sz="8" w:color="9ADAF6"/>
              <w:bottom w:val="single" w:sz="8" w:color="9ADAF6"/>
              <w:right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40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74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tcBorders>
            <w:shd w:val="clear" w:color="auto" w:fill="9ADAF6"/>
          </w:tcPr>
          <w:p>
            <w:pPr>
              <w:spacing w:after="0"/>
              <w:rPr>
                <w:sz w:val="20"/>
                <w:szCs w:val="20"/>
                <w:color w:val="auto"/>
              </w:rPr>
            </w:pPr>
          </w:p>
        </w:tc>
        <w:tc>
          <w:tcPr>
            <w:tcW w:w="660" w:type="dxa"/>
            <w:vAlign w:val="bottom"/>
            <w:tcBorders>
              <w:bottom w:val="single" w:sz="8" w:color="9ADAF6"/>
            </w:tcBorders>
            <w:gridSpan w:val="2"/>
            <w:shd w:val="clear" w:color="auto" w:fill="9ADAF6"/>
          </w:tcPr>
          <w:p>
            <w:pPr>
              <w:jc w:val="center"/>
              <w:ind w:right="240"/>
              <w:spacing w:after="0" w:line="200" w:lineRule="exact"/>
              <w:rPr>
                <w:sz w:val="20"/>
                <w:szCs w:val="20"/>
                <w:color w:val="auto"/>
              </w:rPr>
            </w:pPr>
            <w:r>
              <w:rPr>
                <w:rFonts w:ascii="Arial" w:cs="Arial" w:eastAsia="Arial" w:hAnsi="Arial"/>
                <w:sz w:val="18"/>
                <w:szCs w:val="18"/>
                <w:b w:val="1"/>
                <w:bCs w:val="1"/>
                <w:color w:val="auto"/>
                <w:w w:val="97"/>
              </w:rPr>
              <w:t>Date</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960" w:type="dxa"/>
            <w:vAlign w:val="bottom"/>
            <w:gridSpan w:val="33"/>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 w:type="dxa"/>
            <w:vAlign w:val="bottom"/>
            <w:tcBorders>
              <w:lef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9"/>
                <w:szCs w:val="19"/>
                <w:color w:val="auto"/>
              </w:rPr>
            </w:pPr>
          </w:p>
        </w:tc>
        <w:tc>
          <w:tcPr>
            <w:tcW w:w="1560" w:type="dxa"/>
            <w:vAlign w:val="bottom"/>
            <w:tcBorders>
              <w:right w:val="single" w:sz="8" w:color="E7E7E2"/>
            </w:tcBorders>
            <w:gridSpan w:val="10"/>
            <w:shd w:val="clear" w:color="auto" w:fill="E7E7E2"/>
          </w:tcPr>
          <w:p>
            <w:pPr>
              <w:spacing w:after="0"/>
              <w:rPr>
                <w:sz w:val="20"/>
                <w:szCs w:val="20"/>
                <w:color w:val="auto"/>
              </w:rPr>
            </w:pPr>
            <w:r>
              <w:rPr>
                <w:rFonts w:ascii="Arial" w:cs="Arial" w:eastAsia="Arial" w:hAnsi="Arial"/>
                <w:sz w:val="18"/>
                <w:szCs w:val="18"/>
                <w:color w:val="auto"/>
              </w:rPr>
              <w:t>N/A</w:t>
            </w:r>
          </w:p>
        </w:tc>
        <w:tc>
          <w:tcPr>
            <w:tcW w:w="1720" w:type="dxa"/>
            <w:vAlign w:val="bottom"/>
            <w:tcBorders>
              <w:right w:val="single" w:sz="8" w:color="E7E7E2"/>
            </w:tcBorders>
            <w:gridSpan w:val="9"/>
          </w:tcPr>
          <w:p>
            <w:pPr>
              <w:spacing w:after="0"/>
              <w:rPr>
                <w:sz w:val="20"/>
                <w:szCs w:val="20"/>
                <w:color w:val="auto"/>
              </w:rPr>
            </w:pPr>
            <w:r>
              <w:rPr>
                <w:rFonts w:ascii="Arial" w:cs="Arial" w:eastAsia="Arial" w:hAnsi="Arial"/>
                <w:sz w:val="18"/>
                <w:szCs w:val="18"/>
                <w:color w:val="auto"/>
              </w:rPr>
              <w:t>N/A</w:t>
            </w:r>
          </w:p>
        </w:tc>
        <w:tc>
          <w:tcPr>
            <w:tcW w:w="1400" w:type="dxa"/>
            <w:vAlign w:val="bottom"/>
            <w:tcBorders>
              <w:right w:val="single" w:sz="8" w:color="E7E7E2"/>
            </w:tcBorders>
            <w:gridSpan w:val="8"/>
            <w:shd w:val="clear" w:color="auto" w:fill="E7E7E2"/>
          </w:tcPr>
          <w:p>
            <w:pPr>
              <w:spacing w:after="0"/>
              <w:rPr>
                <w:sz w:val="19"/>
                <w:szCs w:val="19"/>
                <w:color w:val="auto"/>
              </w:rPr>
            </w:pPr>
          </w:p>
        </w:tc>
        <w:tc>
          <w:tcPr>
            <w:tcW w:w="1280" w:type="dxa"/>
            <w:vAlign w:val="bottom"/>
            <w:gridSpan w:val="6"/>
            <w:shd w:val="clear" w:color="auto" w:fill="E7E7E2"/>
          </w:tcPr>
          <w:p>
            <w:pPr>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9"/>
                <w:szCs w:val="19"/>
                <w:color w:val="auto"/>
              </w:rPr>
            </w:pPr>
          </w:p>
        </w:tc>
        <w:tc>
          <w:tcPr>
            <w:tcW w:w="2000" w:type="dxa"/>
            <w:vAlign w:val="bottom"/>
            <w:tcBorders>
              <w:left w:val="single" w:sz="8" w:color="E7E7E2"/>
            </w:tcBorders>
            <w:gridSpan w:val="9"/>
            <w:shd w:val="clear" w:color="auto" w:fill="E7E7E2"/>
          </w:tcPr>
          <w:p>
            <w:pPr>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9"/>
                <w:szCs w:val="19"/>
                <w:color w:val="auto"/>
              </w:rPr>
            </w:pPr>
          </w:p>
        </w:tc>
        <w:tc>
          <w:tcPr>
            <w:tcW w:w="100" w:type="dxa"/>
            <w:vAlign w:val="bottom"/>
            <w:tcBorders>
              <w:left w:val="single" w:sz="8" w:color="E7E7E2"/>
              <w:right w:val="single" w:sz="8" w:color="E7E7E2"/>
            </w:tcBorders>
            <w:shd w:val="clear" w:color="auto" w:fill="E7E7E2"/>
          </w:tcPr>
          <w:p>
            <w:pPr>
              <w:spacing w:after="0"/>
              <w:rPr>
                <w:sz w:val="19"/>
                <w:szCs w:val="19"/>
                <w:color w:val="auto"/>
              </w:rPr>
            </w:pPr>
          </w:p>
        </w:tc>
        <w:tc>
          <w:tcPr>
            <w:tcW w:w="940" w:type="dxa"/>
            <w:vAlign w:val="bottom"/>
            <w:gridSpan w:val="7"/>
            <w:shd w:val="clear" w:color="auto" w:fill="E7E7E2"/>
          </w:tcPr>
          <w:p>
            <w:pPr>
              <w:jc w:val="center"/>
              <w:ind w:right="391"/>
              <w:spacing w:after="0"/>
              <w:rPr>
                <w:sz w:val="20"/>
                <w:szCs w:val="20"/>
                <w:color w:val="auto"/>
              </w:rPr>
            </w:pPr>
            <w:r>
              <w:rPr>
                <w:rFonts w:ascii="Arial" w:cs="Arial" w:eastAsia="Arial" w:hAnsi="Arial"/>
                <w:sz w:val="18"/>
                <w:szCs w:val="18"/>
                <w:color w:val="auto"/>
                <w:w w:val="99"/>
              </w:rPr>
              <w:t>N/A</w:t>
            </w:r>
          </w:p>
        </w:tc>
        <w:tc>
          <w:tcPr>
            <w:tcW w:w="740" w:type="dxa"/>
            <w:vAlign w:val="bottom"/>
            <w:shd w:val="clear" w:color="auto" w:fill="E7E7E2"/>
          </w:tcPr>
          <w:p>
            <w:pPr>
              <w:ind w:left="4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9"/>
                <w:szCs w:val="19"/>
                <w:color w:val="auto"/>
              </w:rPr>
            </w:pPr>
          </w:p>
        </w:tc>
        <w:tc>
          <w:tcPr>
            <w:tcW w:w="900" w:type="dxa"/>
            <w:vAlign w:val="bottom"/>
            <w:gridSpan w:val="4"/>
            <w:shd w:val="clear" w:color="auto" w:fill="E7E7E2"/>
          </w:tcPr>
          <w:p>
            <w:pPr>
              <w:spacing w:after="0"/>
              <w:rPr>
                <w:sz w:val="20"/>
                <w:szCs w:val="20"/>
                <w:color w:val="auto"/>
              </w:rPr>
            </w:pPr>
            <w:r>
              <w:rPr>
                <w:rFonts w:ascii="Arial" w:cs="Arial" w:eastAsia="Arial" w:hAnsi="Arial"/>
                <w:sz w:val="18"/>
                <w:szCs w:val="18"/>
                <w:color w:val="auto"/>
              </w:rPr>
              <w:t>N/A</w:t>
            </w:r>
          </w:p>
        </w:tc>
        <w:tc>
          <w:tcPr>
            <w:tcW w:w="1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360" w:type="dxa"/>
            <w:vAlign w:val="bottom"/>
            <w:tcBorders>
              <w:left w:val="single" w:sz="8" w:color="auto"/>
              <w:bottom w:val="single" w:sz="8" w:color="auto"/>
              <w:right w:val="single" w:sz="8" w:color="auto"/>
            </w:tcBorders>
            <w:gridSpan w:val="6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Narrative Disclosure</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maximum aggregate offering price of the securities to which the prospectus relates is $400,000,000.00. The prospectus is a final</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prospectus for the related offering.</w:t>
      </w: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1)"/>
      <w:numFmt w:val="lowerRoman"/>
      <w:start w:val="2"/>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lowerRoman"/>
      <w:start w:val="2"/>
    </w:lvl>
  </w:abstractNum>
  <w:abstractNum w:abstractNumId="16">
    <w:nsid w:val="8138641"/>
    <w:multiLevelType w:val="hybridMultilevel"/>
    <w:lvl w:ilvl="0">
      <w:lvlJc w:val="left"/>
      <w:lvlText w:val="%1."/>
      <w:numFmt w:val="lowerRoman"/>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lowerRoman"/>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lowerRoman"/>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lowerRoman"/>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jpe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jpe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61" Type="http://schemas.openxmlformats.org/officeDocument/2006/relationships/hyperlink" Target="http://www.sec.gov/ix?doc=/Archives/edgar/data/0001832038/000095017025042332/ivvd-20241231.htm" TargetMode="External"/><Relationship Id="rId62" Type="http://schemas.openxmlformats.org/officeDocument/2006/relationships/hyperlink" Target="http://www.sec.gov/ix?doc=/Archives/edgar/data/0001832038/000095017025051587/ivvd-20250407.htm" TargetMode="External"/><Relationship Id="rId63" Type="http://schemas.openxmlformats.org/officeDocument/2006/relationships/hyperlink" Target="http://www.sec.gov/ix?doc=/Archives/edgar/data/0001832038/000095017025071974/ivvd-20250331.htm" TargetMode="External"/><Relationship Id="rId64" Type="http://schemas.openxmlformats.org/officeDocument/2006/relationships/hyperlink" Target="http://www.sec.gov/ix?doc=/Archives/edgar/data/1832038/000095017025109029/ivvd-20250630.htm" TargetMode="External"/><Relationship Id="rId65" Type="http://schemas.openxmlformats.org/officeDocument/2006/relationships/hyperlink" Target="http://www.sec.gov/ix?doc=/Archives/edgar/data/1832038/000119312525268076/ivvd-20250930.htm" TargetMode="External"/><Relationship Id="rId66" Type="http://schemas.openxmlformats.org/officeDocument/2006/relationships/hyperlink" Target="http://www.sec.gov/ix?doc=/Archives/edgar/data/0001832038/000095017025003781/ivvd-20250110.htm" TargetMode="External"/><Relationship Id="rId67" Type="http://schemas.openxmlformats.org/officeDocument/2006/relationships/hyperlink" Target="http://www.sec.gov/ix?doc=/Archives/edgar/data/0001832038/000095017025008995/ivvd-20250127.htm" TargetMode="External"/><Relationship Id="rId68" Type="http://schemas.openxmlformats.org/officeDocument/2006/relationships/hyperlink" Target="http://www.sec.gov/ix?doc=/Archives/edgar/data/0001832038/000095017025012018/ivvd-20250203.htm" TargetMode="External"/><Relationship Id="rId69" Type="http://schemas.openxmlformats.org/officeDocument/2006/relationships/hyperlink" Target="http://www.sec.gov/ix?doc=/Archives/edgar/data/0001832038/000095017025025227/ivvd-20250221.htm" TargetMode="External"/><Relationship Id="rId70" Type="http://schemas.openxmlformats.org/officeDocument/2006/relationships/hyperlink" Target="http://www.sec.gov/ix?doc=/Archives/edgar/data/0001832038/000095017025033068/ivvd-20250305.htm" TargetMode="External"/><Relationship Id="rId71" Type="http://schemas.openxmlformats.org/officeDocument/2006/relationships/hyperlink" Target="http://www.sec.gov/ix?doc=/Archives/edgar/data/0001832038/000095017025045302/ivvd-20250322.htm" TargetMode="External"/><Relationship Id="rId72" Type="http://schemas.openxmlformats.org/officeDocument/2006/relationships/hyperlink" Target="http://www.sec.gov/ix?doc=/Archives/edgar/data/0001832038/000095017025056005/ivvd-20250418.htm" TargetMode="External"/><Relationship Id="rId73" Type="http://schemas.openxmlformats.org/officeDocument/2006/relationships/hyperlink" Target="http://www.sec.gov/ix?doc=/Archives/edgar/data/0001832038/000095017025058705/ivvd-20250421.htm" TargetMode="External"/><Relationship Id="rId74" Type="http://schemas.openxmlformats.org/officeDocument/2006/relationships/hyperlink" Target="http://www.sec.gov/ix?doc=/Archives/edgar/data/0001832038/000095017025068543/ivvd-20250512.htm" TargetMode="External"/><Relationship Id="rId75" Type="http://schemas.openxmlformats.org/officeDocument/2006/relationships/hyperlink" Target="http://www.sec.gov/ix?doc=/Archives/edgar/data/0001832038/000119312525120261/d66861d8k.htm" TargetMode="External"/><Relationship Id="rId76" Type="http://schemas.openxmlformats.org/officeDocument/2006/relationships/hyperlink" Target="http://www.sec.gov/ix?doc=/Archives/edgar/data/0001832038/000095017025075199/ivvd-20250520.htm" TargetMode="External"/><Relationship Id="rId77" Type="http://schemas.openxmlformats.org/officeDocument/2006/relationships/hyperlink" Target="http://www.sec.gov/ix?doc=/Archives/edgar/data/0001832038/000095017025090172/ivvd-20250626.htm" TargetMode="External"/><Relationship Id="rId78" Type="http://schemas.openxmlformats.org/officeDocument/2006/relationships/hyperlink" Target="http://www.sec.gov/ix?doc=/Archives/edgar/data/0001832038/000095017025092528/ivvd-20250702.htm" TargetMode="External"/><Relationship Id="rId79" Type="http://schemas.openxmlformats.org/officeDocument/2006/relationships/hyperlink" Target="http://www.sec.gov/ix?doc=/Archives/edgar/data/0001832038/000119312525180890/d936404d8k.htm" TargetMode="External"/><Relationship Id="rId80" Type="http://schemas.openxmlformats.org/officeDocument/2006/relationships/hyperlink" Target="http://www.sec.gov/ix?doc=/Archives/edgar/data/0001832038/000095017025110952/ivvd-20250820.htm" TargetMode="External"/><Relationship Id="rId81" Type="http://schemas.openxmlformats.org/officeDocument/2006/relationships/hyperlink" Target="http://www.sec.gov/ix?doc=/Archives/edgar/data/0001832038/000119312525215541/ivvd-20250922.htm" TargetMode="External"/><Relationship Id="rId82" Type="http://schemas.openxmlformats.org/officeDocument/2006/relationships/hyperlink" Target="http://www.sec.gov/ix?doc=/Archives/edgar/data/0001832038/000119312525230898/ivvd-20251006.htm" TargetMode="External"/><Relationship Id="rId83" Type="http://schemas.openxmlformats.org/officeDocument/2006/relationships/hyperlink" Target="http://www.sec.gov/ix?doc=/Archives/edgar/data/0001832038/000119312525258526/d24723d8k.htm" TargetMode="External"/><Relationship Id="rId84" Type="http://schemas.openxmlformats.org/officeDocument/2006/relationships/hyperlink" Target="http://www.sec.gov/ix?doc=/Archives/edgar/data/0001832038/000119312525268057/d81968d8k.htm" TargetMode="External"/><Relationship Id="rId85" Type="http://schemas.openxmlformats.org/officeDocument/2006/relationships/hyperlink" Target="http://www.sec.gov/Archives/edgar/data/1832038/000119312521233921/d109461d8a12b.htm" TargetMode="External"/><Relationship Id="rId86" Type="http://schemas.openxmlformats.org/officeDocument/2006/relationships/hyperlink" Target="http://www.sec.gov/Archives/edgar/data/1832038/000095017024037610/ivvd-ex4_2.htm" TargetMode="External"/><Relationship Id="rId122" Type="http://schemas.openxmlformats.org/officeDocument/2006/relationships/hyperlink" Target="http://www.sec.gov/ix?doc=/Archives/edgar/data/1832038/000095017022005112/adgi-20211231.htm" TargetMode="External"/><Relationship Id="rId123" Type="http://schemas.openxmlformats.org/officeDocument/2006/relationships/hyperlink" Target="http://www.sec.gov/ix?doc=/Archives/edgar/data/1832038/000119312522134035/d304392d10ka.htm" TargetMode="External"/><Relationship Id="rId124" Type="http://schemas.openxmlformats.org/officeDocument/2006/relationships/hyperlink" Target="http://www.sec.gov/ix?doc=/Archives/edgar/data/1832038/000095017022009799/adgi-20220331.htm" TargetMode="External"/><Relationship Id="rId125" Type="http://schemas.openxmlformats.org/officeDocument/2006/relationships/hyperlink" Target="http://www.sec.gov/ix?doc=/Archives/edgar/data/1832038/000095017022017242/adgi-20220630.htm" TargetMode="External"/><Relationship Id="rId126" Type="http://schemas.openxmlformats.org/officeDocument/2006/relationships/hyperlink" Target="http://www.sec.gov/ix?doc=/Archives/edgar/data/1832038/000119312522008197/d277827d8k.htm" TargetMode="External"/><Relationship Id="rId127" Type="http://schemas.openxmlformats.org/officeDocument/2006/relationships/hyperlink" Target="http://www.sec.gov/ix?doc=/Archives/edgar/data/1832038/000119312522079997/d285779d8ka.htm" TargetMode="External"/><Relationship Id="rId128" Type="http://schemas.openxmlformats.org/officeDocument/2006/relationships/hyperlink" Target="http://www.sec.gov/ix?doc=/Archives/edgar/data/1832038/000119312522242433/d382910d8k.htm" TargetMode="External"/><Relationship Id="rId129" Type="http://schemas.openxmlformats.org/officeDocument/2006/relationships/hyperlink" Target="http://www.sec.gov/ix?doc=/Archives/edgar/data/1832038/000119312522243285/d388436d8k.htm" TargetMode="External"/><Relationship Id="rId130" Type="http://schemas.openxmlformats.org/officeDocument/2006/relationships/hyperlink" Target="http://www.sec.gov/Archives/edgar/data/1832038/000095017022005112/adgi-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2025-11-19T05:13:06Z</dcterms:created>
  <dcterms:modified xsi:type="dcterms:W3CDTF">2025-11-19T05:13:06Z</dcterms:modified>
</cp:coreProperties>
</file>