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424815</wp:posOffset>
            </wp:positionH>
            <wp:positionV relativeFrom="page">
              <wp:posOffset>487045</wp:posOffset>
            </wp:positionV>
            <wp:extent cx="6922770"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2770" cy="55880"/>
                    </a:xfrm>
                    <a:prstGeom prst="rect">
                      <a:avLst/>
                    </a:prstGeom>
                    <a:noFill/>
                  </pic:spPr>
                </pic:pic>
              </a:graphicData>
            </a:graphic>
          </wp:anchor>
        </w:drawing>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2722880</wp:posOffset>
                </wp:positionH>
                <wp:positionV relativeFrom="paragraph">
                  <wp:posOffset>62865</wp:posOffset>
                </wp:positionV>
                <wp:extent cx="141160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160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pt,4.95pt" to="325.55pt,4.95pt" o:allowincell="f" strokecolor="#000000" strokeweight="1.2pt"/>
            </w:pict>
          </mc:Fallback>
        </mc:AlternateConten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2722880</wp:posOffset>
                </wp:positionH>
                <wp:positionV relativeFrom="paragraph">
                  <wp:posOffset>63500</wp:posOffset>
                </wp:positionV>
                <wp:extent cx="141160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160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pt,5pt" to="325.55pt,5pt" o:allowincell="f" strokecolor="#000000" strokeweight="1.08pt"/>
            </w:pict>
          </mc:Fallback>
        </mc:AlternateContent>
      </w:r>
    </w:p>
    <w:p>
      <w:pPr>
        <w:spacing w:after="0" w:line="15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106045" cy="109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106045" cy="109220"/>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106045" cy="107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106045" cy="107950"/>
                    </a:xfrm>
                    <a:prstGeom prst="rect">
                      <a:avLst/>
                    </a:prstGeom>
                    <a:noFill/>
                  </pic:spPr>
                </pic:pic>
              </a:graphicData>
            </a:graphic>
          </wp:anchor>
        </w:drawing>
      </w:r>
    </w:p>
    <w:p>
      <w:pPr>
        <w:ind w:left="440"/>
        <w:spacing w:after="0"/>
        <w:tabs>
          <w:tab w:leader="none" w:pos="390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001-40703</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2722880</wp:posOffset>
                </wp:positionH>
                <wp:positionV relativeFrom="paragraph">
                  <wp:posOffset>62865</wp:posOffset>
                </wp:positionV>
                <wp:extent cx="141160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1605"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pt,4.95pt" to="325.55pt,4.95pt" o:allowincell="f" strokecolor="#000000" strokeweight="1.2pt"/>
            </w:pict>
          </mc:Fallback>
        </mc:AlternateConten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INVIVYD, INC.</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2722880</wp:posOffset>
                </wp:positionH>
                <wp:positionV relativeFrom="paragraph">
                  <wp:posOffset>62865</wp:posOffset>
                </wp:positionV>
                <wp:extent cx="141160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1605"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pt,4.95pt" to="325.55pt,4.95pt" o:allowincell="f" strokecolor="#000000" strokeweight="1.08pt"/>
            </w:pict>
          </mc:Fallback>
        </mc:AlternateContent>
      </w:r>
    </w:p>
    <w:p>
      <w:pPr>
        <w:sectPr>
          <w:pgSz w:w="12240" w:h="15840" w:orient="portrait"/>
          <w:cols w:equalWidth="0" w:num="1">
            <w:col w:w="10800"/>
          </w:cols>
          <w:pgMar w:left="720" w:top="945" w:right="720" w:bottom="404" w:gutter="0" w:footer="0" w:header="0"/>
        </w:sectPr>
      </w:pPr>
    </w:p>
    <w:p>
      <w:pPr>
        <w:spacing w:after="0" w:line="177" w:lineRule="exact"/>
        <w:rPr>
          <w:sz w:val="24"/>
          <w:szCs w:val="24"/>
          <w:color w:val="auto"/>
        </w:rPr>
      </w:pPr>
    </w:p>
    <w:p>
      <w:pPr>
        <w:jc w:val="center"/>
        <w:ind w:right="1440"/>
        <w:spacing w:after="0"/>
        <w:rPr>
          <w:sz w:val="20"/>
          <w:szCs w:val="20"/>
          <w:color w:val="auto"/>
        </w:rPr>
      </w:pPr>
      <w:r>
        <w:rPr>
          <w:rFonts w:ascii="Arial" w:cs="Arial" w:eastAsia="Arial" w:hAnsi="Arial"/>
          <w:sz w:val="20"/>
          <w:szCs w:val="20"/>
          <w:b w:val="1"/>
          <w:bCs w:val="1"/>
          <w:color w:val="auto"/>
        </w:rPr>
        <w:t>Delaware</w:t>
      </w:r>
    </w:p>
    <w:p>
      <w:pPr>
        <w:spacing w:after="0" w:line="7" w:lineRule="exact"/>
        <w:rPr>
          <w:sz w:val="24"/>
          <w:szCs w:val="24"/>
          <w:color w:val="auto"/>
        </w:rPr>
      </w:pPr>
    </w:p>
    <w:p>
      <w:pPr>
        <w:ind w:left="1820"/>
        <w:spacing w:after="0"/>
        <w:rPr>
          <w:sz w:val="20"/>
          <w:szCs w:val="20"/>
          <w:color w:val="auto"/>
        </w:rPr>
      </w:pPr>
      <w:r>
        <w:rPr>
          <w:rFonts w:ascii="Arial" w:cs="Arial" w:eastAsia="Arial" w:hAnsi="Arial"/>
          <w:sz w:val="12"/>
          <w:szCs w:val="12"/>
          <w:b w:val="1"/>
          <w:bCs w:val="1"/>
          <w:color w:val="auto"/>
        </w:rPr>
        <w:t>(State or other jurisdiction of</w:t>
      </w:r>
    </w:p>
    <w:p>
      <w:pPr>
        <w:spacing w:after="0" w:line="23" w:lineRule="exact"/>
        <w:rPr>
          <w:sz w:val="24"/>
          <w:szCs w:val="24"/>
          <w:color w:val="auto"/>
        </w:rPr>
      </w:pPr>
    </w:p>
    <w:p>
      <w:pPr>
        <w:ind w:left="17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ind w:left="60"/>
        <w:spacing w:after="0"/>
        <w:rPr>
          <w:sz w:val="20"/>
          <w:szCs w:val="20"/>
          <w:color w:val="auto"/>
        </w:rPr>
      </w:pPr>
      <w:r>
        <w:rPr>
          <w:rFonts w:ascii="Arial" w:cs="Arial" w:eastAsia="Arial" w:hAnsi="Arial"/>
          <w:sz w:val="19"/>
          <w:szCs w:val="19"/>
          <w:b w:val="1"/>
          <w:bCs w:val="1"/>
          <w:color w:val="auto"/>
        </w:rPr>
        <w:t>85-1403134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3" w:lineRule="exact"/>
        <w:rPr>
          <w:sz w:val="24"/>
          <w:szCs w:val="24"/>
          <w:color w:val="auto"/>
        </w:rPr>
      </w:pPr>
    </w:p>
    <w:p>
      <w:pPr>
        <w:sectPr>
          <w:pgSz w:w="12240" w:h="15840" w:orient="portrait"/>
          <w:cols w:equalWidth="0" w:num="2">
            <w:col w:w="6820" w:space="720"/>
            <w:col w:w="3260"/>
          </w:cols>
          <w:pgMar w:left="720" w:top="945" w:right="720" w:bottom="404" w:gutter="0" w:footer="0" w:header="0"/>
          <w:type w:val="continuous"/>
        </w:sectPr>
      </w:pPr>
    </w:p>
    <w:tbl>
      <w:tblPr>
        <w:tblLayout w:type="fixed"/>
        <w:tblInd w:w="1440" w:type="dxa"/>
        <w:tblCellMar>
          <w:top w:w="0" w:type="dxa"/>
          <w:left w:w="0" w:type="dxa"/>
          <w:bottom w:w="0" w:type="dxa"/>
          <w:right w:w="0" w:type="dxa"/>
        </w:tblCellMar>
      </w:tblPr>
      <w:tr>
        <w:trPr>
          <w:trHeight w:val="230"/>
        </w:trPr>
        <w:tc>
          <w:tcPr>
            <w:tcW w:w="4420" w:type="dxa"/>
            <w:vAlign w:val="bottom"/>
          </w:tcPr>
          <w:p>
            <w:pPr>
              <w:jc w:val="center"/>
              <w:ind w:right="1810"/>
              <w:spacing w:after="0"/>
              <w:rPr>
                <w:sz w:val="20"/>
                <w:szCs w:val="20"/>
                <w:color w:val="auto"/>
              </w:rPr>
            </w:pPr>
            <w:r>
              <w:rPr>
                <w:rFonts w:ascii="Arial" w:cs="Arial" w:eastAsia="Arial" w:hAnsi="Arial"/>
                <w:sz w:val="20"/>
                <w:szCs w:val="20"/>
                <w:b w:val="1"/>
                <w:bCs w:val="1"/>
                <w:color w:val="auto"/>
                <w:w w:val="91"/>
              </w:rPr>
              <w:t>1601 Trapelo Road, Suite 178</w:t>
            </w:r>
          </w:p>
        </w:tc>
        <w:tc>
          <w:tcPr>
            <w:tcW w:w="2560" w:type="dxa"/>
            <w:vAlign w:val="bottom"/>
          </w:tcPr>
          <w:p>
            <w:pPr>
              <w:spacing w:after="0"/>
              <w:rPr>
                <w:sz w:val="19"/>
                <w:szCs w:val="19"/>
                <w:color w:val="auto"/>
              </w:rPr>
            </w:pPr>
          </w:p>
        </w:tc>
      </w:tr>
      <w:tr>
        <w:trPr>
          <w:trHeight w:val="259"/>
        </w:trPr>
        <w:tc>
          <w:tcPr>
            <w:tcW w:w="4420" w:type="dxa"/>
            <w:vAlign w:val="bottom"/>
          </w:tcPr>
          <w:p>
            <w:pPr>
              <w:jc w:val="center"/>
              <w:ind w:right="1830"/>
              <w:spacing w:after="0"/>
              <w:rPr>
                <w:sz w:val="20"/>
                <w:szCs w:val="20"/>
                <w:color w:val="auto"/>
              </w:rPr>
            </w:pPr>
            <w:r>
              <w:rPr>
                <w:rFonts w:ascii="Arial" w:cs="Arial" w:eastAsia="Arial" w:hAnsi="Arial"/>
                <w:sz w:val="20"/>
                <w:szCs w:val="20"/>
                <w:b w:val="1"/>
                <w:bCs w:val="1"/>
                <w:color w:val="auto"/>
                <w:w w:val="97"/>
              </w:rPr>
              <w:t>Waltham, MA</w:t>
            </w:r>
          </w:p>
        </w:tc>
        <w:tc>
          <w:tcPr>
            <w:tcW w:w="2560" w:type="dxa"/>
            <w:vAlign w:val="bottom"/>
          </w:tcPr>
          <w:p>
            <w:pPr>
              <w:jc w:val="right"/>
              <w:spacing w:after="0"/>
              <w:rPr>
                <w:sz w:val="20"/>
                <w:szCs w:val="20"/>
                <w:color w:val="auto"/>
              </w:rPr>
            </w:pPr>
            <w:r>
              <w:rPr>
                <w:rFonts w:ascii="Arial" w:cs="Arial" w:eastAsia="Arial" w:hAnsi="Arial"/>
                <w:sz w:val="20"/>
                <w:szCs w:val="20"/>
                <w:b w:val="1"/>
                <w:bCs w:val="1"/>
                <w:color w:val="auto"/>
              </w:rPr>
              <w:t>02451</w:t>
            </w:r>
          </w:p>
        </w:tc>
      </w:tr>
      <w:tr>
        <w:trPr>
          <w:trHeight w:val="163"/>
        </w:trPr>
        <w:tc>
          <w:tcPr>
            <w:tcW w:w="4420" w:type="dxa"/>
            <w:vAlign w:val="bottom"/>
          </w:tcPr>
          <w:p>
            <w:pPr>
              <w:jc w:val="center"/>
              <w:ind w:right="1810"/>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560" w:type="dxa"/>
            <w:vAlign w:val="bottom"/>
          </w:tcPr>
          <w:p>
            <w:pPr>
              <w:jc w:val="center"/>
              <w:ind w:left="1815"/>
              <w:spacing w:after="0"/>
              <w:rPr>
                <w:sz w:val="20"/>
                <w:szCs w:val="20"/>
                <w:color w:val="auto"/>
              </w:rPr>
            </w:pPr>
            <w:r>
              <w:rPr>
                <w:rFonts w:ascii="Arial" w:cs="Arial" w:eastAsia="Arial" w:hAnsi="Arial"/>
                <w:sz w:val="14"/>
                <w:szCs w:val="14"/>
                <w:b w:val="1"/>
                <w:bCs w:val="1"/>
                <w:color w:val="auto"/>
                <w:w w:val="95"/>
              </w:rPr>
              <w:t>(Zip Code)</w:t>
            </w:r>
          </w:p>
        </w:tc>
      </w:tr>
    </w:tbl>
    <w:p>
      <w:pPr>
        <w:spacing w:after="0" w:line="60"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2722880</wp:posOffset>
                </wp:positionH>
                <wp:positionV relativeFrom="paragraph">
                  <wp:posOffset>62230</wp:posOffset>
                </wp:positionV>
                <wp:extent cx="141160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11605"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4pt,4.9pt" to="325.55pt,4.9pt" o:allowincell="f" strokecolor="#000000" strokeweight="1.1999pt"/>
            </w:pict>
          </mc:Fallback>
        </mc:AlternateContent>
      </w:r>
    </w:p>
    <w:p>
      <w:pPr>
        <w:spacing w:after="0" w:line="14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5"/>
              </w:rPr>
              <w:t>Trading</w:t>
            </w: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83"/>
        </w:trPr>
        <w:tc>
          <w:tcPr>
            <w:tcW w:w="4100" w:type="dxa"/>
            <w:vAlign w:val="bottom"/>
            <w:tcBorders>
              <w:bottom w:val="single" w:sz="8" w:color="auto"/>
            </w:tcBorders>
          </w:tcPr>
          <w:p>
            <w:pPr>
              <w:ind w:left="1440"/>
              <w:spacing w:after="0" w:line="182" w:lineRule="exact"/>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7"/>
              </w:rPr>
              <w:t>Symbol(s)</w:t>
            </w:r>
          </w:p>
        </w:tc>
        <w:tc>
          <w:tcPr>
            <w:tcW w:w="100" w:type="dxa"/>
            <w:vAlign w:val="bottom"/>
          </w:tcPr>
          <w:p>
            <w:pPr>
              <w:spacing w:after="0"/>
              <w:rPr>
                <w:sz w:val="15"/>
                <w:szCs w:val="15"/>
                <w:color w:val="auto"/>
              </w:rPr>
            </w:pPr>
          </w:p>
        </w:tc>
        <w:tc>
          <w:tcPr>
            <w:tcW w:w="4860" w:type="dxa"/>
            <w:vAlign w:val="bottom"/>
            <w:tcBorders>
              <w:bottom w:val="single" w:sz="8" w:color="auto"/>
            </w:tcBorders>
            <w:gridSpan w:val="2"/>
          </w:tcPr>
          <w:p>
            <w:pPr>
              <w:jc w:val="center"/>
              <w:spacing w:after="0" w:line="182" w:lineRule="exact"/>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74"/>
        </w:trPr>
        <w:tc>
          <w:tcPr>
            <w:tcW w:w="4100" w:type="dxa"/>
            <w:vAlign w:val="bottom"/>
          </w:tcPr>
          <w:p>
            <w:pPr>
              <w:spacing w:after="0" w:line="175" w:lineRule="exact"/>
              <w:rPr>
                <w:sz w:val="20"/>
                <w:szCs w:val="20"/>
                <w:color w:val="auto"/>
              </w:rPr>
            </w:pPr>
            <w:r>
              <w:rPr>
                <w:rFonts w:ascii="Arial" w:cs="Arial" w:eastAsia="Arial" w:hAnsi="Arial"/>
                <w:sz w:val="16"/>
                <w:szCs w:val="16"/>
                <w:b w:val="1"/>
                <w:bCs w:val="1"/>
                <w:color w:val="auto"/>
              </w:rPr>
              <w:t>Common Stock, $0.0001 par value per share</w:t>
            </w:r>
          </w:p>
        </w:tc>
        <w:tc>
          <w:tcPr>
            <w:tcW w:w="120" w:type="dxa"/>
            <w:vAlign w:val="bottom"/>
          </w:tcPr>
          <w:p>
            <w:pPr>
              <w:spacing w:after="0"/>
              <w:rPr>
                <w:sz w:val="15"/>
                <w:szCs w:val="15"/>
                <w:color w:val="auto"/>
              </w:rPr>
            </w:pPr>
          </w:p>
        </w:tc>
        <w:tc>
          <w:tcPr>
            <w:tcW w:w="16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IVVD</w:t>
            </w:r>
          </w:p>
        </w:tc>
        <w:tc>
          <w:tcPr>
            <w:tcW w:w="100" w:type="dxa"/>
            <w:vAlign w:val="bottom"/>
          </w:tcPr>
          <w:p>
            <w:pPr>
              <w:spacing w:after="0"/>
              <w:rPr>
                <w:sz w:val="15"/>
                <w:szCs w:val="15"/>
                <w:color w:val="auto"/>
              </w:rPr>
            </w:pPr>
          </w:p>
        </w:tc>
        <w:tc>
          <w:tcPr>
            <w:tcW w:w="486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auto"/>
                <w:w w:val="86"/>
              </w:rPr>
              <w:t>The Nasdaq Global Market</w:t>
            </w:r>
          </w:p>
        </w:tc>
      </w:tr>
      <w:tr>
        <w:trPr>
          <w:trHeight w:val="245"/>
        </w:trPr>
        <w:tc>
          <w:tcPr>
            <w:tcW w:w="4100" w:type="dxa"/>
            <w:vAlign w:val="bottom"/>
          </w:tcPr>
          <w:p>
            <w:pPr>
              <w:spacing w:after="0"/>
              <w:rPr>
                <w:sz w:val="20"/>
                <w:szCs w:val="20"/>
                <w:color w:val="auto"/>
              </w:rPr>
            </w:pPr>
            <w:r>
              <w:rPr>
                <w:rFonts w:ascii="Arial" w:cs="Arial" w:eastAsia="Arial" w:hAnsi="Arial"/>
                <w:sz w:val="16"/>
                <w:szCs w:val="16"/>
                <w:b w:val="1"/>
                <w:bCs w:val="1"/>
                <w:color w:val="auto"/>
                <w:w w:val="84"/>
              </w:rPr>
              <w:t>Securities registered pursuant to Section 12(g) of the Act: None</w:t>
            </w: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720" w:type="dxa"/>
            <w:vAlign w:val="bottom"/>
          </w:tcPr>
          <w:p>
            <w:pPr>
              <w:spacing w:after="0"/>
              <w:rPr>
                <w:sz w:val="21"/>
                <w:szCs w:val="21"/>
                <w:color w:val="auto"/>
              </w:rPr>
            </w:pPr>
          </w:p>
        </w:tc>
      </w:tr>
      <w:tr>
        <w:trPr>
          <w:trHeight w:val="242"/>
        </w:trPr>
        <w:tc>
          <w:tcPr>
            <w:tcW w:w="8080" w:type="dxa"/>
            <w:vAlign w:val="bottom"/>
            <w:gridSpan w:val="5"/>
          </w:tcPr>
          <w:p>
            <w:pPr>
              <w:spacing w:after="0"/>
              <w:rPr>
                <w:sz w:val="20"/>
                <w:szCs w:val="20"/>
                <w:color w:val="auto"/>
              </w:rPr>
            </w:pPr>
            <w:r>
              <w:rPr>
                <w:rFonts w:ascii="Arial" w:cs="Arial" w:eastAsia="Arial" w:hAnsi="Arial"/>
                <w:sz w:val="16"/>
                <w:szCs w:val="16"/>
                <w:b w:val="1"/>
                <w:bCs w:val="1"/>
                <w:color w:val="auto"/>
                <w:w w:val="87"/>
              </w:rPr>
              <w:t>Indicate by check mark if the registrant is a well-known seasoned issuer, as defined in Rule 405 of the Securities Act. Yes</w:t>
            </w:r>
          </w:p>
        </w:tc>
        <w:tc>
          <w:tcPr>
            <w:tcW w:w="2720" w:type="dxa"/>
            <w:vAlign w:val="bottom"/>
          </w:tcPr>
          <w:p>
            <w:pPr>
              <w:ind w:left="100"/>
              <w:spacing w:after="0"/>
              <w:rPr>
                <w:sz w:val="20"/>
                <w:szCs w:val="20"/>
                <w:color w:val="auto"/>
              </w:rPr>
            </w:pPr>
            <w:r>
              <w:rPr>
                <w:rFonts w:ascii="Arial" w:cs="Arial" w:eastAsia="Arial" w:hAnsi="Arial"/>
                <w:sz w:val="16"/>
                <w:szCs w:val="16"/>
                <w:b w:val="1"/>
                <w:bCs w:val="1"/>
                <w:color w:val="auto"/>
              </w:rPr>
              <w:t>No</w:t>
            </w:r>
          </w:p>
        </w:tc>
      </w:tr>
      <w:tr>
        <w:trPr>
          <w:trHeight w:val="245"/>
        </w:trPr>
        <w:tc>
          <w:tcPr>
            <w:tcW w:w="8080" w:type="dxa"/>
            <w:vAlign w:val="bottom"/>
            <w:gridSpan w:val="5"/>
          </w:tcPr>
          <w:p>
            <w:pPr>
              <w:spacing w:after="0"/>
              <w:rPr>
                <w:sz w:val="20"/>
                <w:szCs w:val="20"/>
                <w:color w:val="auto"/>
              </w:rPr>
            </w:pPr>
            <w:r>
              <w:rPr>
                <w:rFonts w:ascii="Arial" w:cs="Arial" w:eastAsia="Arial" w:hAnsi="Arial"/>
                <w:sz w:val="16"/>
                <w:szCs w:val="16"/>
                <w:b w:val="1"/>
                <w:bCs w:val="1"/>
                <w:color w:val="auto"/>
                <w:w w:val="86"/>
              </w:rPr>
              <w:t>Indicate by check mark if the registrant is not required to file reports pursuant to Section 13 or Section 15(d) of the Act. Yes</w:t>
            </w:r>
          </w:p>
        </w:tc>
        <w:tc>
          <w:tcPr>
            <w:tcW w:w="2720" w:type="dxa"/>
            <w:vAlign w:val="bottom"/>
          </w:tcPr>
          <w:p>
            <w:pPr>
              <w:ind w:left="280"/>
              <w:spacing w:after="0"/>
              <w:rPr>
                <w:sz w:val="20"/>
                <w:szCs w:val="20"/>
                <w:color w:val="auto"/>
              </w:rPr>
            </w:pPr>
            <w:r>
              <w:rPr>
                <w:rFonts w:ascii="Arial" w:cs="Arial" w:eastAsia="Arial" w:hAnsi="Arial"/>
                <w:sz w:val="16"/>
                <w:szCs w:val="16"/>
                <w:b w:val="1"/>
                <w:bCs w:val="1"/>
                <w:color w:val="auto"/>
              </w:rPr>
              <w:t>No</w:t>
            </w: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2606040</wp:posOffset>
                </wp:positionH>
                <wp:positionV relativeFrom="paragraph">
                  <wp:posOffset>-583565</wp:posOffset>
                </wp:positionV>
                <wp:extent cx="6858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762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2pt,-45.9499pt" to="210.6pt,-45.9499pt" o:allowincell="f" strokecolor="#FFFFFF" strokeweight="0.6pt"/>
            </w:pict>
          </mc:Fallback>
        </mc:AlternateContent>
        <mc:AlternateContent>
          <mc:Choice Requires="wps">
            <w:drawing>
              <wp:anchor simplePos="0" relativeHeight="251657728" behindDoc="1" locked="0" layoutInCell="0" allowOverlap="1">
                <wp:simplePos x="0" y="0"/>
                <wp:positionH relativeFrom="column">
                  <wp:posOffset>3703320</wp:posOffset>
                </wp:positionH>
                <wp:positionV relativeFrom="paragraph">
                  <wp:posOffset>-583565</wp:posOffset>
                </wp:positionV>
                <wp:extent cx="6858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7620">
                          <a:solidFill>
                            <a:srgbClr val="FFFFFF"/>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6pt,-45.9499pt" to="297pt,-45.9499pt" o:allowincell="f" strokecolor="#FFFFFF" strokeweight="0.6pt"/>
            </w:pict>
          </mc:Fallback>
        </mc:AlternateContent>
        <w:drawing>
          <wp:anchor simplePos="0" relativeHeight="251657728" behindDoc="1" locked="0" layoutInCell="0" allowOverlap="1">
            <wp:simplePos x="0" y="0"/>
            <wp:positionH relativeFrom="column">
              <wp:posOffset>4978400</wp:posOffset>
            </wp:positionH>
            <wp:positionV relativeFrom="paragraph">
              <wp:posOffset>-262255</wp:posOffset>
            </wp:positionV>
            <wp:extent cx="98425" cy="98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-262255</wp:posOffset>
            </wp:positionV>
            <wp:extent cx="98425" cy="98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extLst>
                    </a:blip>
                    <a:srcRect/>
                    <a:stretch>
                      <a:fillRect/>
                    </a:stretch>
                  </pic:blipFill>
                  <pic:spPr bwMode="auto">
                    <a:xfrm>
                      <a:off x="0" y="0"/>
                      <a:ext cx="98425" cy="98425"/>
                    </a:xfrm>
                    <a:prstGeom prst="rect">
                      <a:avLst/>
                    </a:prstGeom>
                    <a:noFill/>
                  </pic:spPr>
                </pic:pic>
              </a:graphicData>
            </a:graphic>
          </wp:anchor>
        </w:drawing>
        <w:drawing>
          <wp:anchor simplePos="0" relativeHeight="251657728" behindDoc="1" locked="0" layoutInCell="0" allowOverlap="1">
            <wp:simplePos x="0" y="0"/>
            <wp:positionH relativeFrom="column">
              <wp:posOffset>5091430</wp:posOffset>
            </wp:positionH>
            <wp:positionV relativeFrom="paragraph">
              <wp:posOffset>-108585</wp:posOffset>
            </wp:positionV>
            <wp:extent cx="100330" cy="100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extLst>
                    </a:blip>
                    <a:srcRect/>
                    <a:stretch>
                      <a:fillRect/>
                    </a:stretch>
                  </pic:blipFill>
                  <pic:spPr bwMode="auto">
                    <a:xfrm>
                      <a:off x="0" y="0"/>
                      <a:ext cx="100330" cy="100330"/>
                    </a:xfrm>
                    <a:prstGeom prst="rect">
                      <a:avLst/>
                    </a:prstGeom>
                    <a:noFill/>
                  </pic:spPr>
                </pic:pic>
              </a:graphicData>
            </a:graphic>
          </wp:anchor>
        </w:drawing>
        <w:drawing>
          <wp:anchor simplePos="0" relativeHeight="251657728" behindDoc="1" locked="0" layoutInCell="0" allowOverlap="1">
            <wp:simplePos x="0" y="0"/>
            <wp:positionH relativeFrom="column">
              <wp:posOffset>5459730</wp:posOffset>
            </wp:positionH>
            <wp:positionV relativeFrom="paragraph">
              <wp:posOffset>-108585</wp:posOffset>
            </wp:positionV>
            <wp:extent cx="98425" cy="1003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extLst>
                    </a:blip>
                    <a:srcRect/>
                    <a:stretch>
                      <a:fillRect/>
                    </a:stretch>
                  </pic:blipFill>
                  <pic:spPr bwMode="auto">
                    <a:xfrm>
                      <a:off x="0" y="0"/>
                      <a:ext cx="98425" cy="100330"/>
                    </a:xfrm>
                    <a:prstGeom prst="rect">
                      <a:avLst/>
                    </a:prstGeom>
                    <a:noFill/>
                  </pic:spPr>
                </pic:pic>
              </a:graphicData>
            </a:graphic>
          </wp:anchor>
        </w:drawing>
      </w:r>
    </w:p>
    <w:p>
      <w:pPr>
        <w:spacing w:after="0" w:line="48" w:lineRule="exact"/>
        <w:rPr>
          <w:sz w:val="24"/>
          <w:szCs w:val="24"/>
          <w:color w:val="auto"/>
        </w:rPr>
      </w:pPr>
    </w:p>
    <w:p>
      <w:pPr>
        <w:jc w:val="both"/>
        <w:spacing w:after="0" w:line="294" w:lineRule="auto"/>
        <w:rPr>
          <w:sz w:val="20"/>
          <w:szCs w:val="20"/>
          <w:color w:val="auto"/>
        </w:rPr>
      </w:pPr>
      <w:r>
        <w:rPr>
          <w:rFonts w:ascii="Arial" w:cs="Arial" w:eastAsia="Arial" w:hAnsi="Arial"/>
          <w:sz w:val="13"/>
          <w:szCs w:val="13"/>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232" w:lineRule="auto"/>
        <w:rPr>
          <w:sz w:val="20"/>
          <w:szCs w:val="20"/>
          <w:color w:val="auto"/>
        </w:rPr>
      </w:pPr>
      <w:r>
        <w:rPr>
          <w:rFonts w:ascii="Arial" w:cs="Arial" w:eastAsia="Arial" w:hAnsi="Arial"/>
          <w:sz w:val="16"/>
          <w:szCs w:val="16"/>
          <w:b w:val="1"/>
          <w:bCs w:val="1"/>
          <w:color w:val="auto"/>
        </w:rPr>
        <w:t xml:space="preserve">days. Yes </w:t>
      </w:r>
      <w:r>
        <w:rPr>
          <w:sz w:val="1"/>
          <w:szCs w:val="1"/>
          <w:color w:val="auto"/>
        </w:rPr>
        <w:drawing>
          <wp:inline distT="0" distB="0" distL="0" distR="0">
            <wp:extent cx="984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98425" cy="85725"/>
                    </a:xfrm>
                    <a:prstGeom prst="rect">
                      <a:avLst/>
                    </a:prstGeom>
                    <a:noFill/>
                    <a:ln>
                      <a:noFill/>
                    </a:ln>
                  </pic:spPr>
                </pic:pic>
              </a:graphicData>
            </a:graphic>
          </wp:inline>
        </w:drawing>
      </w:r>
      <w:r>
        <w:rPr>
          <w:rFonts w:ascii="Arial" w:cs="Arial" w:eastAsia="Arial" w:hAnsi="Arial"/>
          <w:sz w:val="16"/>
          <w:szCs w:val="16"/>
          <w:b w:val="1"/>
          <w:bCs w:val="1"/>
          <w:color w:val="auto"/>
        </w:rPr>
        <w:t xml:space="preserve">   No </w:t>
      </w:r>
      <w:r>
        <w:rPr>
          <w:sz w:val="1"/>
          <w:szCs w:val="1"/>
          <w:color w:val="auto"/>
        </w:rPr>
        <w:drawing>
          <wp:inline distT="0" distB="0" distL="0" distR="0">
            <wp:extent cx="98425"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extLst>
                    </a:blip>
                    <a:srcRect/>
                    <a:stretch>
                      <a:fillRect/>
                    </a:stretch>
                  </pic:blipFill>
                  <pic:spPr bwMode="auto">
                    <a:xfrm>
                      <a:off x="0" y="0"/>
                      <a:ext cx="98425" cy="85725"/>
                    </a:xfrm>
                    <a:prstGeom prst="rect">
                      <a:avLst/>
                    </a:prstGeom>
                    <a:noFill/>
                    <a:ln>
                      <a:noFill/>
                    </a:ln>
                  </pic:spPr>
                </pic:pic>
              </a:graphicData>
            </a:graphic>
          </wp:inline>
        </w:drawing>
      </w:r>
    </w:p>
    <w:p>
      <w:pPr>
        <w:spacing w:after="0" w:line="68"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Indicate by check mark whether the registrant has submitted electronically every Interactive Data File required to be submitted pursuant to Rule 405 of Regulation S-T</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(§232.405 of this chapter) during the preceding 12 months (or for such shorter period that the registrant was required to submit such files). Yes </w:t>
      </w:r>
      <w:r>
        <w:rPr>
          <w:sz w:val="1"/>
          <w:szCs w:val="1"/>
          <w:color w:val="auto"/>
        </w:rPr>
        <w:drawing>
          <wp:inline distT="0" distB="0" distL="0" distR="0">
            <wp:extent cx="98425" cy="984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98425" cy="98425"/>
                    </a:xfrm>
                    <a:prstGeom prst="rect">
                      <a:avLst/>
                    </a:prstGeom>
                    <a:noFill/>
                    <a:ln>
                      <a:noFill/>
                    </a:ln>
                  </pic:spPr>
                </pic:pic>
              </a:graphicData>
            </a:graphic>
          </wp:inline>
        </w:drawing>
      </w:r>
      <w:r>
        <w:rPr>
          <w:rFonts w:ascii="Arial" w:cs="Arial" w:eastAsia="Arial" w:hAnsi="Arial"/>
          <w:sz w:val="14"/>
          <w:szCs w:val="14"/>
          <w:b w:val="1"/>
          <w:bCs w:val="1"/>
          <w:color w:val="auto"/>
        </w:rPr>
        <w:t xml:space="preserve">   No </w:t>
      </w:r>
      <w:r>
        <w:rPr>
          <w:sz w:val="1"/>
          <w:szCs w:val="1"/>
          <w:color w:val="auto"/>
        </w:rPr>
        <w:drawing>
          <wp:inline distT="0" distB="0" distL="0" distR="0">
            <wp:extent cx="98425" cy="984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extLst>
                    </a:blip>
                    <a:srcRect/>
                    <a:stretch>
                      <a:fillRect/>
                    </a:stretch>
                  </pic:blipFill>
                  <pic:spPr bwMode="auto">
                    <a:xfrm>
                      <a:off x="0" y="0"/>
                      <a:ext cx="98425" cy="98425"/>
                    </a:xfrm>
                    <a:prstGeom prst="rect">
                      <a:avLst/>
                    </a:prstGeom>
                    <a:noFill/>
                    <a:ln>
                      <a:noFill/>
                    </a:ln>
                  </pic:spPr>
                </pic:pic>
              </a:graphicData>
            </a:graphic>
          </wp:inline>
        </w:drawing>
      </w:r>
    </w:p>
    <w:p>
      <w:pPr>
        <w:spacing w:after="0" w:line="68" w:lineRule="exact"/>
        <w:rPr>
          <w:sz w:val="24"/>
          <w:szCs w:val="24"/>
          <w:color w:val="auto"/>
        </w:rPr>
      </w:pPr>
    </w:p>
    <w:p>
      <w:pPr>
        <w:jc w:val="both"/>
        <w:spacing w:after="0" w:line="236"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Large accelerated filer         </w:t>
      </w:r>
      <w:r>
        <w:rPr>
          <w:sz w:val="1"/>
          <w:szCs w:val="1"/>
          <w:color w:val="auto"/>
        </w:rPr>
        <w:drawing>
          <wp:inline distT="0" distB="0" distL="0" distR="0">
            <wp:extent cx="95250" cy="10033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95250" cy="100330"/>
                    </a:xfrm>
                    <a:prstGeom prst="rect">
                      <a:avLst/>
                    </a:prstGeom>
                    <a:noFill/>
                    <a:ln>
                      <a:noFill/>
                    </a:ln>
                  </pic:spPr>
                </pic:pic>
              </a:graphicData>
            </a:graphic>
          </wp:inline>
        </w:drawing>
      </w:r>
      <w:r>
        <w:rPr>
          <w:rFonts w:ascii="Arial" w:cs="Arial" w:eastAsia="Arial" w:hAnsi="Arial"/>
          <w:sz w:val="16"/>
          <w:szCs w:val="16"/>
          <w:b w:val="1"/>
          <w:bCs w:val="1"/>
          <w:color w:val="auto"/>
        </w:rPr>
        <w:t xml:space="preserve">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6713220</wp:posOffset>
            </wp:positionH>
            <wp:positionV relativeFrom="paragraph">
              <wp:posOffset>-108585</wp:posOffset>
            </wp:positionV>
            <wp:extent cx="95250" cy="1003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extLst>
                    </a:blip>
                    <a:srcRect/>
                    <a:stretch>
                      <a:fillRect/>
                    </a:stretch>
                  </pic:blipFill>
                  <pic:spPr bwMode="auto">
                    <a:xfrm>
                      <a:off x="0" y="0"/>
                      <a:ext cx="95250" cy="10033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 xml:space="preserve">Non-accelerated filer          </w:t>
      </w:r>
      <w:r>
        <w:rPr>
          <w:sz w:val="1"/>
          <w:szCs w:val="1"/>
          <w:color w:val="auto"/>
        </w:rPr>
        <w:drawing>
          <wp:inline distT="0" distB="0" distL="0" distR="0">
            <wp:extent cx="96520" cy="10033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96520" cy="100330"/>
                    </a:xfrm>
                    <a:prstGeom prst="rect">
                      <a:avLst/>
                    </a:prstGeom>
                    <a:noFill/>
                    <a:ln>
                      <a:noFill/>
                    </a:ln>
                  </pic:spPr>
                </pic:pic>
              </a:graphicData>
            </a:graphic>
          </wp:inline>
        </w:drawing>
      </w:r>
      <w:r>
        <w:rPr>
          <w:rFonts w:ascii="Arial" w:cs="Arial" w:eastAsia="Arial" w:hAnsi="Arial"/>
          <w:sz w:val="16"/>
          <w:szCs w:val="16"/>
          <w:b w:val="1"/>
          <w:bCs w:val="1"/>
          <w:color w:val="auto"/>
        </w:rPr>
        <w:t xml:space="preserve">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6713220</wp:posOffset>
            </wp:positionH>
            <wp:positionV relativeFrom="paragraph">
              <wp:posOffset>-108585</wp:posOffset>
            </wp:positionV>
            <wp:extent cx="96520" cy="100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extLst>
                    </a:blip>
                    <a:srcRect/>
                    <a:stretch>
                      <a:fillRect/>
                    </a:stretch>
                  </pic:blipFill>
                  <pic:spPr bwMode="auto">
                    <a:xfrm>
                      <a:off x="0" y="0"/>
                      <a:ext cx="96520" cy="100330"/>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6"/>
          <w:szCs w:val="16"/>
          <w:b w:val="1"/>
          <w:bCs w:val="1"/>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6713220</wp:posOffset>
            </wp:positionH>
            <wp:positionV relativeFrom="paragraph">
              <wp:posOffset>-108585</wp:posOffset>
            </wp:positionV>
            <wp:extent cx="96520" cy="10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96520" cy="100330"/>
                    </a:xfrm>
                    <a:prstGeom prst="rect">
                      <a:avLst/>
                    </a:prstGeom>
                    <a:noFill/>
                  </pic:spPr>
                </pic:pic>
              </a:graphicData>
            </a:graphic>
          </wp:anchor>
        </w:drawing>
      </w:r>
    </w:p>
    <w:p>
      <w:pPr>
        <w:spacing w:after="0" w:line="115" w:lineRule="exact"/>
        <w:rPr>
          <w:sz w:val="24"/>
          <w:szCs w:val="24"/>
          <w:color w:val="auto"/>
        </w:rPr>
      </w:pPr>
    </w:p>
    <w:p>
      <w:pPr>
        <w:jc w:val="both"/>
        <w:spacing w:after="0" w:line="236" w:lineRule="auto"/>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98425" cy="857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extLst>
                        <a:ext uri="{28A0092B-C50C-407E-A947-70E740481C1C}"/>
                      </a:extLst>
                    </a:blip>
                    <a:srcRect/>
                    <a:stretch>
                      <a:fillRect/>
                    </a:stretch>
                  </pic:blipFill>
                  <pic:spPr bwMode="auto">
                    <a:xfrm>
                      <a:off x="0" y="0"/>
                      <a:ext cx="98425" cy="85725"/>
                    </a:xfrm>
                    <a:prstGeom prst="rect">
                      <a:avLst/>
                    </a:prstGeom>
                    <a:noFill/>
                    <a:ln>
                      <a:noFill/>
                    </a:ln>
                  </pic:spPr>
                </pic:pic>
              </a:graphicData>
            </a:graphic>
          </wp:inline>
        </w:drawing>
      </w:r>
    </w:p>
    <w:p>
      <w:pPr>
        <w:spacing w:after="0" w:line="65" w:lineRule="exact"/>
        <w:rPr>
          <w:sz w:val="24"/>
          <w:szCs w:val="24"/>
          <w:color w:val="auto"/>
        </w:rPr>
      </w:pPr>
    </w:p>
    <w:p>
      <w:pPr>
        <w:jc w:val="both"/>
        <w:spacing w:after="0" w:line="279" w:lineRule="auto"/>
        <w:rPr>
          <w:sz w:val="20"/>
          <w:szCs w:val="20"/>
          <w:color w:val="auto"/>
        </w:rPr>
      </w:pPr>
      <w:r>
        <w:rPr>
          <w:rFonts w:ascii="Arial" w:cs="Arial" w:eastAsia="Arial" w:hAnsi="Arial"/>
          <w:sz w:val="13"/>
          <w:szCs w:val="13"/>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sz w:val="1"/>
          <w:szCs w:val="1"/>
          <w:color w:val="auto"/>
        </w:rPr>
        <w:drawing>
          <wp:inline distT="0" distB="0" distL="0" distR="0">
            <wp:extent cx="98425" cy="1003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98425" cy="100330"/>
                    </a:xfrm>
                    <a:prstGeom prst="rect">
                      <a:avLst/>
                    </a:prstGeom>
                    <a:noFill/>
                    <a:ln>
                      <a:noFill/>
                    </a:ln>
                  </pic:spPr>
                </pic:pic>
              </a:graphicData>
            </a:graphic>
          </wp:inline>
        </w:drawing>
      </w:r>
    </w:p>
    <w:p>
      <w:pPr>
        <w:spacing w:after="0" w:line="46" w:lineRule="exact"/>
        <w:rPr>
          <w:sz w:val="24"/>
          <w:szCs w:val="24"/>
          <w:color w:val="auto"/>
        </w:rPr>
      </w:pPr>
    </w:p>
    <w:p>
      <w:pPr>
        <w:jc w:val="both"/>
        <w:spacing w:after="0" w:line="234" w:lineRule="auto"/>
        <w:rPr>
          <w:sz w:val="20"/>
          <w:szCs w:val="20"/>
          <w:color w:val="auto"/>
        </w:rPr>
      </w:pPr>
      <w:r>
        <w:rPr>
          <w:rFonts w:ascii="Arial" w:cs="Arial" w:eastAsia="Arial" w:hAnsi="Arial"/>
          <w:sz w:val="16"/>
          <w:szCs w:val="16"/>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100330" cy="857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extLst>
                    </a:blip>
                    <a:srcRect/>
                    <a:stretch>
                      <a:fillRect/>
                    </a:stretch>
                  </pic:blipFill>
                  <pic:spPr bwMode="auto">
                    <a:xfrm>
                      <a:off x="0" y="0"/>
                      <a:ext cx="100330" cy="85725"/>
                    </a:xfrm>
                    <a:prstGeom prst="rect">
                      <a:avLst/>
                    </a:prstGeom>
                    <a:noFill/>
                    <a:ln>
                      <a:noFill/>
                    </a:ln>
                  </pic:spPr>
                </pic:pic>
              </a:graphicData>
            </a:graphic>
          </wp:inline>
        </w:drawing>
      </w:r>
    </w:p>
    <w:p>
      <w:pPr>
        <w:spacing w:after="0" w:line="68" w:lineRule="exact"/>
        <w:rPr>
          <w:sz w:val="24"/>
          <w:szCs w:val="24"/>
          <w:color w:val="auto"/>
        </w:rPr>
      </w:pPr>
    </w:p>
    <w:p>
      <w:pPr>
        <w:jc w:val="both"/>
        <w:spacing w:after="0" w:line="236" w:lineRule="auto"/>
        <w:rPr>
          <w:sz w:val="20"/>
          <w:szCs w:val="20"/>
          <w:color w:val="auto"/>
        </w:rPr>
      </w:pPr>
      <w:r>
        <w:rPr>
          <w:rFonts w:ascii="Arial" w:cs="Arial" w:eastAsia="Arial" w:hAnsi="Arial"/>
          <w:sz w:val="16"/>
          <w:szCs w:val="16"/>
          <w:b w:val="1"/>
          <w:bCs w:val="1"/>
          <w:color w:val="auto"/>
        </w:rPr>
        <w:t>Indicate by check mark whether any of those error corrections are restatements that required a recovery analysis of incentive-based compensation received by any of the registrant’s executive o</w:t>
      </w:r>
      <w:r>
        <w:rPr>
          <w:sz w:val="1"/>
          <w:szCs w:val="1"/>
          <w:color w:val="auto"/>
        </w:rPr>
        <w:drawing>
          <wp:inline distT="0" distB="0" distL="0" distR="0">
            <wp:extent cx="113665" cy="857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113665" cy="85725"/>
                    </a:xfrm>
                    <a:prstGeom prst="rect">
                      <a:avLst/>
                    </a:prstGeom>
                    <a:noFill/>
                    <a:ln>
                      <a:noFill/>
                    </a:ln>
                  </pic:spPr>
                </pic:pic>
              </a:graphicData>
            </a:graphic>
          </wp:inline>
        </w:drawing>
      </w:r>
      <w:r>
        <w:rPr>
          <w:rFonts w:ascii="Arial" w:cs="Arial" w:eastAsia="Arial" w:hAnsi="Arial"/>
          <w:sz w:val="16"/>
          <w:szCs w:val="16"/>
          <w:b w:val="1"/>
          <w:bCs w:val="1"/>
          <w:color w:val="auto"/>
        </w:rPr>
        <w:t xml:space="preserve">cers during the relevant recovery period pursuant to §240.10D-1(b). </w:t>
      </w:r>
      <w:r>
        <w:rPr>
          <w:sz w:val="1"/>
          <w:szCs w:val="1"/>
          <w:color w:val="auto"/>
        </w:rPr>
        <w:drawing>
          <wp:inline distT="0" distB="0" distL="0" distR="0">
            <wp:extent cx="98425" cy="857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98425" cy="85725"/>
                    </a:xfrm>
                    <a:prstGeom prst="rect">
                      <a:avLst/>
                    </a:prstGeom>
                    <a:noFill/>
                    <a:ln>
                      <a:noFill/>
                    </a:ln>
                  </pic:spPr>
                </pic:pic>
              </a:graphicData>
            </a:graphic>
          </wp:inline>
        </w:drawing>
      </w:r>
    </w:p>
    <w:p>
      <w:pPr>
        <w:spacing w:after="0" w:line="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Indicate by check mark whether the registrant is a shell company (as defined in Rule 12b-2 of the Exchange Act). Yes </w:t>
      </w:r>
      <w:r>
        <w:rPr>
          <w:sz w:val="1"/>
          <w:szCs w:val="1"/>
          <w:color w:val="auto"/>
        </w:rPr>
        <w:drawing>
          <wp:inline distT="0" distB="0" distL="0" distR="0">
            <wp:extent cx="98425" cy="1003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extLst>
                        <a:ext uri="{28A0092B-C50C-407E-A947-70E740481C1C}"/>
                      </a:extLst>
                    </a:blip>
                    <a:srcRect/>
                    <a:stretch>
                      <a:fillRect/>
                    </a:stretch>
                  </pic:blipFill>
                  <pic:spPr bwMode="auto">
                    <a:xfrm>
                      <a:off x="0" y="0"/>
                      <a:ext cx="98425" cy="100330"/>
                    </a:xfrm>
                    <a:prstGeom prst="rect">
                      <a:avLst/>
                    </a:prstGeom>
                    <a:noFill/>
                    <a:ln>
                      <a:noFill/>
                    </a:ln>
                  </pic:spPr>
                </pic:pic>
              </a:graphicData>
            </a:graphic>
          </wp:inline>
        </w:drawing>
      </w:r>
      <w:r>
        <w:rPr>
          <w:rFonts w:ascii="Arial" w:cs="Arial" w:eastAsia="Arial" w:hAnsi="Arial"/>
          <w:sz w:val="16"/>
          <w:szCs w:val="16"/>
          <w:b w:val="1"/>
          <w:bCs w:val="1"/>
          <w:color w:val="auto"/>
        </w:rPr>
        <w:t xml:space="preserve">   No </w:t>
      </w:r>
      <w:r>
        <w:rPr>
          <w:sz w:val="1"/>
          <w:szCs w:val="1"/>
          <w:color w:val="auto"/>
        </w:rPr>
        <w:drawing>
          <wp:inline distT="0" distB="0" distL="0" distR="0">
            <wp:extent cx="100330" cy="10033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100330" cy="100330"/>
                    </a:xfrm>
                    <a:prstGeom prst="rect">
                      <a:avLst/>
                    </a:prstGeom>
                    <a:noFill/>
                    <a:ln>
                      <a:noFill/>
                    </a:ln>
                  </pic:spPr>
                </pic:pic>
              </a:graphicData>
            </a:graphic>
          </wp:inline>
        </w:drawing>
      </w:r>
    </w:p>
    <w:p>
      <w:pPr>
        <w:spacing w:after="0" w:line="68" w:lineRule="exact"/>
        <w:rPr>
          <w:sz w:val="24"/>
          <w:szCs w:val="24"/>
          <w:color w:val="auto"/>
        </w:rPr>
      </w:pPr>
    </w:p>
    <w:p>
      <w:pPr>
        <w:jc w:val="both"/>
        <w:spacing w:after="0" w:line="282" w:lineRule="auto"/>
        <w:rPr>
          <w:sz w:val="20"/>
          <w:szCs w:val="20"/>
          <w:color w:val="auto"/>
        </w:rPr>
      </w:pPr>
      <w:r>
        <w:rPr>
          <w:rFonts w:ascii="Arial" w:cs="Arial" w:eastAsia="Arial" w:hAnsi="Arial"/>
          <w:sz w:val="14"/>
          <w:szCs w:val="14"/>
          <w:b w:val="1"/>
          <w:bCs w:val="1"/>
          <w:color w:val="auto"/>
        </w:rPr>
        <w:t>As of June 30, 2022, the last business day of the registrant’s most recently completed second fiscal quarter, the aggregate market value of voting and non-voting common equity held by non-affiliates of the registrant was approximately $228.5 million based on the closing price of the registrant’s common stock on June 30, 2022. The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March 16, 2023 was 109,189,825.</w:t>
      </w:r>
    </w:p>
    <w:p>
      <w:pPr>
        <w:spacing w:after="0" w:line="58" w:lineRule="exact"/>
        <w:rPr>
          <w:sz w:val="24"/>
          <w:szCs w:val="24"/>
          <w:color w:val="auto"/>
        </w:rPr>
      </w:pPr>
    </w:p>
    <w:p>
      <w:pPr>
        <w:ind w:left="36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8" w:lineRule="exact"/>
        <w:rPr>
          <w:sz w:val="24"/>
          <w:szCs w:val="24"/>
          <w:color w:val="auto"/>
        </w:rPr>
      </w:pPr>
    </w:p>
    <w:p>
      <w:pPr>
        <w:ind w:right="60"/>
        <w:spacing w:after="0" w:line="236" w:lineRule="auto"/>
        <w:rPr>
          <w:sz w:val="20"/>
          <w:szCs w:val="20"/>
          <w:color w:val="auto"/>
        </w:rPr>
      </w:pPr>
      <w:r>
        <w:rPr>
          <w:rFonts w:ascii="Arial" w:cs="Arial" w:eastAsia="Arial" w:hAnsi="Arial"/>
          <w:sz w:val="16"/>
          <w:szCs w:val="16"/>
          <w:b w:val="1"/>
          <w:bCs w:val="1"/>
          <w:color w:val="auto"/>
        </w:rPr>
        <w:t>Certain portions of the registrant’s definitive proxy statement for its 2023 Annual Meeting of Stockholders, which the registrant intends to file pursuant to Regulation 14A with the Securities and Exchange Commission no later than 120 days after the registrant’s fiscal year ended December 31, 2022, are incorporated by reference into Part III of this Annual Report on Form 10-K.</w:t>
      </w:r>
    </w:p>
    <w:p>
      <w:pPr>
        <w:sectPr>
          <w:pgSz w:w="12240" w:h="15840" w:orient="portrait"/>
          <w:cols w:equalWidth="0" w:num="1">
            <w:col w:w="10800"/>
          </w:cols>
          <w:pgMar w:left="720" w:top="945" w:right="720" w:bottom="404"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7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Page</w:t>
            </w:r>
          </w:p>
        </w:tc>
      </w:tr>
      <w:tr>
        <w:trPr>
          <w:trHeight w:val="215"/>
        </w:trPr>
        <w:tc>
          <w:tcPr>
            <w:tcW w:w="9380" w:type="dxa"/>
            <w:vAlign w:val="bottom"/>
            <w:gridSpan w:val="2"/>
          </w:tcPr>
          <w:p>
            <w:pPr>
              <w:ind w:left="140"/>
              <w:spacing w:after="0" w:line="215" w:lineRule="exact"/>
              <w:rPr>
                <w:sz w:val="20"/>
                <w:szCs w:val="20"/>
                <w:color w:val="auto"/>
              </w:rPr>
            </w:pPr>
            <w:r>
              <w:rPr>
                <w:rFonts w:ascii="Arial" w:cs="Arial" w:eastAsia="Arial" w:hAnsi="Arial"/>
                <w:sz w:val="20"/>
                <w:szCs w:val="20"/>
                <w:b w:val="1"/>
                <w:bCs w:val="1"/>
                <w:color w:val="auto"/>
              </w:rPr>
              <w:t>Cautionary Note Regarding Forward-Looking Statements</w:t>
            </w:r>
          </w:p>
        </w:tc>
        <w:tc>
          <w:tcPr>
            <w:tcW w:w="700" w:type="dxa"/>
            <w:vAlign w:val="bottom"/>
          </w:tcPr>
          <w:p>
            <w:pPr>
              <w:jc w:val="right"/>
              <w:spacing w:after="0" w:line="215" w:lineRule="exact"/>
              <w:rPr>
                <w:sz w:val="20"/>
                <w:szCs w:val="20"/>
                <w:color w:val="auto"/>
              </w:rPr>
            </w:pPr>
            <w:r>
              <w:rPr>
                <w:rFonts w:ascii="Arial" w:cs="Arial" w:eastAsia="Arial" w:hAnsi="Arial"/>
                <w:sz w:val="20"/>
                <w:szCs w:val="20"/>
                <w:b w:val="1"/>
                <w:bCs w:val="1"/>
                <w:color w:val="auto"/>
              </w:rPr>
              <w:t>1</w:t>
            </w:r>
          </w:p>
        </w:tc>
      </w:tr>
      <w:tr>
        <w:trPr>
          <w:trHeight w:val="230"/>
        </w:trPr>
        <w:tc>
          <w:tcPr>
            <w:tcW w:w="9380" w:type="dxa"/>
            <w:vAlign w:val="bottom"/>
            <w:gridSpan w:val="2"/>
          </w:tcPr>
          <w:p>
            <w:pPr>
              <w:ind w:left="140"/>
              <w:spacing w:after="0"/>
              <w:rPr>
                <w:sz w:val="20"/>
                <w:szCs w:val="20"/>
                <w:color w:val="auto"/>
              </w:rPr>
            </w:pPr>
            <w:r>
              <w:rPr>
                <w:rFonts w:ascii="Arial" w:cs="Arial" w:eastAsia="Arial" w:hAnsi="Arial"/>
                <w:sz w:val="20"/>
                <w:szCs w:val="20"/>
                <w:b w:val="1"/>
                <w:bCs w:val="1"/>
                <w:color w:val="auto"/>
              </w:rPr>
              <w:t>Summary of Risk Factors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461"/>
        </w:trPr>
        <w:tc>
          <w:tcPr>
            <w:tcW w:w="98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8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8"/>
        </w:trPr>
        <w:tc>
          <w:tcPr>
            <w:tcW w:w="980" w:type="dxa"/>
            <w:vAlign w:val="bottom"/>
          </w:tcPr>
          <w:p>
            <w:pPr>
              <w:ind w:left="140"/>
              <w:spacing w:after="0" w:line="228" w:lineRule="exact"/>
              <w:rPr>
                <w:sz w:val="20"/>
                <w:szCs w:val="20"/>
                <w:color w:val="auto"/>
              </w:rPr>
            </w:pPr>
            <w:r>
              <w:rPr>
                <w:rFonts w:ascii="Arial" w:cs="Arial" w:eastAsia="Arial" w:hAnsi="Arial"/>
                <w:sz w:val="20"/>
                <w:szCs w:val="20"/>
                <w:b w:val="1"/>
                <w:bCs w:val="1"/>
                <w:color w:val="auto"/>
              </w:rPr>
              <w:t>Item 1.</w:t>
            </w:r>
          </w:p>
        </w:tc>
        <w:tc>
          <w:tcPr>
            <w:tcW w:w="84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Business</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1A.</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Risk Factors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33</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1B.</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Unresolved Staff Comments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95</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2.</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Properties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95</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3.</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Legal Proceedings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95</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4.</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Mine Safety Disclosures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95</w:t>
            </w:r>
          </w:p>
        </w:tc>
      </w:tr>
      <w:tr>
        <w:trPr>
          <w:trHeight w:val="458"/>
        </w:trPr>
        <w:tc>
          <w:tcPr>
            <w:tcW w:w="98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8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5.</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w w:val="85"/>
              </w:rPr>
              <w:t>Market for Registrant’s Common Equity, Related Stockholder Matters and Issuer Purchases of Equity</w:t>
            </w:r>
          </w:p>
        </w:tc>
        <w:tc>
          <w:tcPr>
            <w:tcW w:w="70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Securities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96</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6.</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[Reserved]</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96</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7.</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w w:val="97"/>
              </w:rPr>
              <w:t>Management’s Discussion and Analysis of Financial Condition and Results of Operations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97</w:t>
            </w:r>
          </w:p>
        </w:tc>
      </w:tr>
      <w:tr>
        <w:trPr>
          <w:trHeight w:val="228"/>
        </w:trPr>
        <w:tc>
          <w:tcPr>
            <w:tcW w:w="980" w:type="dxa"/>
            <w:vAlign w:val="bottom"/>
          </w:tcPr>
          <w:p>
            <w:pPr>
              <w:ind w:left="140"/>
              <w:spacing w:after="0" w:line="228" w:lineRule="exact"/>
              <w:rPr>
                <w:sz w:val="20"/>
                <w:szCs w:val="20"/>
                <w:color w:val="auto"/>
              </w:rPr>
            </w:pPr>
            <w:r>
              <w:rPr>
                <w:rFonts w:ascii="Arial" w:cs="Arial" w:eastAsia="Arial" w:hAnsi="Arial"/>
                <w:sz w:val="20"/>
                <w:szCs w:val="20"/>
                <w:b w:val="1"/>
                <w:bCs w:val="1"/>
                <w:color w:val="auto"/>
              </w:rPr>
              <w:t>Item 7A.</w:t>
            </w:r>
          </w:p>
        </w:tc>
        <w:tc>
          <w:tcPr>
            <w:tcW w:w="84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Quantitative and Qualitative Disclosures About Market Risk</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112</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8.</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Financial Statements and Supplementary Data</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112</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9.</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w w:val="96"/>
              </w:rPr>
              <w:t>Changes in and Disagreements With Accountants on Accounting and Financial Disclosure</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112</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9A.</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Controls and Procedures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112</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9B.</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Other Information</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112</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9C.</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Disclosure Regarding Foreign Jurisdictions that Prevent Inspections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113</w:t>
            </w:r>
          </w:p>
        </w:tc>
      </w:tr>
      <w:tr>
        <w:trPr>
          <w:trHeight w:val="458"/>
        </w:trPr>
        <w:tc>
          <w:tcPr>
            <w:tcW w:w="98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8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10.</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Directors, Executive Officers and Corporate Governance</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114</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11.</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Executive Compensation</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114</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12.</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w w:val="86"/>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114</w:t>
            </w:r>
          </w:p>
        </w:tc>
      </w:tr>
      <w:tr>
        <w:trPr>
          <w:trHeight w:val="228"/>
        </w:trPr>
        <w:tc>
          <w:tcPr>
            <w:tcW w:w="980" w:type="dxa"/>
            <w:vAlign w:val="bottom"/>
          </w:tcPr>
          <w:p>
            <w:pPr>
              <w:ind w:left="140"/>
              <w:spacing w:after="0" w:line="228" w:lineRule="exact"/>
              <w:rPr>
                <w:sz w:val="20"/>
                <w:szCs w:val="20"/>
                <w:color w:val="auto"/>
              </w:rPr>
            </w:pPr>
            <w:r>
              <w:rPr>
                <w:rFonts w:ascii="Arial" w:cs="Arial" w:eastAsia="Arial" w:hAnsi="Arial"/>
                <w:sz w:val="20"/>
                <w:szCs w:val="20"/>
                <w:b w:val="1"/>
                <w:bCs w:val="1"/>
                <w:color w:val="auto"/>
              </w:rPr>
              <w:t>Item 13.</w:t>
            </w:r>
          </w:p>
        </w:tc>
        <w:tc>
          <w:tcPr>
            <w:tcW w:w="840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Certain Relationships and Related Transactions, and Director Independence</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114</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14.</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Principal Accountant Fees and Services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114</w:t>
            </w:r>
          </w:p>
        </w:tc>
      </w:tr>
      <w:tr>
        <w:trPr>
          <w:trHeight w:val="461"/>
        </w:trPr>
        <w:tc>
          <w:tcPr>
            <w:tcW w:w="98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8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15.</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Exhibit and Financial Statement Schedules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115</w:t>
            </w:r>
          </w:p>
        </w:tc>
      </w:tr>
      <w:tr>
        <w:trPr>
          <w:trHeight w:val="230"/>
        </w:trPr>
        <w:tc>
          <w:tcPr>
            <w:tcW w:w="980" w:type="dxa"/>
            <w:vAlign w:val="bottom"/>
          </w:tcPr>
          <w:p>
            <w:pPr>
              <w:ind w:left="140"/>
              <w:spacing w:after="0"/>
              <w:rPr>
                <w:sz w:val="20"/>
                <w:szCs w:val="20"/>
                <w:color w:val="auto"/>
              </w:rPr>
            </w:pPr>
            <w:r>
              <w:rPr>
                <w:rFonts w:ascii="Arial" w:cs="Arial" w:eastAsia="Arial" w:hAnsi="Arial"/>
                <w:sz w:val="20"/>
                <w:szCs w:val="20"/>
                <w:b w:val="1"/>
                <w:bCs w:val="1"/>
                <w:color w:val="auto"/>
              </w:rPr>
              <w:t>Item 16.</w:t>
            </w:r>
          </w:p>
        </w:tc>
        <w:tc>
          <w:tcPr>
            <w:tcW w:w="8400" w:type="dxa"/>
            <w:vAlign w:val="bottom"/>
          </w:tcPr>
          <w:p>
            <w:pPr>
              <w:ind w:left="120"/>
              <w:spacing w:after="0"/>
              <w:rPr>
                <w:sz w:val="20"/>
                <w:szCs w:val="20"/>
                <w:color w:val="auto"/>
              </w:rPr>
            </w:pPr>
            <w:r>
              <w:rPr>
                <w:rFonts w:ascii="Arial" w:cs="Arial" w:eastAsia="Arial" w:hAnsi="Arial"/>
                <w:sz w:val="20"/>
                <w:szCs w:val="20"/>
                <w:b w:val="1"/>
                <w:bCs w:val="1"/>
                <w:color w:val="auto"/>
              </w:rPr>
              <w:t>Form 10-K Summary</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w:t>
      </w:r>
    </w:p>
    <w:p>
      <w:pPr>
        <w:sectPr>
          <w:pgSz w:w="12240" w:h="15840" w:orient="portrait"/>
          <w:cols w:equalWidth="0" w:num="1">
            <w:col w:w="10080"/>
          </w:cols>
          <w:pgMar w:left="1080" w:top="1079" w:right="1080" w:bottom="157"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31"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8"/>
          <w:szCs w:val="18"/>
          <w:b w:val="1"/>
          <w:bCs w:val="1"/>
          <w:color w:val="auto"/>
        </w:rPr>
        <w:t>This Annual Report on Form 10-K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Annual Report on Form 10-K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29" w:lineRule="exact"/>
        <w:rPr>
          <w:sz w:val="20"/>
          <w:szCs w:val="20"/>
          <w:color w:val="auto"/>
        </w:rPr>
      </w:pPr>
    </w:p>
    <w:p>
      <w:pPr>
        <w:jc w:val="both"/>
        <w:ind w:left="980"/>
        <w:spacing w:after="0" w:line="253" w:lineRule="auto"/>
        <w:rPr>
          <w:sz w:val="20"/>
          <w:szCs w:val="20"/>
          <w:color w:val="auto"/>
        </w:rPr>
      </w:pPr>
      <w:r>
        <w:rPr>
          <w:rFonts w:ascii="Arial" w:cs="Arial" w:eastAsia="Arial" w:hAnsi="Arial"/>
          <w:sz w:val="19"/>
          <w:szCs w:val="19"/>
          <w:b w:val="1"/>
          <w:bCs w:val="1"/>
          <w:color w:val="auto"/>
        </w:rPr>
        <w:t>the timing, progress and results of our preclinical studies and clinical trials of our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-543560</wp:posOffset>
            </wp:positionV>
            <wp:extent cx="71120" cy="711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left="980"/>
        <w:spacing w:after="0" w:line="254" w:lineRule="auto"/>
        <w:rPr>
          <w:sz w:val="20"/>
          <w:szCs w:val="20"/>
          <w:color w:val="auto"/>
        </w:rPr>
      </w:pPr>
      <w:r>
        <w:rPr>
          <w:rFonts w:ascii="Arial" w:cs="Arial" w:eastAsia="Arial" w:hAnsi="Arial"/>
          <w:sz w:val="19"/>
          <w:szCs w:val="19"/>
          <w:b w:val="1"/>
          <w:bCs w:val="1"/>
          <w:color w:val="auto"/>
        </w:rPr>
        <w:t>the timing of any submission of filings for regulatory authorization or approval of, and our ability to obtain and maintain regulatory authorizations or approvals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-252095</wp:posOffset>
            </wp:positionV>
            <wp:extent cx="71120" cy="711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our manufacturing capabilities and strategy, including the scalability and commercial viability of our manufacturing methods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our intention to deliver new product candidates on a perpetual, ongoing basis to provide solutions for vulnerable people as new SARS-CoV-2 variants of concern (“VoCs”) emerge, and the potential for us to gain alignment with regulators regarding an expedited and replicable pathway to SARS-CoV-2 monoclonal antibody (“mAb”) authorization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-533400</wp:posOffset>
            </wp:positionV>
            <wp:extent cx="71120" cy="71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9"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our ability to identify patients with the diseases treated by our product candidates and to enroll these patients in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-243205</wp:posOffset>
            </wp:positionV>
            <wp:extent cx="71120" cy="711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51" w:lineRule="auto"/>
        <w:rPr>
          <w:sz w:val="20"/>
          <w:szCs w:val="20"/>
          <w:color w:val="auto"/>
        </w:rPr>
      </w:pPr>
      <w:r>
        <w:rPr>
          <w:rFonts w:ascii="Arial" w:cs="Arial" w:eastAsia="Arial" w:hAnsi="Arial"/>
          <w:sz w:val="19"/>
          <w:szCs w:val="19"/>
          <w:b w:val="1"/>
          <w:bCs w:val="1"/>
          <w:color w:val="auto"/>
        </w:rPr>
        <w:t>our expectations regarding the size of the patient populations, market acceptance and opportunity for and clinical utility of our product candidates, if authorized or approved for commercial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-248920</wp:posOffset>
            </wp:positionV>
            <wp:extent cx="71120" cy="71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our expectations regarding the scope of any approved indication for VYD222 or any other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-82550</wp:posOffset>
            </wp:positionV>
            <wp:extent cx="71120" cy="711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9"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our ability to successfully commercialize our product candidates, if authorized or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our ability to leverage technology and our platform to identify and develop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-90170</wp:posOffset>
            </wp:positionV>
            <wp:extent cx="71120" cy="711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jc w:val="both"/>
        <w:ind w:left="980"/>
        <w:spacing w:after="0" w:line="235" w:lineRule="auto"/>
        <w:rPr>
          <w:sz w:val="20"/>
          <w:szCs w:val="20"/>
          <w:color w:val="auto"/>
        </w:rPr>
      </w:pPr>
      <w:r>
        <w:rPr>
          <w:rFonts w:ascii="Arial" w:cs="Arial" w:eastAsia="Arial" w:hAnsi="Arial"/>
          <w:sz w:val="20"/>
          <w:szCs w:val="20"/>
          <w:b w:val="1"/>
          <w:bCs w:val="1"/>
          <w:color w:val="auto"/>
        </w:rPr>
        <w:t>our estimates of our expenses, ongoing losses, future revenue, capital requirements and our need for or ability to obtain additional funding before we can expect to generate any revenue from product sales, if any of our product candidates are authorized or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-387985</wp:posOffset>
            </wp:positionV>
            <wp:extent cx="71120" cy="711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our belief that we have sufficient cash resources to fund our operating expenses and capital expenditure requirements into the second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-243205</wp:posOffset>
            </wp:positionV>
            <wp:extent cx="71120" cy="711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our competitive position and the development of and projections relating to our competitors or our industry;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-68580</wp:posOffset>
            </wp:positionV>
            <wp:extent cx="71120" cy="71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2" w:lineRule="exact"/>
        <w:rPr>
          <w:sz w:val="20"/>
          <w:szCs w:val="20"/>
          <w:color w:val="auto"/>
        </w:rPr>
      </w:pPr>
    </w:p>
    <w:p>
      <w:pPr>
        <w:jc w:val="both"/>
        <w:ind w:left="980"/>
        <w:spacing w:after="0" w:line="235" w:lineRule="auto"/>
        <w:rPr>
          <w:sz w:val="20"/>
          <w:szCs w:val="20"/>
          <w:color w:val="auto"/>
        </w:rPr>
      </w:pPr>
      <w:r>
        <w:rPr>
          <w:rFonts w:ascii="Arial" w:cs="Arial" w:eastAsia="Arial" w:hAnsi="Arial"/>
          <w:sz w:val="20"/>
          <w:szCs w:val="20"/>
          <w:b w:val="1"/>
          <w:bCs w:val="1"/>
          <w:color w:val="auto"/>
        </w:rPr>
        <w:t>business disruptions affecting our preclinical studies or the initiation, patient enrollment, development and operation of our clinical trials, including a public health crisis, such as the outbreak of SARS-CoV-2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-387985</wp:posOffset>
            </wp:positionV>
            <wp:extent cx="71120" cy="711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 foregoing list of forward-looking statements is not exhaustive. You should refer to the “Risk Factors” section of this Annual Report on Form 10-K for a discussion of important factors that may cause our actual results to differ materially from those expressed or implied by our forward-looking statements. Other sections of this Annual Report on Form 10-K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w:t>
      </w:r>
    </w:p>
    <w:p>
      <w:pPr>
        <w:sectPr>
          <w:pgSz w:w="12240" w:h="15840" w:orient="portrait"/>
          <w:cols w:equalWidth="0" w:num="1">
            <w:col w:w="10080"/>
          </w:cols>
          <w:pgMar w:left="1080" w:top="1079" w:right="1080" w:bottom="157" w:gutter="0" w:footer="0" w:header="0"/>
        </w:sectPr>
      </w:pPr>
    </w:p>
    <w:bookmarkStart w:id="3" w:name="page4"/>
    <w:bookmarkEnd w:id="3"/>
    <w:p>
      <w:pPr>
        <w:jc w:val="both"/>
        <w:spacing w:after="0" w:line="273" w:lineRule="auto"/>
        <w:rPr>
          <w:sz w:val="20"/>
          <w:szCs w:val="20"/>
          <w:color w:val="auto"/>
        </w:rPr>
      </w:pPr>
      <w:r>
        <w:rPr>
          <w:rFonts w:ascii="Arial" w:cs="Arial" w:eastAsia="Arial" w:hAnsi="Arial"/>
          <w:sz w:val="18"/>
          <w:szCs w:val="18"/>
          <w:b w:val="1"/>
          <w:bCs w:val="1"/>
          <w:color w:val="auto"/>
        </w:rPr>
        <w:t>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Securities and Exchange Commission (the “SEC”).</w:t>
      </w:r>
    </w:p>
    <w:p>
      <w:pPr>
        <w:spacing w:after="0" w:line="10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w:t>
      </w:r>
    </w:p>
    <w:p>
      <w:pPr>
        <w:sectPr>
          <w:pgSz w:w="12240" w:h="15840" w:orient="portrait"/>
          <w:cols w:equalWidth="0" w:num="1">
            <w:col w:w="10080"/>
          </w:cols>
          <w:pgMar w:left="1080" w:top="1089" w:right="1080" w:bottom="157"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SUMMARY OF RISK FACTORS</w:t>
      </w:r>
    </w:p>
    <w:p>
      <w:pPr>
        <w:spacing w:after="0" w:line="239"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The following summarizes the principal factors that make an investment in us speculative or risky, all of which are more fully described in the “Risk Factors” section of this Annual Report on Form 10-K. This summary should be read in conjunction with the “Risk Factors” section and should not be relied upon as an exhaustive summary of the material risks facing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Financial Position and Capital Needs</w:t>
      </w:r>
    </w:p>
    <w:p>
      <w:pPr>
        <w:spacing w:after="0" w:line="143"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We have incurred significant losses since our inception. We expect to incur losses over the next several years and may never achieve or maintain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81" w:lineRule="auto"/>
        <w:rPr>
          <w:sz w:val="20"/>
          <w:szCs w:val="20"/>
          <w:color w:val="auto"/>
        </w:rPr>
      </w:pPr>
      <w:r>
        <w:rPr>
          <w:rFonts w:ascii="Arial" w:cs="Arial" w:eastAsia="Arial" w:hAnsi="Arial"/>
          <w:sz w:val="18"/>
          <w:szCs w:val="18"/>
          <w:b w:val="1"/>
          <w:bCs w:val="1"/>
          <w:color w:val="auto"/>
        </w:rPr>
        <w:t>We have a limited operating history and no history of commercializing products, which may make it difficult for an investor to evaluate the success of our business to date and to assess our future viability.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-266700</wp:posOffset>
            </wp:positionV>
            <wp:extent cx="71120" cy="711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0" w:lineRule="exact"/>
        <w:rPr>
          <w:sz w:val="20"/>
          <w:szCs w:val="20"/>
          <w:color w:val="auto"/>
        </w:rPr>
      </w:pPr>
    </w:p>
    <w:p>
      <w:pPr>
        <w:jc w:val="both"/>
        <w:ind w:left="980"/>
        <w:spacing w:after="0" w:line="235" w:lineRule="auto"/>
        <w:rPr>
          <w:sz w:val="20"/>
          <w:szCs w:val="20"/>
          <w:color w:val="auto"/>
        </w:rPr>
      </w:pPr>
      <w:r>
        <w:rPr>
          <w:rFonts w:ascii="Arial" w:cs="Arial" w:eastAsia="Arial" w:hAnsi="Arial"/>
          <w:sz w:val="20"/>
          <w:szCs w:val="20"/>
          <w:b w:val="1"/>
          <w:b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-387985</wp:posOffset>
            </wp:positionV>
            <wp:extent cx="71120" cy="711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Development of our Product Candidates</w:t>
      </w:r>
    </w:p>
    <w:p>
      <w:pPr>
        <w:spacing w:after="0" w:line="145" w:lineRule="exact"/>
        <w:rPr>
          <w:sz w:val="20"/>
          <w:szCs w:val="20"/>
          <w:color w:val="auto"/>
        </w:rPr>
      </w:pPr>
    </w:p>
    <w:p>
      <w:pPr>
        <w:jc w:val="both"/>
        <w:ind w:left="980"/>
        <w:spacing w:after="0" w:line="269" w:lineRule="auto"/>
        <w:rPr>
          <w:sz w:val="20"/>
          <w:szCs w:val="20"/>
          <w:color w:val="auto"/>
        </w:rPr>
      </w:pPr>
      <w:r>
        <w:rPr>
          <w:rFonts w:ascii="Arial" w:cs="Arial" w:eastAsia="Arial" w:hAnsi="Arial"/>
          <w:sz w:val="18"/>
          <w:szCs w:val="18"/>
          <w:b w:val="1"/>
          <w:bCs w:val="1"/>
          <w:color w:val="auto"/>
        </w:rPr>
        <w:t>Newly emerging and future SARS-CoV-2 VoCs could reduce the activity and effectiveness of antibodies as a potential prevention of or treatment for symptomatic COVID-19, which may significantly and adversely affect our ability to complete our clinical trials, obtain authorization or approval of, and commercialize our product candidates. We may not be successful in developing our current product candidates or identifying new antibodies that are suitable either as monotherapy or as combination therapy to mitigate the risk of reduced activity against future SARS-CoV-2 VoCs.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-842645</wp:posOffset>
            </wp:positionV>
            <wp:extent cx="71120" cy="71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jc w:val="both"/>
        <w:ind w:left="980"/>
        <w:spacing w:after="0" w:line="270" w:lineRule="auto"/>
        <w:rPr>
          <w:sz w:val="20"/>
          <w:szCs w:val="20"/>
          <w:color w:val="auto"/>
        </w:rPr>
      </w:pPr>
      <w:r>
        <w:rPr>
          <w:rFonts w:ascii="Arial" w:cs="Arial" w:eastAsia="Arial" w:hAnsi="Arial"/>
          <w:sz w:val="18"/>
          <w:szCs w:val="18"/>
          <w:b w:val="1"/>
          <w:bCs w:val="1"/>
          <w:color w:val="auto"/>
        </w:rPr>
        <w:t>We intend to monitor the evolution of SARS-CoV-2 and the in vitro activity of adintrevimab against predominant variants in the United States (“U.S.”) to identify a potential opportunity for an emergency use authorization (“EUA”) request for adintrevimab in the event of a susceptible variant. However, we cannot be certain that adintrevimab or other product candidates will neutralize future variants and that we will submit an EUA for any product candidate or whether an EUA will be granted if we do submit such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-697865</wp:posOffset>
            </wp:positionV>
            <wp:extent cx="71120" cy="711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0" w:lineRule="exact"/>
        <w:rPr>
          <w:sz w:val="20"/>
          <w:szCs w:val="20"/>
          <w:color w:val="auto"/>
        </w:rPr>
      </w:pPr>
    </w:p>
    <w:p>
      <w:pPr>
        <w:jc w:val="both"/>
        <w:ind w:left="980"/>
        <w:spacing w:after="0" w:line="252" w:lineRule="auto"/>
        <w:rPr>
          <w:sz w:val="20"/>
          <w:szCs w:val="20"/>
          <w:color w:val="auto"/>
        </w:rPr>
      </w:pPr>
      <w:r>
        <w:rPr>
          <w:rFonts w:ascii="Arial" w:cs="Arial" w:eastAsia="Arial" w:hAnsi="Arial"/>
          <w:sz w:val="19"/>
          <w:szCs w:val="19"/>
          <w:b w:val="1"/>
          <w:bCs w:val="1"/>
          <w:color w:val="auto"/>
        </w:rPr>
        <w:t>All of our product candidates, other than adintrevimab, are currently in clinical and preclinical development. If we are unable to successfully develop, receive regulatory approval or an EUA for and commercialize our product candidates for the indications we seek, or successfully develop any other product candidates, or experience significant delays in doing so, our business will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-541655</wp:posOffset>
            </wp:positionV>
            <wp:extent cx="71120" cy="71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980"/>
        <w:spacing w:after="0" w:line="272" w:lineRule="auto"/>
        <w:rPr>
          <w:sz w:val="20"/>
          <w:szCs w:val="20"/>
          <w:color w:val="auto"/>
        </w:rPr>
      </w:pPr>
      <w:r>
        <w:rPr>
          <w:rFonts w:ascii="Arial" w:cs="Arial" w:eastAsia="Arial" w:hAnsi="Arial"/>
          <w:sz w:val="18"/>
          <w:szCs w:val="18"/>
          <w:b w:val="1"/>
          <w:bCs w:val="1"/>
          <w:color w:val="auto"/>
        </w:rPr>
        <w:t>Because our product candidates represent novel approaches to the prevention and treatment of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-554355</wp:posOffset>
            </wp:positionV>
            <wp:extent cx="71120" cy="711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5" w:lineRule="exact"/>
        <w:rPr>
          <w:sz w:val="20"/>
          <w:szCs w:val="20"/>
          <w:color w:val="auto"/>
        </w:rPr>
      </w:pPr>
    </w:p>
    <w:p>
      <w:pPr>
        <w:ind w:left="980" w:right="220"/>
        <w:spacing w:after="0" w:line="292" w:lineRule="auto"/>
        <w:rPr>
          <w:sz w:val="20"/>
          <w:szCs w:val="20"/>
          <w:color w:val="auto"/>
        </w:rPr>
      </w:pPr>
      <w:r>
        <w:rPr>
          <w:rFonts w:ascii="Arial" w:cs="Arial" w:eastAsia="Arial" w:hAnsi="Arial"/>
          <w:sz w:val="17"/>
          <w:szCs w:val="17"/>
          <w:b w:val="1"/>
          <w:bCs w:val="1"/>
          <w:color w:val="auto"/>
        </w:rPr>
        <w:t>Our integrated discovery platform approach may not produce durable, broadly neutralizing, effective or safe antibodies in the timeframe necessary to address a changing virus. If we are unable to timely identify, develop, obtain authorization or approval for, and commercialize new antibodies on a perpetual, ongoing basis that keep pace with viral evolution, our business prospects will be significantly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-562610</wp:posOffset>
            </wp:positionV>
            <wp:extent cx="71120" cy="711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5" w:lineRule="exact"/>
        <w:rPr>
          <w:sz w:val="20"/>
          <w:szCs w:val="20"/>
          <w:color w:val="auto"/>
        </w:rPr>
      </w:pPr>
    </w:p>
    <w:p>
      <w:pPr>
        <w:jc w:val="both"/>
        <w:ind w:left="980"/>
        <w:spacing w:after="0" w:line="285" w:lineRule="auto"/>
        <w:rPr>
          <w:sz w:val="20"/>
          <w:szCs w:val="20"/>
          <w:color w:val="auto"/>
        </w:rPr>
      </w:pPr>
      <w:r>
        <w:rPr>
          <w:rFonts w:ascii="Arial" w:cs="Arial" w:eastAsia="Arial" w:hAnsi="Arial"/>
          <w:sz w:val="17"/>
          <w:szCs w:val="17"/>
          <w:b w:val="1"/>
          <w:bCs w:val="1"/>
          <w:color w:val="auto"/>
        </w:rPr>
        <w:t>There can be no assurance that the public health emergency in the U.S. declared under the Public Health Service Act (the “PHS Act”) and the Federal Food, Drug, and Cosmetic Act (the “FDCA”) will continue to be in place for an extended period of time and that the product candidates we are developing for COVID-19 could be granted an EUA by the U.S. Food and Drug Administration (the “FDA”) or similar authorization by regulatory authorities outside of the U.S. if we decide to apply for such an authorization. If we do not apply for such an authorization or, if we do apply and no authorization is granted or, once granted, it is terminated, we will be unable to sell our product candidates in the near future and instead, would need to pursue the traditional regulatory approval processes of the FDA and comparable foreign authorities, which are lengthy, time consuming and inherently unpredictable. If we are not able to obtain required regulatory authorization or approval for our product candidates, our business will be substantially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-1432560</wp:posOffset>
            </wp:positionV>
            <wp:extent cx="71120" cy="711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2" w:lineRule="exact"/>
        <w:rPr>
          <w:sz w:val="20"/>
          <w:szCs w:val="20"/>
          <w:color w:val="auto"/>
        </w:rPr>
      </w:pPr>
    </w:p>
    <w:p>
      <w:pPr>
        <w:jc w:val="both"/>
        <w:ind w:left="980"/>
        <w:spacing w:after="0" w:line="312" w:lineRule="auto"/>
        <w:rPr>
          <w:sz w:val="20"/>
          <w:szCs w:val="20"/>
          <w:color w:val="auto"/>
        </w:rPr>
      </w:pPr>
      <w:r>
        <w:rPr>
          <w:rFonts w:ascii="Arial" w:cs="Arial" w:eastAsia="Arial" w:hAnsi="Arial"/>
          <w:sz w:val="17"/>
          <w:szCs w:val="17"/>
          <w:b w:val="1"/>
          <w:b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-281305</wp:posOffset>
            </wp:positionV>
            <wp:extent cx="71120" cy="711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w:t>
      </w:r>
    </w:p>
    <w:p>
      <w:pPr>
        <w:sectPr>
          <w:pgSz w:w="12240" w:h="15840" w:orient="portrait"/>
          <w:cols w:equalWidth="0" w:num="1">
            <w:col w:w="10080"/>
          </w:cols>
          <w:pgMar w:left="1080" w:top="1079" w:right="1080" w:bottom="157" w:gutter="0" w:footer="0" w:header="0"/>
        </w:sectPr>
      </w:pPr>
    </w:p>
    <w:bookmarkStart w:id="5" w:name="page6"/>
    <w:bookmarkEnd w:id="5"/>
    <w:p>
      <w:pPr>
        <w:jc w:val="both"/>
        <w:ind w:left="980"/>
        <w:spacing w:after="0" w:line="235" w:lineRule="auto"/>
        <w:rPr>
          <w:sz w:val="20"/>
          <w:szCs w:val="20"/>
          <w:color w:val="auto"/>
        </w:rPr>
      </w:pPr>
      <w:r>
        <w:rPr>
          <w:rFonts w:ascii="Arial" w:cs="Arial" w:eastAsia="Arial" w:hAnsi="Arial"/>
          <w:sz w:val="20"/>
          <w:szCs w:val="20"/>
          <w:b w:val="1"/>
          <w:bCs w:val="1"/>
          <w:color w:val="auto"/>
        </w:rPr>
        <w:t>Lack of awareness or negative public opinion of monoclonal antibody therapies and increased regulatory scrutiny of monoclonal antibody therapies to prevent or treat COVID-19 may adversely impact the development or commercial success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-387985</wp:posOffset>
            </wp:positionV>
            <wp:extent cx="71120" cy="711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We may experience delays or difficulties in the enrollment and/or retention of patients in clinical trials, or we may pause, delay or terminate enrollment in our clinical trials, which could in turn delay or prevent our receipt of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-389890</wp:posOffset>
            </wp:positionV>
            <wp:extent cx="71120" cy="711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54" w:lineRule="auto"/>
        <w:rPr>
          <w:sz w:val="20"/>
          <w:szCs w:val="20"/>
          <w:color w:val="auto"/>
        </w:rPr>
      </w:pPr>
      <w:r>
        <w:rPr>
          <w:rFonts w:ascii="Arial" w:cs="Arial" w:eastAsia="Arial" w:hAnsi="Arial"/>
          <w:sz w:val="19"/>
          <w:szCs w:val="19"/>
          <w:b w:val="1"/>
          <w:bCs w:val="1"/>
          <w:color w:val="auto"/>
        </w:rPr>
        <w:t>We may not be successful in our efforts to build a pipeline of additional product candidates through internal efforts or through partnerships for discovery of novel antibody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-252730</wp:posOffset>
            </wp:positionV>
            <wp:extent cx="71120" cy="71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0"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Our business and operations may be adversely affected by the evolving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Manufacturing of our Product Candidates</w:t>
      </w:r>
    </w:p>
    <w:p>
      <w:pPr>
        <w:spacing w:after="0" w:line="145" w:lineRule="exact"/>
        <w:rPr>
          <w:sz w:val="20"/>
          <w:szCs w:val="20"/>
          <w:color w:val="auto"/>
        </w:rPr>
      </w:pPr>
    </w:p>
    <w:p>
      <w:pPr>
        <w:jc w:val="both"/>
        <w:ind w:left="980"/>
        <w:spacing w:after="0" w:line="270" w:lineRule="auto"/>
        <w:rPr>
          <w:sz w:val="20"/>
          <w:szCs w:val="20"/>
          <w:color w:val="auto"/>
        </w:rPr>
      </w:pPr>
      <w:r>
        <w:rPr>
          <w:rFonts w:ascii="Arial" w:cs="Arial" w:eastAsia="Arial" w:hAnsi="Arial"/>
          <w:sz w:val="18"/>
          <w:szCs w:val="18"/>
          <w:b w:val="1"/>
          <w:bCs w:val="1"/>
          <w:color w:val="auto"/>
        </w:rPr>
        <w:t>Monoclonal antibody therapies are complex and difficult to manufacture, and we rely on contract manufacturers for access to capacity. We could experience manufacturing problems, may be unable to access desired manufacturing capacity within desired timeframes, or may be unable to access raw materials due to global supply chain shortages or otherwise, that result in delays in the development, supply, or commercialization of our product candidates or otherwise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-697865</wp:posOffset>
            </wp:positionV>
            <wp:extent cx="71120" cy="711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0" w:lineRule="exact"/>
        <w:rPr>
          <w:sz w:val="20"/>
          <w:szCs w:val="20"/>
          <w:color w:val="auto"/>
        </w:rPr>
      </w:pPr>
    </w:p>
    <w:p>
      <w:pPr>
        <w:jc w:val="both"/>
        <w:ind w:left="980"/>
        <w:spacing w:after="0" w:line="291" w:lineRule="auto"/>
        <w:rPr>
          <w:sz w:val="20"/>
          <w:szCs w:val="20"/>
          <w:color w:val="auto"/>
        </w:rPr>
      </w:pPr>
      <w:r>
        <w:rPr>
          <w:rFonts w:ascii="Arial" w:cs="Arial" w:eastAsia="Arial" w:hAnsi="Arial"/>
          <w:sz w:val="17"/>
          <w:szCs w:val="17"/>
          <w:b w:val="1"/>
          <w:bCs w:val="1"/>
          <w:color w:val="auto"/>
        </w:rPr>
        <w:t>We depend on sole-source third-party suppliers for materials that are necessary for the conduct of preclinical studies and manufacture and testing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-560705</wp:posOffset>
            </wp:positionV>
            <wp:extent cx="71120" cy="711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Commercialization of Our Product Candidates</w:t>
      </w:r>
    </w:p>
    <w:p>
      <w:pPr>
        <w:spacing w:after="0" w:line="141"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The affected populations for our product candidates may be smaller than we or third parties currently project, which may affect the addressable markets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54" w:lineRule="auto"/>
        <w:rPr>
          <w:sz w:val="20"/>
          <w:szCs w:val="20"/>
          <w:color w:val="auto"/>
        </w:rPr>
      </w:pPr>
      <w:r>
        <w:rPr>
          <w:rFonts w:ascii="Arial" w:cs="Arial" w:eastAsia="Arial" w:hAnsi="Arial"/>
          <w:sz w:val="19"/>
          <w:szCs w:val="19"/>
          <w:b w:val="1"/>
          <w:bCs w:val="1"/>
          <w:color w:val="auto"/>
        </w:rPr>
        <w:t>Our monoclonal antibody product candidates may face significant competition from vaccines, antiviral agents and other therapeutics for COVID-19 that are currently available or in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-252730</wp:posOffset>
            </wp:positionV>
            <wp:extent cx="71120" cy="71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145" w:lineRule="exact"/>
        <w:rPr>
          <w:sz w:val="20"/>
          <w:szCs w:val="20"/>
          <w:color w:val="auto"/>
        </w:rPr>
      </w:pPr>
    </w:p>
    <w:p>
      <w:pPr>
        <w:jc w:val="both"/>
        <w:ind w:left="980"/>
        <w:spacing w:after="0" w:line="253" w:lineRule="auto"/>
        <w:rPr>
          <w:sz w:val="20"/>
          <w:szCs w:val="20"/>
          <w:color w:val="auto"/>
        </w:rPr>
      </w:pPr>
      <w:r>
        <w:rPr>
          <w:rFonts w:ascii="Arial" w:cs="Arial" w:eastAsia="Arial" w:hAnsi="Arial"/>
          <w:sz w:val="19"/>
          <w:szCs w:val="19"/>
          <w:b w:val="1"/>
          <w:bCs w:val="1"/>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-543560</wp:posOffset>
            </wp:positionV>
            <wp:extent cx="71120" cy="71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Third parties may initiate legal proceedings alleging that we are infringing, misappropriating or otherwise violating their intellectual property rights, the outcome of which would be uncertain.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-243205</wp:posOffset>
            </wp:positionV>
            <wp:extent cx="71120" cy="711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 and Our Status as a Public Company</w:t>
      </w:r>
    </w:p>
    <w:p>
      <w:pPr>
        <w:spacing w:after="0" w:line="145"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The trading price of the shares of our common stock has been and may continue to be volatile, and purchasers of our common stock could incur substantial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-243205</wp:posOffset>
            </wp:positionV>
            <wp:extent cx="71120" cy="71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145" w:lineRule="exact"/>
        <w:rPr>
          <w:sz w:val="20"/>
          <w:szCs w:val="20"/>
          <w:color w:val="auto"/>
        </w:rPr>
      </w:pPr>
    </w:p>
    <w:p>
      <w:pPr>
        <w:jc w:val="both"/>
        <w:ind w:left="980"/>
        <w:spacing w:after="0" w:line="333" w:lineRule="auto"/>
        <w:rPr>
          <w:sz w:val="20"/>
          <w:szCs w:val="20"/>
          <w:color w:val="auto"/>
        </w:rPr>
      </w:pPr>
      <w:r>
        <w:rPr>
          <w:rFonts w:ascii="Arial" w:cs="Arial" w:eastAsia="Arial" w:hAnsi="Arial"/>
          <w:sz w:val="15"/>
          <w:szCs w:val="15"/>
          <w:b w:val="1"/>
          <w:bCs w:val="1"/>
          <w:color w:val="auto"/>
        </w:rPr>
        <w:t>We and certain of our former officers have been named as defendants in a pending securities class action lawsuit. We have also received a request from the SEC requesting certain information in connection with an investigation. This lawsuit and investigation, and potential similar or related lawsuits or investigations, could result in substantial damages, divert management’s time and attention from our business, and have a material adverse effect on our results of operations. This lawsuit and investigation, and any other lawsuits or investigations to which we are subject, will be costly to defend or comply with and are uncertain in their 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-870585</wp:posOffset>
            </wp:positionV>
            <wp:extent cx="71120" cy="711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w:t>
      </w:r>
    </w:p>
    <w:p>
      <w:pPr>
        <w:sectPr>
          <w:pgSz w:w="12240" w:h="15840" w:orient="portrait"/>
          <w:cols w:equalWidth="0" w:num="1">
            <w:col w:w="10080"/>
          </w:cols>
          <w:pgMar w:left="1080" w:top="1104" w:right="1080" w:bottom="157"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PART I</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Invivyd, Inc. is a biopharmaceutical company on a mission to rapidly and perpetually deliver antibody-based therapies that protect vulnerable people from the devastating consequences of circulating viral threats, beginning with SARS-CoV-2. Our technology works at the intersection of evolutionary virology, predictive modeling, and antibody engineering, and is designed to identify high-quality, long-lasting antibodies with a high barrier to viral escape. We are generating a robust pipeline of product candidates which could be used in prevention or treatment of serious viral diseases, starting with COVID-19 and expanding into influenza and other high-need indications.</w:t>
      </w:r>
    </w:p>
    <w:p>
      <w:pPr>
        <w:spacing w:after="0" w:line="108"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Our vision is to provide hope for vulnerable people from viral diseases. To enable this vision, our current discovery efforts are focused on unique mAb-based product candidates that we optimize to improve breadth, potency, half-life, where applicable, and developability. Key elements that we believe differentiate our approach include: (1) cutting edge viral and epidemiological surveillance; (2) recognition of the importance of identification and availability of a repertoire of broadly neutralizing monoclonal antibodies; and (3) industry-leading B-cell mining, protein and antibody engineering as well as developability screening capabilities through our internal expertise and collaborations. We have leveraged our integrated discovery platform approach to produce candidate antibodies for the treatment and prevention of COVID-19 and lead molecules for other infectious diseases, such as influenza. In addition, we continue to evaluate therapeutic candidates for infectious diseases with high unmet medical need through in-licensing opportunities that may leverage our team’s expertise and capabilities.</w:t>
      </w:r>
    </w:p>
    <w:p>
      <w:pPr>
        <w:spacing w:after="0" w:line="10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Globally, COVID-19 has caused millions of deaths and lasting health problems in many survivors and remains a significant global health crisis. Isolation and mental health impacts, absenteeism from work, and educational losses for children have been profound consequences of this crisis. COVID-19 persists and continues to impact patients, notably those who are immune compromised, and combating this disease will require a variety of effective and safe prevention and treatment options for years to come. By leveraging the company’s capabilities, which we have developed through our experience with adintrevimab and nearly three years in the COVID-19 space, we aim to develop a continuous repertoire of SARS-CoV-2 neutralizing monoclonal antibodies to keep pace with viral evolution.</w:t>
      </w:r>
    </w:p>
    <w:p>
      <w:pPr>
        <w:spacing w:after="0" w:line="106"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VYD222 is expected to be our second mAb candidate to enter clinical testing. We continue to plan for a Phase 1 clinical trial start in the first quarter of 2023. After a dose-ranging Phase 1 clinical trial to evaluate safety and pharmacokinetics (“PK”), we intend to initiate a clinical trial to assess the efficacy of VYD222 to prevent COVID-19, specifically in immune compromised individuals. VYD222 has demonstrated in vitro neutralizing activity against prior and current SARS-CoV-2 VoCs, including the Omicron sublineage XBB.1.5. VYD222 is an engineered version of adintrevimab, our investigational mAb, which demonstrated clinically meaningful results and generated a robust safety data package in global Phase 3 clinical trials for both the prevention and treatment of COVID-19 during the Delta and Omicron BA.1 waves of SARS-CoV-2 but subsequently lost in vitro neutralizing activity against Omicron BA.2. Utilizing our expertise in antibody engineering, we were able to restore the activity against BA.2 and other Omicron VoCs, while maintaining activity against previous VoCs. The resulting mAb, VYD222, differs from adintrevimab by only eight amino acids in the variable region.</w:t>
      </w:r>
    </w:p>
    <w:p>
      <w:pPr>
        <w:spacing w:after="0" w:line="100"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On December 15, 2022, a joint EMA-FDA COVID-19 workshop entitled: Efficacy of monoclonal antibodies in the context of rapidly evolving SARS-CoV-2 variants was held to discuss alternative strategies for development of novel monoclonal antibody therapies, including those based on prototype products that have demonstrated safety and efficacy in clinical trials. A group of researchers, clinicians and industry representatives discussed and endorsed the use of a surrogate marker of clinical efficacy to support these alternative development strategies. As part of the joint EMA-FDA COVID-19 workshop, neutralizing antibody titers were proposed as a possible surrogate marker of protection based on data from our adintrevimab prevention clinical trial (EVADE). It is our belief that neutralizing antibody titers, combined with associated PK and safety information, may be used for a streamlined development pathway.</w:t>
      </w:r>
    </w:p>
    <w:p>
      <w:pPr>
        <w:spacing w:after="0" w:line="95"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on partnerships, external consultants and contract research organizations (“CROs”) to conduct discovery, non-clinical, preclinical and clinical activities. Additionally, we rely on Contract Testing Laboratories (“CTLs”) and contract development and manufacturing organizations (“CDMOs”) to execute our chemistry, manufacturing and controls (“CMC”) development, testing and manufacturing activities. We have engaged WuXi Biologics (Hong Kong) Limited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w:t>
      </w:r>
    </w:p>
    <w:p>
      <w:pPr>
        <w:sectPr>
          <w:pgSz w:w="12240" w:h="15840" w:orient="portrait"/>
          <w:cols w:equalWidth="0" w:num="1">
            <w:col w:w="10080"/>
          </w:cols>
          <w:pgMar w:left="1080" w:top="1079" w:right="1080" w:bottom="157" w:gutter="0" w:footer="0" w:header="0"/>
        </w:sectPr>
      </w:pPr>
    </w:p>
    <w:bookmarkStart w:id="7" w:name="page8"/>
    <w:bookmarkEnd w:id="7"/>
    <w:p>
      <w:pPr>
        <w:jc w:val="both"/>
        <w:spacing w:after="0" w:line="235" w:lineRule="auto"/>
        <w:rPr>
          <w:sz w:val="20"/>
          <w:szCs w:val="20"/>
          <w:color w:val="auto"/>
        </w:rPr>
      </w:pPr>
      <w:r>
        <w:rPr>
          <w:rFonts w:ascii="Arial" w:cs="Arial" w:eastAsia="Arial" w:hAnsi="Arial"/>
          <w:sz w:val="20"/>
          <w:szCs w:val="20"/>
          <w:b w:val="1"/>
          <w:bCs w:val="1"/>
          <w:color w:val="auto"/>
        </w:rPr>
        <w:t>leverage our existing partnership with Adimab. We are focused on antibody discovery and use of Adimab’s platform technology, while building our internal capabilities. In addition, we engage third parties to perform ongoing research and development and other services on our behalf.</w:t>
      </w:r>
    </w:p>
    <w:p>
      <w:pPr>
        <w:spacing w:after="0" w:line="133"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We expect to continue to rely on third parties for clinical trials and the manufacture and testing of our product candidates, as well as to perform ongoing research and development and other services on our behalf.</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13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Our goal is to discover, develop and commercialize differentiated products that could be used for the prevention and/or treatment of viral infectious diseases beginning with COVID-19. We intend to deliver new product candidates on a perpetual, ongoing basis to provide solutions for vulnerable people as new SARS-CoV-2 VoCs emerge. In order to achieve this goal, our strategy involves execution of the following key elements:</w:t>
      </w:r>
    </w:p>
    <w:p>
      <w:pPr>
        <w:spacing w:after="0" w:line="119" w:lineRule="exact"/>
        <w:rPr>
          <w:sz w:val="20"/>
          <w:szCs w:val="20"/>
          <w:color w:val="auto"/>
        </w:rPr>
      </w:pPr>
    </w:p>
    <w:p>
      <w:pPr>
        <w:jc w:val="both"/>
        <w:ind w:left="1100"/>
        <w:spacing w:after="0" w:line="288" w:lineRule="auto"/>
        <w:rPr>
          <w:sz w:val="20"/>
          <w:szCs w:val="20"/>
          <w:color w:val="auto"/>
        </w:rPr>
      </w:pPr>
      <w:r>
        <w:rPr>
          <w:rFonts w:ascii="Arial" w:cs="Arial" w:eastAsia="Arial" w:hAnsi="Arial"/>
          <w:sz w:val="17"/>
          <w:szCs w:val="17"/>
          <w:b w:val="1"/>
          <w:bCs w:val="1"/>
          <w:color w:val="auto"/>
        </w:rPr>
        <w:t>Obtaining regulatory authorization or approval for our lead product candidate, VYD222, for the prevention and/or treatment of COVID-19. We continue to work with global regulators to align on an expedited and replicable pathway to SARS-CoV-2 mAb authorization or approval, with potential for authorization under an EUA or other expedited pathways. There are precedents in the influenza and COVID-19 vaccine spaces for leveraging existing safety and efficacy data to bridge quickly to new or engineered mAbs. We expect these discussions with regulators to continue as we advance the VYD222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-852170</wp:posOffset>
            </wp:positionV>
            <wp:extent cx="71120" cy="711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7" w:lineRule="exact"/>
        <w:rPr>
          <w:sz w:val="20"/>
          <w:szCs w:val="20"/>
          <w:color w:val="auto"/>
        </w:rPr>
      </w:pPr>
    </w:p>
    <w:p>
      <w:pPr>
        <w:jc w:val="both"/>
        <w:ind w:left="1100"/>
        <w:spacing w:after="0" w:line="286" w:lineRule="auto"/>
        <w:rPr>
          <w:sz w:val="20"/>
          <w:szCs w:val="20"/>
          <w:color w:val="auto"/>
        </w:rPr>
      </w:pPr>
      <w:r>
        <w:rPr>
          <w:rFonts w:ascii="Arial" w:cs="Arial" w:eastAsia="Arial" w:hAnsi="Arial"/>
          <w:sz w:val="17"/>
          <w:szCs w:val="17"/>
          <w:b w:val="1"/>
          <w:bCs w:val="1"/>
          <w:color w:val="auto"/>
        </w:rPr>
        <w:t>Successfully commercializing VYD222, if authorized or approved. We believe the commercialization of VYD222, if authorized or approved, will involve direct sales to governments, including relevant health agencies and national health systems, and in the U.S., health insurers, integrated delivery networks and large employers. We are exploring a range of commercial go-to-market approaches in the U.S. and Europe, including building our own commercial organization, outsourcing to contract sales and marketing organizations, and/or partnering with other biopharmaceutical firms with established sales, marketing, and market access capabilities. In certain markets, such as Latin America, Asia-Pacific, including China, and Middle Eastern and African countries, we intend to commercialize VYD222 through partnerships, if authorized or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-1142365</wp:posOffset>
            </wp:positionV>
            <wp:extent cx="71120" cy="711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2" w:lineRule="exact"/>
        <w:rPr>
          <w:sz w:val="20"/>
          <w:szCs w:val="20"/>
          <w:color w:val="auto"/>
        </w:rPr>
      </w:pPr>
    </w:p>
    <w:p>
      <w:pPr>
        <w:jc w:val="both"/>
        <w:ind w:left="1100"/>
        <w:spacing w:after="0" w:line="252" w:lineRule="auto"/>
        <w:rPr>
          <w:sz w:val="20"/>
          <w:szCs w:val="20"/>
          <w:color w:val="auto"/>
        </w:rPr>
      </w:pPr>
      <w:r>
        <w:rPr>
          <w:rFonts w:ascii="Arial" w:cs="Arial" w:eastAsia="Arial" w:hAnsi="Arial"/>
          <w:sz w:val="19"/>
          <w:szCs w:val="19"/>
          <w:b w:val="1"/>
          <w:bCs w:val="1"/>
          <w:color w:val="auto"/>
        </w:rPr>
        <w:t>Ensuring supply of drug product for VYD222 and future clinical product candidates. We have partnered with WuXi Biologics for CMC development and for clinical and commercial drug substance and drug product supply of VYD222. We believe we have secured sufficient capacity for our initial supply needs, in the event that VYD222 is authorized under an EUA. We continue to evaluate access to worldwide capacity at both WuXi Biologics and other CDMOs to ensure we can meet potential future demand for VYD222. We expect to continue to use multiple CDMOs and laboratories as we advance non-clinical development activities related to our pipeline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-978535</wp:posOffset>
            </wp:positionV>
            <wp:extent cx="71120" cy="71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jc w:val="both"/>
        <w:ind w:left="1100"/>
        <w:spacing w:after="0" w:line="327" w:lineRule="auto"/>
        <w:rPr>
          <w:sz w:val="20"/>
          <w:szCs w:val="20"/>
          <w:color w:val="auto"/>
        </w:rPr>
      </w:pPr>
      <w:r>
        <w:rPr>
          <w:rFonts w:ascii="Arial" w:cs="Arial" w:eastAsia="Arial" w:hAnsi="Arial"/>
          <w:sz w:val="15"/>
          <w:szCs w:val="15"/>
          <w:b w:val="1"/>
          <w:bCs w:val="1"/>
          <w:color w:val="auto"/>
        </w:rPr>
        <w:t>Advancing differentiated product candidates to address infectious diseases through internal research, in-licensing and leveraging collaborations. We have built a portfolio of broadly neutralizing SARS-CoV-2 antibodies as our lead disease area of focus. We have exclusive access to Adimab’s industry-leading B-cell mining, protein and antibody engineering capabilities for coronavirus and influenza antibody discovery. We are currently leveraging this partnership and building internal capabilities to further expand our portfolio with additional uniquely differentiated anti-viral antibodies targeting SARS-CoV-2, as well as other infectious diseases. In addition, we have employed unique protein engineering strategies to enhance activity of our current antibodies against circulating SARS-CoV-2 VoCs. With our cutting edge viral and epidemiological surveillance, we aim to stay ahead of potential future VoCs with our repertoire of broadly neutralizing monoclonal antibodies. Finally, we continue to evaluate product candidates for infectious diseases with high unmet need through in-licensing opportunities in addition to utilizing our team’s expertise and differentiated design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-1450975</wp:posOffset>
            </wp:positionV>
            <wp:extent cx="71120" cy="711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94" w:lineRule="exact"/>
        <w:rPr>
          <w:sz w:val="20"/>
          <w:szCs w:val="20"/>
          <w:color w:val="auto"/>
        </w:rPr>
      </w:pPr>
    </w:p>
    <w:p>
      <w:pPr>
        <w:jc w:val="both"/>
        <w:ind w:left="1100"/>
        <w:spacing w:after="0" w:line="252" w:lineRule="auto"/>
        <w:rPr>
          <w:sz w:val="20"/>
          <w:szCs w:val="20"/>
          <w:color w:val="auto"/>
        </w:rPr>
      </w:pPr>
      <w:r>
        <w:rPr>
          <w:rFonts w:ascii="Arial" w:cs="Arial" w:eastAsia="Arial" w:hAnsi="Arial"/>
          <w:sz w:val="19"/>
          <w:szCs w:val="19"/>
          <w:b w:val="1"/>
          <w:bCs w:val="1"/>
          <w:color w:val="auto"/>
        </w:rPr>
        <w:t>Leveraging our team’s collective expertise in development, manufacturing and commercialization to deliver future product candidates to patients. Since our inception, we have assembled a team with deep and specific expertise in discovering, developing, manufacturing and commercializing novel treatments for infectious diseases, including extensive experience with developing mAb-based therapies. Based on our team’s collective track record, including other COVID-19 product launches, we executed on the clinical, regulatory, and manufacturing plan for adintrevimab, which can be leveraged to support our next generation VYD222 program and follow-on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-978535</wp:posOffset>
            </wp:positionV>
            <wp:extent cx="71120" cy="711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w:t>
      </w:r>
    </w:p>
    <w:p>
      <w:pPr>
        <w:sectPr>
          <w:pgSz w:w="12240" w:h="15840" w:orient="portrait"/>
          <w:cols w:equalWidth="0" w:num="1">
            <w:col w:w="10080"/>
          </w:cols>
          <w:pgMar w:left="1080" w:top="1089" w:right="1080" w:bottom="157"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Background on COVID-19 and SARS-CoV-2 Variants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COVID-19, the disease caused by SARS-CoV-2 and its variants, gave rise to a global pandemic in 2020. SARS-CoV-2 continues to cause infections and disease. COVID-19 remains a significant global health problem. According to estimates as of March 6, 2023 from the Johns Hopkins University, there have been approximately 676 million cases of laboratory-confirmed COVID-19 and 6.9 million COVID-19-related deaths worldwide, with approximately 104 million laboratory-confirmed cases of COVID-19 and more than 1.1 million COVID-19-related deaths in the U.S. Disease modeling conducted by several different organizations suggests that these estimates significantly underrepresent the true number of infections and deaths related to COVID-19.</w:t>
      </w:r>
    </w:p>
    <w:p>
      <w:pPr>
        <w:spacing w:after="0" w:line="12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Evolution of SARS-CoV-2 resulting in the rise of new variants and VoCs (see figure below) continues to pose significant issues. A VoC is a variant designated by the World Health Organization (“WHO”) for which there is evidence of an increase in transmissibility, more severe disease, significant reduction in neutralization by antibodies generated during previous infection or vaccination, reduced effectiveness of treatments or vaccines, or diagnostic detection failures. From early 2022, several Omicron sublineages have represented the dominant VoCs circulating globally. Several of the amino acid substitutions within the receptor binding domain (“RBD”) of the spike glycoprotein of the Omicron sublineages are associated with escape from common classes of neutralizing antibodies, thereby endowing Omicron with significantly increased resistance to serum neutralizing antibodies induced following natural infection and vaccination with ancestral strains of the virus. Importantly, all therapeutic mAbs previously authorized have had their authorizations revoked in the U.S. due to loss of activity against currently circulating VoCs. Thus, there is an urgent need to develop next-generation mAbs against current and potentially future SARS-CoV-2 VoCs.</w:t>
      </w:r>
    </w:p>
    <w:p>
      <w:pPr>
        <w:spacing w:after="0" w:line="200" w:lineRule="exact"/>
        <w:rPr>
          <w:sz w:val="20"/>
          <w:szCs w:val="20"/>
          <w:color w:val="auto"/>
        </w:rPr>
      </w:pPr>
    </w:p>
    <w:p>
      <w:pPr>
        <w:spacing w:after="0" w:line="236" w:lineRule="exact"/>
        <w:rPr>
          <w:sz w:val="20"/>
          <w:szCs w:val="20"/>
          <w:color w:val="auto"/>
        </w:rPr>
      </w:pPr>
    </w:p>
    <w:p>
      <w:pPr>
        <w:ind w:left="1440"/>
        <w:spacing w:after="0"/>
        <w:rPr>
          <w:sz w:val="20"/>
          <w:szCs w:val="20"/>
          <w:color w:val="auto"/>
        </w:rPr>
      </w:pPr>
      <w:r>
        <w:rPr>
          <w:rFonts w:ascii="Arial" w:cs="Arial" w:eastAsia="Arial" w:hAnsi="Arial"/>
          <w:sz w:val="20"/>
          <w:szCs w:val="20"/>
          <w:b w:val="1"/>
          <w:bCs w:val="1"/>
          <w:color w:val="auto"/>
        </w:rPr>
        <w:t>SARS-CoV-2 Variants Continue to Emerge, Particularly Within the Omicron Sublineages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402070" cy="12268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1">
                      <a:extLst>
                        <a:ext uri="{28A0092B-C50C-407E-A947-70E740481C1C}"/>
                      </a:extLst>
                    </a:blip>
                    <a:srcRect/>
                    <a:stretch>
                      <a:fillRect/>
                    </a:stretch>
                  </pic:blipFill>
                  <pic:spPr bwMode="auto">
                    <a:xfrm>
                      <a:off x="0" y="0"/>
                      <a:ext cx="6402070" cy="1226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Source: nextstrain.org</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Current Approaches for Prevention and Treatment of COVID-19 and Their Limitations</w:t>
      </w:r>
    </w:p>
    <w:p>
      <w:pPr>
        <w:spacing w:after="0" w:line="131"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8"/>
          <w:szCs w:val="18"/>
          <w:b w:val="1"/>
          <w:bCs w:val="1"/>
          <w:color w:val="auto"/>
        </w:rPr>
        <w:t>In response to the COVID-19 pandemic, multiple therapeutics have been discovered, developed and authorized at an unprecedented speed. Currently available vaccines demonstrate limited efficacy, particularly in the immunocompromised. Monoclonal antibody therapies represent a promising alternative to active immunization.</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mAbs for Prevention or Treatment of COVID-19</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To date, no mAb has been approved for prevention (pre- or post-exposure) or treatment of COVID-19 in the U.S. The FDA issued an EUA for tixagevimab/cilgavimab for pre-exposure prophylaxis of COVID-19, in addition to EUAs for casirivimab/imdevimab and bamlanivimab/etesevimab for post-exposure prophylaxis of COVID-19 in certain individuals. Four monoclonal antibody products, casirivimab/imdevimab, bamlanivimab/etesevimab, sotrovimab, and bebtelovimab, have received an EUA from the FDA for the treatment of COVID-19 in patients at high risk of disease progression. Despite this progress in the availability of mAbs for the prevention and treatment of COVID-19, the clinical utility of these products has varied over time due to the emergence of SARS-CoV-2 variants demonstrating partial or full resistance to neutralization and at this time none of these products are authorized for use in prevention or treatment of COVID-19 in the U.S. due to limited to no activity against the predominant circulating Omicron sublineages. For this reason, an ongoing supply of novel or engineered mAb products are needed to protect against SARS-COV-2 variants that continue to emerge over time.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Approach to The Development of Antibody-based Solutions for COVID-19 and Other Viral Diseases</w:t>
      </w:r>
    </w:p>
    <w:p>
      <w:pPr>
        <w:spacing w:after="0" w:line="126" w:lineRule="exact"/>
        <w:rPr>
          <w:sz w:val="20"/>
          <w:szCs w:val="20"/>
          <w:color w:val="auto"/>
        </w:rPr>
      </w:pPr>
    </w:p>
    <w:p>
      <w:pPr>
        <w:jc w:val="both"/>
        <w:ind w:firstLine="490"/>
        <w:spacing w:after="0" w:line="346" w:lineRule="auto"/>
        <w:rPr>
          <w:sz w:val="20"/>
          <w:szCs w:val="20"/>
          <w:color w:val="auto"/>
        </w:rPr>
      </w:pPr>
      <w:r>
        <w:rPr>
          <w:rFonts w:ascii="Arial" w:cs="Arial" w:eastAsia="Arial" w:hAnsi="Arial"/>
          <w:sz w:val="15"/>
          <w:szCs w:val="15"/>
          <w:b w:val="1"/>
          <w:bCs w:val="1"/>
          <w:color w:val="auto"/>
        </w:rPr>
        <w:t>Our approach is designed to perpetually deliver new product candidates that keep pace with viral evolution. Our technology works at the intersection of evolutionary virology and predictive modeling, and antibody discovery and engineering. By coupling ongoing variant surveillance and prediction of viral evolution with our discovery and engineering capabilities, our</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w:t>
      </w:r>
    </w:p>
    <w:p>
      <w:pPr>
        <w:sectPr>
          <w:pgSz w:w="12240" w:h="15840" w:orient="portrait"/>
          <w:cols w:equalWidth="0" w:num="1">
            <w:col w:w="10080"/>
          </w:cols>
          <w:pgMar w:left="1080" w:top="1079" w:right="1080" w:bottom="157"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b w:val="1"/>
          <w:bCs w:val="1"/>
          <w:color w:val="auto"/>
        </w:rPr>
        <w:t>innovation engine has generated a pipeline of therapeutic candidates which could be used in prevention or treatment of serious viral diseases, starting with SARS-CoV-2. In order to provide solutions to vulnerable people as new variants emerge, we seek to leverage evolving regulatory paradigms, which may rely on surrogate endpoints, to expedite drug development. Our company has been designed to identify and develop high-quality, long-lasting antibodies with a high barrier to viral escape on a perpetual basis. Our product candidates can be tuned to improve potency, breadth of neutralization, as well as format, including half-life extending and other fragment crystallizable (“Fc”) region modifications. Key elements that we believe differentiate our approach include:</w:t>
      </w:r>
    </w:p>
    <w:p>
      <w:pPr>
        <w:spacing w:after="0" w:line="128" w:lineRule="exact"/>
        <w:rPr>
          <w:sz w:val="20"/>
          <w:szCs w:val="20"/>
          <w:color w:val="auto"/>
        </w:rPr>
      </w:pPr>
    </w:p>
    <w:p>
      <w:pPr>
        <w:ind w:left="980" w:right="60"/>
        <w:spacing w:after="0" w:line="269" w:lineRule="auto"/>
        <w:rPr>
          <w:sz w:val="20"/>
          <w:szCs w:val="20"/>
          <w:color w:val="auto"/>
        </w:rPr>
      </w:pPr>
      <w:r>
        <w:rPr>
          <w:rFonts w:ascii="Arial" w:cs="Arial" w:eastAsia="Arial" w:hAnsi="Arial"/>
          <w:sz w:val="18"/>
          <w:szCs w:val="18"/>
          <w:b w:val="1"/>
          <w:bCs w:val="1"/>
          <w:color w:val="auto"/>
        </w:rPr>
        <w:t>Recognition of the importance of broadly neutralizing antibodies with a reduced risk of viral escape: From the outset of our COVID-19 program, we chose to identify and engineer monoclonal antibodies with a high potential to resist SARS-CoV-2 variant escape. We are targeting epitopes that are (1) conserved, non-overlapping, (2) rare and under less immune pressure, and (3) potentially conserved across other human angiotensin converting enzyme-2 (“ACE-2”) using sarbecoviruses (such as SARS-CoV-2), providing anticipated neutralization breadth to our monoclonal antibody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-842645</wp:posOffset>
            </wp:positionV>
            <wp:extent cx="71120" cy="711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ind w:left="980" w:right="100"/>
        <w:spacing w:after="0" w:line="271" w:lineRule="auto"/>
        <w:rPr>
          <w:sz w:val="20"/>
          <w:szCs w:val="20"/>
          <w:color w:val="auto"/>
        </w:rPr>
      </w:pPr>
      <w:r>
        <w:rPr>
          <w:rFonts w:ascii="Arial" w:cs="Arial" w:eastAsia="Arial" w:hAnsi="Arial"/>
          <w:sz w:val="18"/>
          <w:szCs w:val="18"/>
          <w:b w:val="1"/>
          <w:bCs w:val="1"/>
          <w:color w:val="auto"/>
        </w:rPr>
        <w:t>Continuous monitoring for SARS-CoV-2 variants: We continuously maintain and improve our in-house monitoring system for identifying new and upcoming SARS-CoV-2 variants before they become VoCs. Further, by pinpointing dominant spike glycoprotein sites targeted by human antibody repertoires, and mapping common mutational escape routes we aim to predict future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-552450</wp:posOffset>
            </wp:positionV>
            <wp:extent cx="71120" cy="711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9" w:lineRule="exact"/>
        <w:rPr>
          <w:sz w:val="20"/>
          <w:szCs w:val="20"/>
          <w:color w:val="auto"/>
        </w:rPr>
      </w:pPr>
    </w:p>
    <w:p>
      <w:pPr>
        <w:jc w:val="both"/>
        <w:ind w:left="980"/>
        <w:spacing w:after="0" w:line="332" w:lineRule="auto"/>
        <w:rPr>
          <w:sz w:val="20"/>
          <w:szCs w:val="20"/>
          <w:color w:val="auto"/>
        </w:rPr>
      </w:pPr>
      <w:r>
        <w:rPr>
          <w:rFonts w:ascii="Arial" w:cs="Arial" w:eastAsia="Arial" w:hAnsi="Arial"/>
          <w:sz w:val="15"/>
          <w:szCs w:val="15"/>
          <w:b w:val="1"/>
          <w:bCs w:val="1"/>
          <w:color w:val="auto"/>
        </w:rPr>
        <w:t>Industry-leading antibody mining, engineering and developability screening capabilities through internal expertise and our partnership with Adimab: We leverage deep B-cell mining capabilities to isolate broadly neutralizing antibodies, linked to utilization of antibody engineering capabilities to improve the potency, breadth, biophysical properties and developability of our candidates we advance into preclinical development. Where applicable, we specifically engineer our antibodies, for example to extend their half-lives, modify their Fc-mediated innate immune effector functions, or alternative formats such as single-domain or bispecific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-868045</wp:posOffset>
            </wp:positionV>
            <wp:extent cx="71120" cy="711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3" w:lineRule="exact"/>
        <w:rPr>
          <w:sz w:val="20"/>
          <w:szCs w:val="20"/>
          <w:color w:val="auto"/>
        </w:rPr>
      </w:pPr>
    </w:p>
    <w:p>
      <w:pPr>
        <w:jc w:val="both"/>
        <w:ind w:left="980"/>
        <w:spacing w:after="0" w:line="326" w:lineRule="auto"/>
        <w:rPr>
          <w:sz w:val="20"/>
          <w:szCs w:val="20"/>
          <w:color w:val="auto"/>
        </w:rPr>
      </w:pPr>
      <w:r>
        <w:rPr>
          <w:rFonts w:ascii="Arial" w:cs="Arial" w:eastAsia="Arial" w:hAnsi="Arial"/>
          <w:sz w:val="15"/>
          <w:szCs w:val="15"/>
          <w:b w:val="1"/>
          <w:bCs w:val="1"/>
          <w:color w:val="auto"/>
        </w:rPr>
        <w:t>Expedited path to the clinic and market: In order to deliver new mAb products that keep pace with emerging SARS-CoV-2 variants, we believe that a new, expedited approach and pathway is needed across non-clinical, clinical and CMC development to provide more rapid solutions to vulnerable people. We are leveraging and applying our experience with adintrevimab, which demonstrated clinically meaningful results and a robust safety package, to new therapeutic candidates. We seek to streamline nonclinical toxicology studies where possible, with the intention of reducing dependence on animal studies, which we believe is well in line with the FDA’s position. Furthermore, the SARS-CoV-2 RBD is a well validated target and mechanism of action for monoclonal antibodies with robust safety and efficacy data generated across the class. We expect that these data will enable the application of surrogate endpoints, specifically serum neutralizing antibody titers, which can be utilized as a correlate of protection in future clinical trials. We also seek to streamline our manufacturing approach, leveraging platform processes and historical data to ensure product quality for future product candidates. We will be actively engaging with regulatory authorities to seek concurrence on these proposals as we advance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-1595120</wp:posOffset>
            </wp:positionV>
            <wp:extent cx="71120" cy="711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We are employing similar strategies for other antigenically variable viruses, such as influenza.</w:t>
      </w:r>
    </w:p>
    <w:p>
      <w:pPr>
        <w:spacing w:after="0" w:line="35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Commercial Opportunity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Market Opportunity</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Emergency Use Authorization Environment in the U.S.</w:t>
      </w:r>
    </w:p>
    <w:p>
      <w:pPr>
        <w:spacing w:after="0" w:line="131"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In emergency situations, such as a pandemic, and with a declaration of a public health emergency by the U.S. Secretary of the Department of Health and Human Services (“HHS”), the FDA has the authority to issue EUAs, which authorize unapproved medical products or unapproved uses of approved medical products to be used in an emergency to diagnose, treat or prevent serious or life threatening diseases or conditions. On January 31, 2020, the Secretary of HHS issued a declaration of a public health emergency related to COVID-19 under the PHS Act. On February 4, 2020, HHS determined that COVID-19 represented a public health emergency under the FDCA with significant potential to affect national security or the health and security of U.S. citizens living abroad. Subsequently, HHS declared on March 24, 2020 that circumstances existed to justify the authorization of emergency use of certain medical products, during the COVID-19 pandemic, subject to the terms of any authorization as issued by the FDA. While the Biden Administration announced that it would allow the COVID-19 public health emergency declared by HHS under the PHS Act to expire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FDCA, which remains in effect unless or until the HHS Secretary terminates such declaration and determination, at which</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w:t>
      </w:r>
    </w:p>
    <w:p>
      <w:pPr>
        <w:sectPr>
          <w:pgSz w:w="12240" w:h="15840" w:orient="portrait"/>
          <w:cols w:equalWidth="0" w:num="1">
            <w:col w:w="10080"/>
          </w:cols>
          <w:pgMar w:left="1080" w:top="1084" w:right="1080" w:bottom="157" w:gutter="0" w:footer="0" w:header="0"/>
        </w:sectPr>
      </w:pPr>
    </w:p>
    <w:bookmarkStart w:id="10" w:name="page11"/>
    <w:bookmarkEnd w:id="10"/>
    <w:p>
      <w:pPr>
        <w:jc w:val="both"/>
        <w:spacing w:after="0" w:line="234" w:lineRule="auto"/>
        <w:rPr>
          <w:sz w:val="20"/>
          <w:szCs w:val="20"/>
          <w:color w:val="auto"/>
        </w:rPr>
      </w:pPr>
      <w:r>
        <w:rPr>
          <w:rFonts w:ascii="Arial" w:cs="Arial" w:eastAsia="Arial" w:hAnsi="Arial"/>
          <w:sz w:val="20"/>
          <w:szCs w:val="20"/>
          <w:b w:val="1"/>
          <w:bCs w:val="1"/>
          <w:color w:val="auto"/>
        </w:rPr>
        <w:t>point EUAs based on such declaration would cease to be in effect and the FDA may no longer issue EUAs for products covered by such declaration.</w:t>
      </w:r>
    </w:p>
    <w:p>
      <w:pPr>
        <w:spacing w:after="0" w:line="130"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Under an EUA, products may be available via an Advance Purchase Agreement (“APA”) or a traditional commercial model. In August 2022, HHS announced that Eli Lilly’s bebtelovimab would be transitioning from an APA model to a traditional commercial model. Since that time, there have been no new APAs signed for any COVID mAbs. As a result, we anticipate that all future COVID-19 mAbs, including VYD222, if authorized or approved, will be distributed in the traditional commercial model. In the traditional commercial model, the manufacturer sells product directly to wholesalers and/or distributors who ship the product to various sites of care, and provider institutions and clinics can bill health plans for product. It is important to note that in an EUA a manufacturer cannot make any claims about the safety and efficacy of its drug; with a full marketing authorization biologics license applicable (“BLA”), a manufacturer can make these claims as long as they are consistent with the product’s label.</w:t>
      </w:r>
    </w:p>
    <w:p>
      <w:pPr>
        <w:spacing w:after="0" w:line="3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Addressable Patient Populations</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Pre-Exposure Prophylaxis (PrEP)</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an EUA environment, the Healthcare Provider and Patient Fact Sheets specify the patient populations eligible to receive COVID-19 treatment and prevention, and utilization of PrEP products is bound by these specifications. If we are successful with a request for EUA of VYD222 for PrEP, we estimate that the total addressable PrEP market for VYD222 in the U.S. is at least 7-8 million immunocompromised patients.</w:t>
      </w:r>
    </w:p>
    <w:p>
      <w:pPr>
        <w:spacing w:after="0" w:line="122"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For example, the January 2023 Fact Sheet for tixagevimab/cilgavimab states, in part, that tixagevimab/cilgavimab may only be used in adults and pediatric individuals (12 years of age and older weighing at least 40 kg):</w:t>
      </w:r>
    </w:p>
    <w:p>
      <w:pPr>
        <w:spacing w:after="0" w:line="87"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Who are not currently infected with SARS-CoV-2 and who have not had a known recent exposure to an individual infected with SARS-CoV-2;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309" w:lineRule="auto"/>
        <w:rPr>
          <w:sz w:val="20"/>
          <w:szCs w:val="20"/>
          <w:color w:val="auto"/>
        </w:rPr>
      </w:pPr>
      <w:r>
        <w:rPr>
          <w:rFonts w:ascii="Arial" w:cs="Arial" w:eastAsia="Arial" w:hAnsi="Arial"/>
          <w:sz w:val="17"/>
          <w:szCs w:val="17"/>
          <w:b w:val="1"/>
          <w:bCs w:val="1"/>
          <w:color w:val="auto"/>
        </w:rPr>
        <w:t>Who have moderate to severe immune compromise due to a medical condition or receipt of immunosuppressive medications or treatments and may not mount an adequate immune response to COVID-19 vaccination;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-278130</wp:posOffset>
            </wp:positionV>
            <wp:extent cx="71120" cy="711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9"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For whom vaccination with any available COVID-19 vaccine, according to the approved or authorized schedule, is not recommended due to a history of severe adverse reaction to a COVID-19 vaccine(s) and/or COVID-19 vaccine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-389255</wp:posOffset>
            </wp:positionV>
            <wp:extent cx="71120" cy="711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According to the January 2023 Fact Sheet for tixagevimab/cilgavimab, medical conditions or treatments that may result in moderate to severe immune compromise and an inadequate immune response to COVID-19 vaccination include but are not limited to:</w:t>
      </w:r>
    </w:p>
    <w:p>
      <w:pPr>
        <w:spacing w:after="0" w:line="137"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Active treatment for solid tumor and hematologic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-97790</wp:posOffset>
            </wp:positionV>
            <wp:extent cx="71120" cy="711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980"/>
        <w:spacing w:after="0" w:line="385" w:lineRule="auto"/>
        <w:rPr>
          <w:sz w:val="20"/>
          <w:szCs w:val="20"/>
          <w:color w:val="auto"/>
        </w:rPr>
      </w:pPr>
      <w:r>
        <w:rPr>
          <w:rFonts w:ascii="Arial" w:cs="Arial" w:eastAsia="Arial" w:hAnsi="Arial"/>
          <w:sz w:val="15"/>
          <w:szCs w:val="15"/>
          <w:b w:val="1"/>
          <w:bCs w:val="1"/>
          <w:color w:val="auto"/>
        </w:rPr>
        <w:t>Hematologic malignancies associated with poor responses to COVID-19 vaccines regardless of current treatment status (e.g., chronic lymphocytic leukemia, non-Hodgkin lymphoma, multiple myeloma, acute leukemia);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-309880</wp:posOffset>
            </wp:positionV>
            <wp:extent cx="71120" cy="711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Receipt of solid-organ transplant or an islet transplant and taking immunosuppressive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Receipt of chimeric antigen receptor (CAR)-T-cell or hematopoietic stem cell transplant (within 2 years of transplantation or taking immunosuppression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Moderate or severe primary immunodeficiency (e.g., common variable immunodeficiency disease, severe combined immunodeficiency, DiGeorge syndrome, Wiskott-Aldrich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-243205</wp:posOffset>
            </wp:positionV>
            <wp:extent cx="71120" cy="711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78" w:lineRule="auto"/>
        <w:rPr>
          <w:sz w:val="20"/>
          <w:szCs w:val="20"/>
          <w:color w:val="auto"/>
        </w:rPr>
      </w:pPr>
      <w:r>
        <w:rPr>
          <w:rFonts w:ascii="Arial" w:cs="Arial" w:eastAsia="Arial" w:hAnsi="Arial"/>
          <w:sz w:val="18"/>
          <w:szCs w:val="18"/>
          <w:b w:val="1"/>
          <w:bCs w:val="1"/>
          <w:color w:val="auto"/>
        </w:rPr>
        <w:t>Advanced or untreated HIV infection (people with HIV and CD4 cell counts &lt;200/mm3, history of an AIDS-defining illness without immune reconstitution, or clinical manifestations of symptomatic HIV);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-263525</wp:posOffset>
            </wp:positionV>
            <wp:extent cx="71120" cy="711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2" w:lineRule="exact"/>
        <w:rPr>
          <w:sz w:val="20"/>
          <w:szCs w:val="20"/>
          <w:color w:val="auto"/>
        </w:rPr>
      </w:pPr>
    </w:p>
    <w:p>
      <w:pPr>
        <w:ind w:left="980"/>
        <w:spacing w:after="0"/>
        <w:rPr>
          <w:sz w:val="20"/>
          <w:szCs w:val="20"/>
          <w:color w:val="auto"/>
        </w:rPr>
      </w:pPr>
      <w:r>
        <w:rPr>
          <w:rFonts w:ascii="Arial" w:cs="Arial" w:eastAsia="Arial" w:hAnsi="Arial"/>
          <w:sz w:val="15"/>
          <w:szCs w:val="15"/>
          <w:b w:val="1"/>
          <w:bCs w:val="1"/>
          <w:color w:val="auto"/>
        </w:rPr>
        <w:t xml:space="preserve">Active treatment with high-dose corticosteroids (i.e., </w:t>
      </w:r>
      <w:r>
        <w:rPr>
          <w:sz w:val="1"/>
          <w:szCs w:val="1"/>
          <w:color w:val="auto"/>
        </w:rPr>
        <w:drawing>
          <wp:inline distT="0" distB="0" distL="0" distR="0">
            <wp:extent cx="153670" cy="12001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5">
                      <a:extLst>
                        <a:ext uri="{28A0092B-C50C-407E-A947-70E740481C1C}"/>
                      </a:extLst>
                    </a:blip>
                    <a:srcRect/>
                    <a:stretch>
                      <a:fillRect/>
                    </a:stretch>
                  </pic:blipFill>
                  <pic:spPr bwMode="auto">
                    <a:xfrm>
                      <a:off x="0" y="0"/>
                      <a:ext cx="153670" cy="120015"/>
                    </a:xfrm>
                    <a:prstGeom prst="rect">
                      <a:avLst/>
                    </a:prstGeom>
                    <a:noFill/>
                    <a:ln>
                      <a:noFill/>
                    </a:ln>
                  </pic:spPr>
                </pic:pic>
              </a:graphicData>
            </a:graphic>
          </wp:inline>
        </w:drawing>
        <w:drawing>
          <wp:inline distT="0" distB="0" distL="0" distR="0">
            <wp:extent cx="78740" cy="11239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6">
                      <a:extLst>
                        <a:ext uri="{28A0092B-C50C-407E-A947-70E740481C1C}"/>
                      </a:extLst>
                    </a:blip>
                    <a:srcRect/>
                    <a:stretch>
                      <a:fillRect/>
                    </a:stretch>
                  </pic:blipFill>
                  <pic:spPr bwMode="auto">
                    <a:xfrm>
                      <a:off x="0" y="0"/>
                      <a:ext cx="78740" cy="112395"/>
                    </a:xfrm>
                    <a:prstGeom prst="rect">
                      <a:avLst/>
                    </a:prstGeom>
                    <a:noFill/>
                    <a:ln>
                      <a:noFill/>
                    </a:ln>
                  </pic:spPr>
                </pic:pic>
              </a:graphicData>
            </a:graphic>
          </wp:inline>
        </w:drawing>
      </w:r>
      <w:r>
        <w:rPr>
          <w:rFonts w:ascii="Arial" w:cs="Arial" w:eastAsia="Arial" w:hAnsi="Arial"/>
          <w:sz w:val="15"/>
          <w:szCs w:val="15"/>
          <w:b w:val="1"/>
          <w:bCs w:val="1"/>
          <w:color w:val="auto"/>
        </w:rPr>
        <w:t xml:space="preserve"> mg prednisone or equivalent per day when administered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980"/>
        <w:spacing w:after="0" w:line="247" w:lineRule="auto"/>
        <w:rPr>
          <w:sz w:val="20"/>
          <w:szCs w:val="20"/>
          <w:color w:val="auto"/>
        </w:rPr>
      </w:pPr>
      <w:r>
        <w:rPr>
          <w:rFonts w:ascii="Arial" w:cs="Arial" w:eastAsia="Arial" w:hAnsi="Arial"/>
          <w:sz w:val="19"/>
          <w:szCs w:val="19"/>
          <w:b w:val="1"/>
          <w:bCs w:val="1"/>
          <w:color w:val="auto"/>
        </w:rPr>
        <w:t xml:space="preserve">for </w:t>
      </w:r>
      <w:r>
        <w:rPr>
          <w:sz w:val="1"/>
          <w:szCs w:val="1"/>
          <w:color w:val="auto"/>
        </w:rPr>
        <w:drawing>
          <wp:inline distT="0" distB="0" distL="0" distR="0">
            <wp:extent cx="151765" cy="12001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8">
                      <a:extLst>
                        <a:ext uri="{28A0092B-C50C-407E-A947-70E740481C1C}"/>
                      </a:extLst>
                    </a:blip>
                    <a:srcRect/>
                    <a:stretch>
                      <a:fillRect/>
                    </a:stretch>
                  </pic:blipFill>
                  <pic:spPr bwMode="auto">
                    <a:xfrm>
                      <a:off x="0" y="0"/>
                      <a:ext cx="151765" cy="120015"/>
                    </a:xfrm>
                    <a:prstGeom prst="rect">
                      <a:avLst/>
                    </a:prstGeom>
                    <a:noFill/>
                    <a:ln>
                      <a:noFill/>
                    </a:ln>
                  </pic:spPr>
                </pic:pic>
              </a:graphicData>
            </a:graphic>
          </wp:inline>
        </w:drawing>
      </w:r>
      <w:r>
        <w:rPr>
          <w:rFonts w:ascii="Arial" w:cs="Arial" w:eastAsia="Arial" w:hAnsi="Arial"/>
          <w:sz w:val="19"/>
          <w:szCs w:val="19"/>
          <w:b w:val="1"/>
          <w:bCs w:val="1"/>
          <w:color w:val="auto"/>
        </w:rPr>
        <w:t xml:space="preserve"> weeks), alkylating agents, antimetabolites, transplant-related immunosuppressive drugs, cancer chemotherapeutic agents classified as severely immunosuppressive, and biologic agents that are immunosuppressive or immunomodulatory (e.g., B-cell depleting agents).</w:t>
      </w:r>
    </w:p>
    <w:p>
      <w:pPr>
        <w:spacing w:after="0" w:line="126"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We have conducted several waves of market research with physicians that have reflected that there are gaps in pre-exposure prophylactic alternatives in a variety of U.S. populations. Specifically, we commissioned a consulting firm to conduct epidemiological analyses supplemented with physician interviews to quantify the size of the adult immunocompromised population in the U.S. The analysis suggested that there are potentially an additional 10-12 million adults in the U.S. with impaired immune responses attributable to conditions such as uncontrolled Type 2 diabetes and autoimmune disorders such as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w:t>
      </w:r>
    </w:p>
    <w:p>
      <w:pPr>
        <w:sectPr>
          <w:pgSz w:w="12240" w:h="15840" w:orient="portrait"/>
          <w:cols w:equalWidth="0" w:num="1">
            <w:col w:w="10080"/>
          </w:cols>
          <w:pgMar w:left="1080" w:top="1089" w:right="1080" w:bottom="157" w:gutter="0" w:footer="0" w:header="0"/>
        </w:sectPr>
      </w:pPr>
    </w:p>
    <w:bookmarkStart w:id="11" w:name="page12"/>
    <w:bookmarkEnd w:id="11"/>
    <w:p>
      <w:pPr>
        <w:jc w:val="both"/>
        <w:spacing w:after="0" w:line="252" w:lineRule="auto"/>
        <w:rPr>
          <w:sz w:val="20"/>
          <w:szCs w:val="20"/>
          <w:color w:val="auto"/>
        </w:rPr>
      </w:pPr>
      <w:r>
        <w:rPr>
          <w:rFonts w:ascii="Arial" w:cs="Arial" w:eastAsia="Arial" w:hAnsi="Arial"/>
          <w:sz w:val="19"/>
          <w:szCs w:val="19"/>
          <w:b w:val="1"/>
          <w:bCs w:val="1"/>
          <w:color w:val="auto"/>
        </w:rPr>
        <w:t>severe multiple sclerosis, psoriasis, rheumatoid arthritis, and irritable bowel disease, bringing the total potential addressable immunocompromised population in the U.S. closer to 20 million patients. Extrapolated to European Union countries (whose population is approximately 1.5x that of the U.S.), there are an additional 30 million immunocompromised adults that could be candidates for PrEP therapy in the EU.</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Treatment</w:t>
      </w:r>
    </w:p>
    <w:p>
      <w:pPr>
        <w:spacing w:after="0" w:line="131"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In an EUA environment, the Healthcare Provider and Patient Fact Sheets specify the patient populations eligible to receive COVID-19 treatments. These Fact Sheets are largely driven by the COVID-19 Treatment Guidelines published by the National Institutes of Health (“NIH”), which are updated frequently.</w:t>
      </w:r>
    </w:p>
    <w:p>
      <w:pPr>
        <w:spacing w:after="0" w:line="11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Specifically, the COVID-19 Treatment Guidelines published by NIH prioritize the following risk groups for anti-SARS-CoV-2 therapy based on 4 key elements: age, vaccination status, immune status, and clinical risk factors. The groups are listed by tier in descending order of priority:</w:t>
      </w:r>
    </w:p>
    <w:p>
      <w:pPr>
        <w:spacing w:after="0" w:line="12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Tier 1</w:t>
      </w:r>
    </w:p>
    <w:p>
      <w:pPr>
        <w:spacing w:after="0" w:line="145" w:lineRule="exact"/>
        <w:rPr>
          <w:sz w:val="20"/>
          <w:szCs w:val="20"/>
          <w:color w:val="auto"/>
        </w:rPr>
      </w:pPr>
    </w:p>
    <w:p>
      <w:pPr>
        <w:ind w:left="1460"/>
        <w:spacing w:after="0" w:line="312" w:lineRule="auto"/>
        <w:rPr>
          <w:sz w:val="20"/>
          <w:szCs w:val="20"/>
          <w:color w:val="auto"/>
        </w:rPr>
      </w:pPr>
      <w:r>
        <w:rPr>
          <w:rFonts w:ascii="Arial" w:cs="Arial" w:eastAsia="Arial" w:hAnsi="Arial"/>
          <w:sz w:val="17"/>
          <w:szCs w:val="17"/>
          <w:b w:val="1"/>
          <w:bCs w:val="1"/>
          <w:color w:val="auto"/>
        </w:rPr>
        <w:t>Immunocompromised individuals not expected to mount an adequate immune response to COVID-19 vaccination or SARS-CoV-2 infection due to their underlying conditions, regardless of vaccine status;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-281305</wp:posOffset>
            </wp:positionV>
            <wp:extent cx="71120" cy="711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5" w:lineRule="exact"/>
        <w:rPr>
          <w:sz w:val="20"/>
          <w:szCs w:val="20"/>
          <w:color w:val="auto"/>
        </w:rPr>
      </w:pPr>
    </w:p>
    <w:p>
      <w:pPr>
        <w:ind w:left="1460"/>
        <w:spacing w:after="0" w:line="234" w:lineRule="auto"/>
        <w:rPr>
          <w:sz w:val="20"/>
          <w:szCs w:val="20"/>
          <w:color w:val="auto"/>
        </w:rPr>
      </w:pPr>
      <w:r>
        <w:rPr>
          <w:rFonts w:ascii="Arial" w:cs="Arial" w:eastAsia="Arial" w:hAnsi="Arial"/>
          <w:sz w:val="20"/>
          <w:szCs w:val="20"/>
          <w:b w:val="1"/>
          <w:bCs w:val="1"/>
          <w:color w:val="auto"/>
        </w:rPr>
        <w:t xml:space="preserve">Unvaccinated individuals at the highest risk of severe disease (anyone aged </w:t>
      </w:r>
      <w:r>
        <w:rPr>
          <w:sz w:val="1"/>
          <w:szCs w:val="1"/>
          <w:color w:val="auto"/>
        </w:rPr>
        <w:drawing>
          <wp:inline distT="0" distB="0" distL="0" distR="0">
            <wp:extent cx="153670" cy="11811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0">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74295" cy="11049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1">
                      <a:extLst>
                        <a:ext uri="{28A0092B-C50C-407E-A947-70E740481C1C}"/>
                      </a:extLst>
                    </a:blip>
                    <a:srcRect/>
                    <a:stretch>
                      <a:fillRect/>
                    </a:stretch>
                  </pic:blipFill>
                  <pic:spPr bwMode="auto">
                    <a:xfrm>
                      <a:off x="0" y="0"/>
                      <a:ext cx="74295" cy="110490"/>
                    </a:xfrm>
                    <a:prstGeom prst="rect">
                      <a:avLst/>
                    </a:prstGeom>
                    <a:noFill/>
                    <a:ln>
                      <a:noFill/>
                    </a:ln>
                  </pic:spPr>
                </pic:pic>
              </a:graphicData>
            </a:graphic>
          </wp:inline>
        </w:drawing>
      </w:r>
      <w:r>
        <w:rPr>
          <w:rFonts w:ascii="Arial" w:cs="Arial" w:eastAsia="Arial" w:hAnsi="Arial"/>
          <w:sz w:val="20"/>
          <w:szCs w:val="20"/>
          <w:b w:val="1"/>
          <w:bCs w:val="1"/>
          <w:color w:val="auto"/>
        </w:rPr>
        <w:t xml:space="preserve"> years or anyone aged </w:t>
      </w:r>
      <w:r>
        <w:rPr>
          <w:sz w:val="1"/>
          <w:szCs w:val="1"/>
          <w:color w:val="auto"/>
        </w:rPr>
        <w:drawing>
          <wp:inline distT="0" distB="0" distL="0" distR="0">
            <wp:extent cx="153670" cy="10477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2">
                      <a:extLst>
                        <a:ext uri="{28A0092B-C50C-407E-A947-70E740481C1C}"/>
                      </a:extLst>
                    </a:blip>
                    <a:srcRect/>
                    <a:stretch>
                      <a:fillRect/>
                    </a:stretch>
                  </pic:blipFill>
                  <pic:spPr bwMode="auto">
                    <a:xfrm>
                      <a:off x="0" y="0"/>
                      <a:ext cx="153670" cy="104775"/>
                    </a:xfrm>
                    <a:prstGeom prst="rect">
                      <a:avLst/>
                    </a:prstGeom>
                    <a:noFill/>
                    <a:ln>
                      <a:noFill/>
                    </a:ln>
                  </pic:spPr>
                </pic:pic>
              </a:graphicData>
            </a:graphic>
          </wp:inline>
        </w:drawing>
        <w:drawing>
          <wp:inline distT="0" distB="0" distL="0" distR="0">
            <wp:extent cx="74295" cy="11049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3">
                      <a:extLst>
                        <a:ext uri="{28A0092B-C50C-407E-A947-70E740481C1C}"/>
                      </a:extLst>
                    </a:blip>
                    <a:srcRect/>
                    <a:stretch>
                      <a:fillRect/>
                    </a:stretch>
                  </pic:blipFill>
                  <pic:spPr bwMode="auto">
                    <a:xfrm>
                      <a:off x="0" y="0"/>
                      <a:ext cx="74295" cy="110490"/>
                    </a:xfrm>
                    <a:prstGeom prst="rect">
                      <a:avLst/>
                    </a:prstGeom>
                    <a:noFill/>
                    <a:ln>
                      <a:noFill/>
                    </a:ln>
                  </pic:spPr>
                </pic:pic>
              </a:graphicData>
            </a:graphic>
          </wp:inline>
        </w:drawing>
      </w:r>
      <w:r>
        <w:rPr>
          <w:rFonts w:ascii="Arial" w:cs="Arial" w:eastAsia="Arial" w:hAnsi="Arial"/>
          <w:sz w:val="20"/>
          <w:szCs w:val="20"/>
          <w:b w:val="1"/>
          <w:bCs w:val="1"/>
          <w:color w:val="auto"/>
        </w:rPr>
        <w:t xml:space="preserve"> years with additional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-243840</wp:posOffset>
            </wp:positionV>
            <wp:extent cx="71120" cy="711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Tier 2</w:t>
      </w:r>
    </w:p>
    <w:p>
      <w:pPr>
        <w:spacing w:after="0" w:line="145" w:lineRule="exact"/>
        <w:rPr>
          <w:sz w:val="20"/>
          <w:szCs w:val="20"/>
          <w:color w:val="auto"/>
        </w:rPr>
      </w:pPr>
    </w:p>
    <w:p>
      <w:pPr>
        <w:ind w:left="1460"/>
        <w:spacing w:after="0" w:line="234" w:lineRule="auto"/>
        <w:rPr>
          <w:sz w:val="20"/>
          <w:szCs w:val="20"/>
          <w:color w:val="auto"/>
        </w:rPr>
      </w:pPr>
      <w:r>
        <w:rPr>
          <w:rFonts w:ascii="Arial" w:cs="Arial" w:eastAsia="Arial" w:hAnsi="Arial"/>
          <w:sz w:val="20"/>
          <w:szCs w:val="20"/>
          <w:b w:val="1"/>
          <w:bCs w:val="1"/>
          <w:color w:val="auto"/>
        </w:rPr>
        <w:t xml:space="preserve">Unvaccinated individuals not included in Tier 1 who are at risk for severe disease (anyone aged </w:t>
      </w:r>
      <w:r>
        <w:rPr>
          <w:sz w:val="1"/>
          <w:szCs w:val="1"/>
          <w:color w:val="auto"/>
        </w:rPr>
        <w:drawing>
          <wp:inline distT="0" distB="0" distL="0" distR="0">
            <wp:extent cx="153670" cy="10477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5">
                      <a:extLst>
                        <a:ext uri="{28A0092B-C50C-407E-A947-70E740481C1C}"/>
                      </a:extLst>
                    </a:blip>
                    <a:srcRect/>
                    <a:stretch>
                      <a:fillRect/>
                    </a:stretch>
                  </pic:blipFill>
                  <pic:spPr bwMode="auto">
                    <a:xfrm>
                      <a:off x="0" y="0"/>
                      <a:ext cx="153670" cy="104775"/>
                    </a:xfrm>
                    <a:prstGeom prst="rect">
                      <a:avLst/>
                    </a:prstGeom>
                    <a:noFill/>
                    <a:ln>
                      <a:noFill/>
                    </a:ln>
                  </pic:spPr>
                </pic:pic>
              </a:graphicData>
            </a:graphic>
          </wp:inline>
        </w:drawing>
        <w:drawing>
          <wp:inline distT="0" distB="0" distL="0" distR="0">
            <wp:extent cx="74295" cy="11049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6">
                      <a:extLst>
                        <a:ext uri="{28A0092B-C50C-407E-A947-70E740481C1C}"/>
                      </a:extLst>
                    </a:blip>
                    <a:srcRect/>
                    <a:stretch>
                      <a:fillRect/>
                    </a:stretch>
                  </pic:blipFill>
                  <pic:spPr bwMode="auto">
                    <a:xfrm>
                      <a:off x="0" y="0"/>
                      <a:ext cx="74295" cy="110490"/>
                    </a:xfrm>
                    <a:prstGeom prst="rect">
                      <a:avLst/>
                    </a:prstGeom>
                    <a:noFill/>
                    <a:ln>
                      <a:noFill/>
                    </a:ln>
                  </pic:spPr>
                </pic:pic>
              </a:graphicData>
            </a:graphic>
          </wp:inline>
        </w:drawing>
      </w:r>
      <w:r>
        <w:rPr>
          <w:rFonts w:ascii="Arial" w:cs="Arial" w:eastAsia="Arial" w:hAnsi="Arial"/>
          <w:sz w:val="20"/>
          <w:szCs w:val="20"/>
          <w:b w:val="1"/>
          <w:bCs w:val="1"/>
          <w:color w:val="auto"/>
        </w:rPr>
        <w:t xml:space="preserve"> years or anyone aged &lt;65 years with clinical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-243840</wp:posOffset>
            </wp:positionV>
            <wp:extent cx="71120" cy="711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Tier 3</w:t>
      </w:r>
    </w:p>
    <w:p>
      <w:pPr>
        <w:spacing w:after="0" w:line="145" w:lineRule="exact"/>
        <w:rPr>
          <w:sz w:val="20"/>
          <w:szCs w:val="20"/>
          <w:color w:val="auto"/>
        </w:rPr>
      </w:pPr>
    </w:p>
    <w:p>
      <w:pPr>
        <w:ind w:left="1460"/>
        <w:spacing w:after="0" w:line="234" w:lineRule="auto"/>
        <w:rPr>
          <w:sz w:val="20"/>
          <w:szCs w:val="20"/>
          <w:color w:val="auto"/>
        </w:rPr>
      </w:pPr>
      <w:r>
        <w:rPr>
          <w:rFonts w:ascii="Arial" w:cs="Arial" w:eastAsia="Arial" w:hAnsi="Arial"/>
          <w:sz w:val="20"/>
          <w:szCs w:val="20"/>
          <w:b w:val="1"/>
          <w:bCs w:val="1"/>
          <w:color w:val="auto"/>
        </w:rPr>
        <w:t xml:space="preserve">Vaccinated individuals at risk of severe disease (anyone aged </w:t>
      </w:r>
      <w:r>
        <w:rPr>
          <w:sz w:val="1"/>
          <w:szCs w:val="1"/>
          <w:color w:val="auto"/>
        </w:rPr>
        <w:drawing>
          <wp:inline distT="0" distB="0" distL="0" distR="0">
            <wp:extent cx="153670" cy="10477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8">
                      <a:extLst>
                        <a:ext uri="{28A0092B-C50C-407E-A947-70E740481C1C}"/>
                      </a:extLst>
                    </a:blip>
                    <a:srcRect/>
                    <a:stretch>
                      <a:fillRect/>
                    </a:stretch>
                  </pic:blipFill>
                  <pic:spPr bwMode="auto">
                    <a:xfrm>
                      <a:off x="0" y="0"/>
                      <a:ext cx="153670" cy="104775"/>
                    </a:xfrm>
                    <a:prstGeom prst="rect">
                      <a:avLst/>
                    </a:prstGeom>
                    <a:noFill/>
                    <a:ln>
                      <a:noFill/>
                    </a:ln>
                  </pic:spPr>
                </pic:pic>
              </a:graphicData>
            </a:graphic>
          </wp:inline>
        </w:drawing>
        <w:drawing>
          <wp:inline distT="0" distB="0" distL="0" distR="0">
            <wp:extent cx="74295" cy="11049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9">
                      <a:extLst>
                        <a:ext uri="{28A0092B-C50C-407E-A947-70E740481C1C}"/>
                      </a:extLst>
                    </a:blip>
                    <a:srcRect/>
                    <a:stretch>
                      <a:fillRect/>
                    </a:stretch>
                  </pic:blipFill>
                  <pic:spPr bwMode="auto">
                    <a:xfrm>
                      <a:off x="0" y="0"/>
                      <a:ext cx="74295" cy="110490"/>
                    </a:xfrm>
                    <a:prstGeom prst="rect">
                      <a:avLst/>
                    </a:prstGeom>
                    <a:noFill/>
                    <a:ln>
                      <a:noFill/>
                    </a:ln>
                  </pic:spPr>
                </pic:pic>
              </a:graphicData>
            </a:graphic>
          </wp:inline>
        </w:drawing>
      </w:r>
      <w:r>
        <w:rPr>
          <w:rFonts w:ascii="Arial" w:cs="Arial" w:eastAsia="Arial" w:hAnsi="Arial"/>
          <w:sz w:val="20"/>
          <w:szCs w:val="20"/>
          <w:b w:val="1"/>
          <w:bCs w:val="1"/>
          <w:color w:val="auto"/>
        </w:rPr>
        <w:t xml:space="preserve"> years or anyone aged &lt;65 with clinical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-243205</wp:posOffset>
            </wp:positionV>
            <wp:extent cx="71120" cy="711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2020, the Centers for Disease Control and Prevention (the “CDC”) estimated that 45% of the U.S. adult population, or 115 million individuals, have one or more comorbidities associated with increased risk for complications from SARS-CoV-2 infections.</w:t>
      </w:r>
    </w:p>
    <w:p>
      <w:pPr>
        <w:spacing w:after="0" w:line="130" w:lineRule="exact"/>
        <w:rPr>
          <w:sz w:val="20"/>
          <w:szCs w:val="20"/>
          <w:color w:val="auto"/>
        </w:rPr>
      </w:pPr>
    </w:p>
    <w:p>
      <w:pPr>
        <w:ind w:firstLine="490"/>
        <w:spacing w:after="0" w:line="234" w:lineRule="auto"/>
        <w:rPr>
          <w:sz w:val="20"/>
          <w:szCs w:val="20"/>
          <w:color w:val="auto"/>
        </w:rPr>
      </w:pPr>
      <w:r>
        <w:rPr>
          <w:rFonts w:ascii="Arial" w:cs="Arial" w:eastAsia="Arial" w:hAnsi="Arial"/>
          <w:sz w:val="20"/>
          <w:szCs w:val="20"/>
          <w:b w:val="1"/>
          <w:bCs w:val="1"/>
          <w:color w:val="auto"/>
        </w:rPr>
        <w:t>We have conducted several waves of market research with physicians that have reflected that there are gaps in COVID-19 treatment alternatives in a variety of U.S. patient populations, including:</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Infected patients concerned about “Long COVID” who are seeking to rapidly drive down their viral load;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-83185</wp:posOffset>
            </wp:positionV>
            <wp:extent cx="71120" cy="711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9" w:lineRule="exact"/>
        <w:rPr>
          <w:sz w:val="20"/>
          <w:szCs w:val="20"/>
          <w:color w:val="auto"/>
        </w:rPr>
      </w:pPr>
    </w:p>
    <w:p>
      <w:pPr>
        <w:ind w:left="980"/>
        <w:spacing w:after="0" w:line="234" w:lineRule="auto"/>
        <w:rPr>
          <w:sz w:val="20"/>
          <w:szCs w:val="20"/>
          <w:color w:val="auto"/>
        </w:rPr>
      </w:pPr>
      <w:r>
        <w:rPr>
          <w:rFonts w:ascii="Arial" w:cs="Arial" w:eastAsia="Arial" w:hAnsi="Arial"/>
          <w:sz w:val="20"/>
          <w:szCs w:val="20"/>
          <w:b w:val="1"/>
          <w:bCs w:val="1"/>
          <w:color w:val="auto"/>
        </w:rPr>
        <w:t>Infected patients for whom quarantining is not an option due to impending travel, work obligations, or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Pediatrics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Although children are at lower risk of developing severe COVID-19 compared to adults, a subset of children experience poor outcomes, including severe acute disease, such as multisystem inflammatory syndrome (“MIS-C”) and long-term sequelae of disease, also known as long COVID. Safe and effective therapies are needed to prevent severe disease and hospitalization in high-risk children as well as complications of COVID-19 such as MIS-C and long COVID. Similarly, although there is a paucity of data regarding the immune response to COVID-19 vaccines in children with moderate to severe immunocompromise, a subset of these children may have suboptimal immune responses to vaccines similar to adults with certain forms of immunocompromise and thus have the potential to benefit from a passive immune approach. Currently, the CDC recommends that children ages 6 months to 17 years receive their primary series vaccinations plus an updated (bivalent) booster. For immunocompromised children ages 5-17 years, the CDC recommends an additional primary series shot be administered for the Pfizer vaccine; for the Moderna vaccine, children ages 6 months to 17 should receive an additional primary series shot; and for the Novavax vaccine, no additional shots are currently required.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Pipeline Overview</w:t>
      </w:r>
    </w:p>
    <w:p>
      <w:pPr>
        <w:spacing w:after="0" w:line="131"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We envision additional product development opportunities emerging from our SARS-CoV-2 discovery efforts for the prevention and/or treatment of COVID-19. We believe the discovery of additional broadly neutralizing monoclonal antibodies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w:t>
      </w:r>
    </w:p>
    <w:p>
      <w:pPr>
        <w:sectPr>
          <w:pgSz w:w="12240" w:h="15840" w:orient="portrait"/>
          <w:cols w:equalWidth="0" w:num="1">
            <w:col w:w="10080"/>
          </w:cols>
          <w:pgMar w:left="1080" w:top="1089" w:right="1080" w:bottom="157" w:gutter="0" w:footer="0" w:header="0"/>
        </w:sectPr>
      </w:pPr>
    </w:p>
    <w:bookmarkStart w:id="12" w:name="page13"/>
    <w:bookmarkEnd w:id="12"/>
    <w:p>
      <w:pPr>
        <w:jc w:val="both"/>
        <w:spacing w:after="0" w:line="234" w:lineRule="auto"/>
        <w:rPr>
          <w:sz w:val="20"/>
          <w:szCs w:val="20"/>
          <w:color w:val="auto"/>
        </w:rPr>
      </w:pPr>
      <w:r>
        <w:rPr>
          <w:rFonts w:ascii="Arial" w:cs="Arial" w:eastAsia="Arial" w:hAnsi="Arial"/>
          <w:sz w:val="20"/>
          <w:szCs w:val="20"/>
          <w:b w:val="1"/>
          <w:bCs w:val="1"/>
          <w:color w:val="auto"/>
        </w:rPr>
        <w:t>that target new viral epitopes both within and outside the RBD will ensure long-lasting product activity for COVID-19 as new VoCs arise as well as for future outbreaks of disease that may emerge.</w:t>
      </w:r>
    </w:p>
    <w:p>
      <w:pPr>
        <w:spacing w:after="0" w:line="130"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We believe that the robust antibody discovery, engineering, and development capabilities that have enabled our expedited advancement of adintrevimab may also be used to discover, engineer and develop preventative or therapeutic options for other infectious diseases, such as broadly neutralizing, half-life extended, monoclonal antibodies to provide protection against seasonal and pandemic influenza.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76835</wp:posOffset>
            </wp:positionV>
            <wp:extent cx="6403975" cy="2610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3">
                      <a:extLst>
                        <a:ext uri="{28A0092B-C50C-407E-A947-70E740481C1C}"/>
                      </a:extLst>
                    </a:blip>
                    <a:srcRect/>
                    <a:stretch>
                      <a:fillRect/>
                    </a:stretch>
                  </pic:blipFill>
                  <pic:spPr bwMode="auto">
                    <a:xfrm>
                      <a:off x="0" y="0"/>
                      <a:ext cx="6403975" cy="2610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 Strategy</w:t>
      </w:r>
    </w:p>
    <w:p>
      <w:pPr>
        <w:spacing w:after="0" w:line="129"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We do not currently own or operate any manufacturing facilities and have invested significant resources to develop commercial-scale manufacturing in partnership with our contract manufacturer partner, WuXi Biologics, with whom we have been working since our inception. We have contracted with WuXi Biologics for the manufacturing of commercial-scale VYD222. VYD222 is produced using an industry standard mAb manufacturing process including a recombinant Chinese Hamster Ovary (“CHO”) commercial cell line, fed-batch suspension cell culture and a chromatography column-based purification process. The drug product manufacture uses an industry standard sterile liquid drug product manufacturing process.</w:t>
      </w:r>
    </w:p>
    <w:p>
      <w:pPr>
        <w:spacing w:after="0" w:line="64"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have established long-term master services agreements with WuXi Biologics, pursuant to which we purchase drug substance and drug product for both clinical and commercial supply. The master services agreements are also applicable to any future clinical candidates identified for development, should we elect to use WuXi Biologics for development and supply of those candidates. We may stop placing orders under the master services agreements at any time, provided that we fulfill our obligations to make payment for, or pay cancellation-related costs related to,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w:t>
      </w:r>
    </w:p>
    <w:p>
      <w:pPr>
        <w:spacing w:after="0" w:line="11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have also established a cell line license agreement with WuXi Biologics that allows for the transfer and use in drug substance manufacturing of any cell line developed by WuXi Biologics on our behalf, including those used in the manufacture of adintrevimab, VYD222 and other clinical candidate products. This license enables cell line and manufacturing process transfer to additional contract manufacturers.</w:t>
      </w:r>
    </w:p>
    <w:p>
      <w:pPr>
        <w:spacing w:after="0" w:line="122"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b w:val="1"/>
          <w:bCs w:val="1"/>
          <w:color w:val="auto"/>
        </w:rPr>
        <w:t>We expect to devote significant resources to the manufacture of VYD222, and we do not expect any meaningful impediments to executing our current supply plan to provide under an EUA. However, within the context of the global pandemic, sufficient capacity for commercial scale manufacturing has been constrained on a worldwide basis. We expect to have sufficient supply of VYD222 to support our clinical trial needs and to fulfill our initial supply needs upon receipt of an EUA if granted.</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Relationship with Adimab</w:t>
      </w:r>
    </w:p>
    <w:p>
      <w:pPr>
        <w:spacing w:after="0" w:line="131"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Since our founding in June 2020, we have focused on the development of monoclonal antibodies for both the prevention and treatment of COVID-19. Adimab is a leading provider of antibody discovery, engineering and optimization services and has established an extensive presence in the drug discovery industry.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11</w:t>
      </w:r>
    </w:p>
    <w:p>
      <w:pPr>
        <w:sectPr>
          <w:pgSz w:w="12240" w:h="15840" w:orient="portrait"/>
          <w:cols w:equalWidth="0" w:num="1">
            <w:col w:w="10080"/>
          </w:cols>
          <w:pgMar w:left="1080" w:top="1089" w:right="1080" w:bottom="157" w:gutter="0" w:footer="0" w:header="0"/>
        </w:sectPr>
      </w:pPr>
    </w:p>
    <w:bookmarkStart w:id="13" w:name="page14"/>
    <w:bookmarkEnd w:id="13"/>
    <w:p>
      <w:pPr>
        <w:jc w:val="both"/>
        <w:ind w:firstLine="490"/>
        <w:spacing w:after="0" w:line="325" w:lineRule="auto"/>
        <w:rPr>
          <w:sz w:val="20"/>
          <w:szCs w:val="20"/>
          <w:color w:val="auto"/>
        </w:rPr>
      </w:pPr>
      <w:r>
        <w:rPr>
          <w:rFonts w:ascii="Arial" w:cs="Arial" w:eastAsia="Arial" w:hAnsi="Arial"/>
          <w:sz w:val="15"/>
          <w:szCs w:val="15"/>
          <w:b w:val="1"/>
          <w:bCs w:val="1"/>
          <w:color w:val="auto"/>
        </w:rPr>
        <w:t>Since July 2020, we are party to an assignment and license agreement with Adimab under which Adimab assigned to us its rights to all existing coronavirus antibodies controlled by it and their derivatives, including adintrevimab. See “—Licensing, Collaborations and Partnerships—Assignment and License Agreement with Adimab.”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us, we will have the exclusive option to require Adimab to assign us its rights in any such antibody and to grant us certain licenses. See “—Licensing, Collaborations and Partnerships— Collaboration Agreement with Adimab.” In addition, in September 2022, we entered into a platform transfer agreement with Adimab. Under the platform transfer agreement,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See “—Licensing, Collaborations and Partnerships—Platform Transfer Agreement with Adimab.”</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Licensing, Collaborations and Partnerships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Adimab Assignment Agreement</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July 2020, we entered into an assignment and license agreement with Adimab (the “Adimab Assignment Agreement”) with respect to discovery and optimization of coronavirus-specific antibodies, including COVID-19 and SARS. Under the Adimab Assignment Agreement, Adimab assigned to us its rights to all existing coronavirus antibodies controlled by it and their derivatives, patents claiming such antibodies, know-how related to such antibodies, and biological and chemical materials specifically related to such antibodies. Adimab also granted us a non-exclusive, worldwide, royalty-bearing, sublicensable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Adimab cannot grant any third party any license or right under any patent claiming our coronavirus antibodies and cannot deliver our coronavirus antibodies to third parties; however, we have limited recourse in the event of accidental disclosures.</w:t>
      </w:r>
    </w:p>
    <w:p>
      <w:pPr>
        <w:spacing w:after="0" w:line="98"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We are obligated to use commercially reasonable efforts to achieve specified development and regulatory milestones for products in certain major markets and to commercialize a product in any country in which we obtain marketing approval. We are obligated to pay Adimab quarterly for its services performed under the agreement at a specified full-time equivalent rate.</w:t>
      </w:r>
    </w:p>
    <w:p>
      <w:pPr>
        <w:spacing w:after="0" w:line="50"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(the “Products”). Through December 31, 2022, we had made aggregate milestone payments of $7.5 million to Adimab under the Adimab Assignment Agreement. We are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us under the Adimab Assignment Agreement or that claims priority to any such patent. If we commercialize any Products as a diagnostic device (other than a companion diagnostic device) or as a research reagent, we must negotiate reasonable financial terms for such products.</w:t>
      </w:r>
    </w:p>
    <w:p>
      <w:pPr>
        <w:spacing w:after="0" w:line="100"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Adimab Assignment Agreement will expire, unless earlier terminated, on the expiration of the last-to-expire royalty term. We have the right to terminate the Adimab Assignment Agreement at any time upon advance written notice to Adimab. In addition, subject to certain conditions, either we or Adimab may terminate the Adimab Assignment Agreement if the other party commits a material breach of the agreement and fails to cure such breach within a specified cure period after written notice is provided, except that after the initiation of the first clinical trial of a Product, Adimab may only terminate the agreement if we materially breach, and do not cure, our diligence obligation or a payment obligation. Upon expiration of the Adimab Assignment Agreement, the license becomes royalty-free, irrevocable and perpetual. Upon termination of the Adimab Assignment Agreement, all licenses and rights granted by either party will terminate and, in the case of our termination for convenience or Adimab’s termination for our material breach, we are required to assign to Adimab all right, title and interest to the patents assigned by Adimab to us or that claim priority to such patents.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12</w:t>
      </w:r>
    </w:p>
    <w:p>
      <w:pPr>
        <w:sectPr>
          <w:pgSz w:w="12240" w:h="15840" w:orient="portrait"/>
          <w:cols w:equalWidth="0" w:num="1">
            <w:col w:w="10080"/>
          </w:cols>
          <w:pgMar w:left="1080" w:top="1089" w:right="1080" w:bottom="157" w:gutter="0" w:footer="0" w:header="0"/>
        </w:sectPr>
      </w:pPr>
    </w:p>
    <w:bookmarkStart w:id="14" w:name="page15"/>
    <w:bookmarkEnd w:id="14"/>
    <w:p>
      <w:pPr>
        <w:jc w:val="both"/>
        <w:ind w:firstLine="490"/>
        <w:spacing w:after="0" w:line="234" w:lineRule="auto"/>
        <w:rPr>
          <w:sz w:val="20"/>
          <w:szCs w:val="20"/>
          <w:color w:val="auto"/>
        </w:rPr>
      </w:pPr>
      <w:r>
        <w:rPr>
          <w:rFonts w:ascii="Arial" w:cs="Arial" w:eastAsia="Arial" w:hAnsi="Arial"/>
          <w:sz w:val="20"/>
          <w:szCs w:val="20"/>
          <w:b w:val="1"/>
          <w:bCs w:val="1"/>
          <w:color w:val="auto"/>
        </w:rPr>
        <w:t>Through December 31, 2022, we had made aggregate payments of $10.1 million to Adimab under the Adimab Assignment Agreement, inclusive of the milestone payments.</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Adimab Collaboration Agreement</w:t>
      </w:r>
    </w:p>
    <w:p>
      <w:pPr>
        <w:spacing w:after="0" w:line="13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 May 2021, we entered into a collaboration agreement with Adimab, as amended in November 2022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If Adimab is unable to generate antibodies directed against a target selected by us, then we may replace such target.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non-exclusive, non-sublicensable license to certain of our patents and intellectual property solely to perform Adimab’s responsibilities under the research plans. Under the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will assign to us all right, title and interest in the antibodies of the optioned research program and will grant us a worldwide, royalty-free, fully paid-up, non-exclusive, sublicensable license under the Adimab platform technology to research, develop, make, use, and sell the antibodies for which we have exercised our options and products containing or comprising those antibodies.</w:t>
      </w:r>
    </w:p>
    <w:p>
      <w:pPr>
        <w:spacing w:after="0" w:line="10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Under the Adimab Collaboration Agreement, we are obligated to use commercially reasonable efforts to develop, seek marketing approval for, and commercialize one product that contains an antibody discovered in each research program for which we exercise our option to obtain licenses and assignments.</w:t>
      </w:r>
    </w:p>
    <w:p>
      <w:pPr>
        <w:spacing w:after="0" w:line="121"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Under the agreement, we are obligated to pay Adimab a quarterly fee of $1.3 million in exchange for Adimab and its affiliates agreeing not to assist in the discovery or optimization of or to direct certain third parties to discover or optimize antibodies that are intended to bind to coronaviruses or influenza viruses, which obligation may be cancelled at our option at any time. For so long as we are paying such quarterly fee (or earlier (i) if we experience a change of control after the third anniversary of the Adimab Collaboration Agreement or (ii) Adimab owns less than a specified percentage of our equity), Adimab and its affiliates will not assist or direct certain third parties to discover or optimize antibodies that are intended to bind to coronaviruses or influenza viruses with limited exception. We may also elect to decrease the scope of Adimab’s exclusivity obligations and obtain a corresponding decrease in the quarterly fee.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299"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06"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59"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cure periods. Following termination, we are prohibited from (i) researching, developing, manufacturing or commercializing, any products containing antibodies discovered under the agreement, (ii) practicing, licensing, assigning, granting options to, or otherwise covenanting away rights to the foregoing products, and (iii) licensing or otherwise granting covenants not to sue third parties for the foregoing products.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13</w:t>
      </w:r>
    </w:p>
    <w:p>
      <w:pPr>
        <w:sectPr>
          <w:pgSz w:w="12240" w:h="15840" w:orient="portrait"/>
          <w:cols w:equalWidth="0" w:num="1">
            <w:col w:w="10080"/>
          </w:cols>
          <w:pgMar w:left="1080" w:top="1089" w:right="1080" w:bottom="157" w:gutter="0" w:footer="0" w:header="0"/>
        </w:sectPr>
      </w:pPr>
    </w:p>
    <w:bookmarkStart w:id="15" w:name="page16"/>
    <w:bookmarkEnd w:id="15"/>
    <w:p>
      <w:pPr>
        <w:jc w:val="both"/>
        <w:ind w:firstLine="490"/>
        <w:spacing w:after="0" w:line="234" w:lineRule="auto"/>
        <w:rPr>
          <w:sz w:val="20"/>
          <w:szCs w:val="20"/>
          <w:color w:val="auto"/>
        </w:rPr>
      </w:pPr>
      <w:r>
        <w:rPr>
          <w:rFonts w:ascii="Arial" w:cs="Arial" w:eastAsia="Arial" w:hAnsi="Arial"/>
          <w:sz w:val="20"/>
          <w:szCs w:val="20"/>
          <w:b w:val="1"/>
          <w:bCs w:val="1"/>
          <w:color w:val="auto"/>
        </w:rPr>
        <w:t>Through December 31, 2022, we had made aggregate payments of $10.6 million to Adimab under the Adimab Collaboration Agreement. As of December 31, 2022, $0.3 million was due to Adimab by us.</w:t>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Adimab Platform Transfer Agreement</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September 2022 (the “Effective Date”), we entered into a platform transfer agreement with Adimab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will be transferred to us in accordance with the terms of the Adimab Platform Transfer Agreement.</w:t>
      </w:r>
    </w:p>
    <w:p>
      <w:pPr>
        <w:spacing w:after="0" w:line="112"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We are obligated to pay Adimab an annual fee of single digit millions on each of the first four anniversaries of the Effective Date, which will allow us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we have the option to receive additional material improvements to the platform technology from Adimab, subject to a commercially reasonable fee to be negotiated by the parties.</w:t>
      </w:r>
    </w:p>
    <w:p>
      <w:pPr>
        <w:spacing w:after="0" w:line="9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are also obligated to pay Adimab up to $9.5 million upon the achievement of specified development and regulatory milestones for each product under the Adimab Platform Transfer Agreement that achieves such milestones. In addition, we are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95"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We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5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Through December 31, 2022, we had made aggregate payments of $3.0 million to Adimab under the Adimab Platform Transfer Agreement.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Population Health Partners, L.P.</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November 2022 (the “PHP Effective Date”), we entered into a Master Services Agreement with Population Health Partners, L.P. (“PHP”), pursuant to which PHP agreed to provide services and create deliverables for us as agreed between us and PHP and set forth in one or more work orders under such agreement (the “PHP MSA”). The term of the PHP MSA commenced on the PHP Effective Date and will continue for a period of one year, unless terminated earlier in accordance with its terms. On the PHP Effective Date, we and PHP entered into the first work order under the PHP MSA (the “PHP Work Order”), pursuant to which PHP agreed to advise and counsel us regarding clinical development and regulatory matters with respect to our product candidates. The PHP Work Order is effective for six months from the PHP Effective Date and may be extended by written agreement of us and PHP. The PHP MSA contains customary confidentiality provisions and representations and warranties of the parties, as well as mutual non-solicitation of certain employees during the term of the PHP MSA and for a period of one year thereafter. Clive Meanwell, M.D. and Tamsin Berry, members of our board of directors, are Managing Partner and Partner of PHP, respectively.</w:t>
      </w:r>
    </w:p>
    <w:p>
      <w:pPr>
        <w:spacing w:after="0" w:line="96"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As compensation for the services and deliverables under the PHP Work Order, we are obligated to pay PHP a cash fee of $500,000 per month during the term of the PHP Work Order for an aggregate fee of $3,000,000 (the “Aggregate Fee”). In the event that (i) we terminate the PHP Work Order for any reason other than material breach by PHP or (ii) PHP terminates the PHP Work Order due to material breach by us, in each case, pursuant to the terms of the PHP MSA, then we would be required to pay PHP the balance of the Aggregate Fee as of the date the PHP Work Order is terminated. The cash fee is subject to change if the parties extend the term of the PHP Work Order in accordance with the terms thereof.</w:t>
      </w:r>
    </w:p>
    <w:p>
      <w:pPr>
        <w:spacing w:after="0" w:line="93"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In addition to the cash compensation, on the PHP Effective Date, we issued a warrant to purchase shares of our common stock, par value $0.0001 (“Common Stock”), to PHP (the “PHP Warrant”). The exercise price of the PHP Warrant is $3.48 per share of Common Stock, which is equal to the Nasdaq Official Closing Price of a share of Common Stock on the trading day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14</w:t>
      </w:r>
    </w:p>
    <w:p>
      <w:pPr>
        <w:sectPr>
          <w:pgSz w:w="12240" w:h="15840" w:orient="portrait"/>
          <w:cols w:equalWidth="0" w:num="1">
            <w:col w:w="10080"/>
          </w:cols>
          <w:pgMar w:left="1080" w:top="1089" w:right="1080" w:bottom="157" w:gutter="0" w:footer="0" w:header="0"/>
        </w:sectPr>
      </w:pPr>
    </w:p>
    <w:bookmarkStart w:id="16" w:name="page17"/>
    <w:bookmarkEnd w:id="16"/>
    <w:p>
      <w:pPr>
        <w:jc w:val="both"/>
        <w:spacing w:after="0" w:line="273" w:lineRule="auto"/>
        <w:rPr>
          <w:sz w:val="20"/>
          <w:szCs w:val="20"/>
          <w:color w:val="auto"/>
        </w:rPr>
      </w:pPr>
      <w:r>
        <w:rPr>
          <w:rFonts w:ascii="Arial" w:cs="Arial" w:eastAsia="Arial" w:hAnsi="Arial"/>
          <w:sz w:val="18"/>
          <w:szCs w:val="18"/>
          <w:b w:val="1"/>
          <w:bCs w:val="1"/>
          <w:color w:val="auto"/>
        </w:rPr>
        <w:t>immediately prior to the PHP Effective Date. The PHP Warrant is exercisable for up to an aggregate of 6,824,712 shares of Common Stock, and vests in up to three separate tranches upon certain milestones. See Note 8 to our annual consolidated financial statements appearing at the end of this Annual Report on Form 10-K for further details.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As of December 31, 2022, $0.8 million was due to PHP by us under the PHP Work Order.</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Collaboration and License Agreement with The Scripps Research Institute</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August 2021, we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(the “Research Program”).</w:t>
      </w:r>
    </w:p>
    <w:p>
      <w:pPr>
        <w:spacing w:after="0" w:line="135"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In April 2022, we provided written notice to TSRI to terminate the Research Agreement. Following early termination in the second quarter of 2022, all licenses were terminated and reverted to TSRI.</w:t>
      </w:r>
    </w:p>
    <w:p>
      <w:pPr>
        <w:spacing w:after="0" w:line="13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Through December 31, 2022, we had made aggregate payments of $4.0 million to TSRI under the Research Agreement.</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Cell Line License Agreement with WuXi Biologics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are also party to a Cell Line License Agreement with WuXi Biologics, entered into as of December 2, 2020, as amended on February 2, 2023. See “Management’s Discussion and Analysis of Financial Condition and Results of Operations—Contractual Obligations and Commitments” and “—Manufacturing Strategy.”</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 with Biocon Biologics Limited</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 July 2021, we entered into a license agreement with Biocon Biologics Limited (“Biocon”) to combat the ongoing COVID-19 crisis in southern Asia. Under the license agreement, we granted Biocon exclusive rights to manufacture and commercialize an antibody treatment in India and additional select emerging markets based on the commercial process developed for adintrevimab. As part of the agreement, Biocon will be granted access to the data from our Phase 2/3 adintrevimab clinical trials and access to our EUA package, if applicable, including regulatory submissions, to support approval or emergency authorization in India and other select emerging markets.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3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we expect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preclinical testing, conducting clinical trials, manufacturing, obtaining regulatory approvals and marketing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10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face competition from segments of the pharmaceutical, biotechnology and other related markets that pursue the development of antibody and small molecule antivirals targeting COVID-19. Companies that have active COVID-19 antibody-based programs include AstraZeneca plc, Eli Lilly and Co, Regeneron Pharmaceuticals, Inc. in collaboration with Roche Pharmaceuticals, Vir Biotechnology, Inc., and Aerium Therapeutics. In addition, companies that have approved or authorized antiviral programs for the treatment of COVID-19 include Merck and Co., Inc. (oral), Pfizer Pharmaceuticals (oral), and Gilead (IV). Beyond antibody and small molecule antiviral treatments, we also face competition from SARS-CoV-2 vaccines that are either available under an EUA, approved or in development for the prevention of COVID-19.</w:t>
      </w:r>
    </w:p>
    <w:p>
      <w:pPr>
        <w:spacing w:after="0" w:line="94"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our product candidates. Some of our competitors have already previously obtained EUAs from the FDA for the treatment of mild to moderate COVID-19 in high risk patients and the prevention 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15</w:t>
      </w:r>
    </w:p>
    <w:p>
      <w:pPr>
        <w:sectPr>
          <w:pgSz w:w="12240" w:h="15840" w:orient="portrait"/>
          <w:cols w:equalWidth="0" w:num="1">
            <w:col w:w="10080"/>
          </w:cols>
          <w:pgMar w:left="1080" w:top="1089" w:right="1080" w:bottom="157" w:gutter="0" w:footer="0" w:header="0"/>
        </w:sectPr>
      </w:pPr>
    </w:p>
    <w:bookmarkStart w:id="17" w:name="page18"/>
    <w:bookmarkEnd w:id="17"/>
    <w:p>
      <w:pPr>
        <w:jc w:val="both"/>
        <w:spacing w:after="0" w:line="237" w:lineRule="auto"/>
        <w:rPr>
          <w:sz w:val="20"/>
          <w:szCs w:val="20"/>
          <w:color w:val="auto"/>
        </w:rPr>
      </w:pPr>
      <w:r>
        <w:rPr>
          <w:rFonts w:ascii="Arial" w:cs="Arial" w:eastAsia="Arial" w:hAnsi="Arial"/>
          <w:sz w:val="20"/>
          <w:szCs w:val="20"/>
          <w:b w:val="1"/>
          <w:bCs w:val="1"/>
          <w:color w:val="auto"/>
        </w:rPr>
        <w:t>COVID-19 in immunocompromised patients, and others in the future may obtain FDA or other regulatory approval or authorization more rapidly than we may, which could result in our competitors establishing a strong market position before we are able to enter the market. The key competitive factors affecting the success of our product candidates, if approved, are likely to be their efficacy, safety, convenience, price and the availability of reimbursement from government and other third-party payors.</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31"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Our commercial success depends in part on our ability to obtain and maintain patent and other proprietary protection in the U.S. and in other countries for commercially important technology, current and future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200" w:lineRule="exact"/>
        <w:rPr>
          <w:sz w:val="20"/>
          <w:szCs w:val="20"/>
          <w:color w:val="auto"/>
        </w:rPr>
      </w:pPr>
    </w:p>
    <w:p>
      <w:pPr>
        <w:spacing w:after="0" w:line="337"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antibody field that may be important for the development of our business. We also intend to seek patent protection or rely upon trade secret rights to protect other technologies that may be used to discover and validate targets, as well as to manufacture and develop novel antibody products. Additional regulatory protection may also be afforded through data exclusivity, market exclusivity and patent term extensions where available.</w:t>
      </w:r>
    </w:p>
    <w:p>
      <w:pPr>
        <w:spacing w:after="0" w:line="95"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VYD222, Adintrevimab, and Other Antibodies</w:t>
      </w:r>
    </w:p>
    <w:p>
      <w:pPr>
        <w:spacing w:after="0" w:line="131"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As of March 16, 2023, we own one patent family for which we have three issued U.S. patents (U.S. 11,192,940, issued December 7, 2021; U.S. 11,220,536, issued January 11, 2022; and U.S. 11,414,479, issued August 16, 2022), one pending U.S. non-provisional patent application, and foreign patent applications in Argentina, Brazil, Canada, China, Europe, India, Japan, Mexico, Singapore, South Africa, Taiwan, and Thailand. This patent family is directed to broadly neutralizing anti-coronavirus antibodies, including ADG20 (adintrevimab) and ADG10, and uses thereof. These patents and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70"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As of March 16, 2023, we own a second patent family for which we have filed one PCT patent application. This patent family is directed to formulations and methods of use for ADG20 (adintrevimab). Any additional U.S. non-provisional patent applications or foreign patent applications timely filed based upon such application, if issued, are expected to expire in 2042, without taking into account any possible patent term adjustment or extension.</w:t>
      </w:r>
    </w:p>
    <w:p>
      <w:pPr>
        <w:spacing w:after="0" w:line="104"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As of March 16, 2023, we own a third patent family for which we have filed one PCT patent application and one foreign application in Taiwan. This patent family is directed to formulations and methods of use for ADG20 (adintrevimab). Any additional U.S. non-provisional patent applications or foreign patent applications timely filed based upon such applications, if issued, are expected to expire in 2042, without taking into account any possible patent term adjustment or extension.</w:t>
      </w:r>
    </w:p>
    <w:p>
      <w:pPr>
        <w:spacing w:after="0" w:line="90" w:lineRule="exact"/>
        <w:rPr>
          <w:sz w:val="20"/>
          <w:szCs w:val="20"/>
          <w:color w:val="auto"/>
        </w:rPr>
      </w:pPr>
    </w:p>
    <w:p>
      <w:pPr>
        <w:jc w:val="both"/>
        <w:ind w:firstLine="490"/>
        <w:spacing w:after="0" w:line="382" w:lineRule="auto"/>
        <w:rPr>
          <w:sz w:val="20"/>
          <w:szCs w:val="20"/>
          <w:color w:val="auto"/>
        </w:rPr>
      </w:pPr>
      <w:r>
        <w:rPr>
          <w:rFonts w:ascii="Arial" w:cs="Arial" w:eastAsia="Arial" w:hAnsi="Arial"/>
          <w:sz w:val="15"/>
          <w:szCs w:val="15"/>
          <w:b w:val="1"/>
          <w:bCs w:val="1"/>
          <w:color w:val="auto"/>
        </w:rPr>
        <w:t>As of March 16, 2023, we own a fourth patent family for which we have filed one PCT patent application and two foreign patent applications in Argentina and Taiwan. This patent family is directed to additional broadly neutralizing anti-coronavirus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16</w:t>
      </w:r>
    </w:p>
    <w:p>
      <w:pPr>
        <w:sectPr>
          <w:pgSz w:w="12240" w:h="15840" w:orient="portrait"/>
          <w:cols w:equalWidth="0" w:num="1">
            <w:col w:w="10080"/>
          </w:cols>
          <w:pgMar w:left="1080" w:top="1089" w:right="1080" w:bottom="157" w:gutter="0" w:footer="0" w:header="0"/>
        </w:sectPr>
      </w:pPr>
    </w:p>
    <w:bookmarkStart w:id="18" w:name="page19"/>
    <w:bookmarkEnd w:id="18"/>
    <w:p>
      <w:pPr>
        <w:jc w:val="both"/>
        <w:spacing w:after="0" w:line="273" w:lineRule="auto"/>
        <w:rPr>
          <w:sz w:val="20"/>
          <w:szCs w:val="20"/>
          <w:color w:val="auto"/>
        </w:rPr>
      </w:pPr>
      <w:r>
        <w:rPr>
          <w:rFonts w:ascii="Arial" w:cs="Arial" w:eastAsia="Arial" w:hAnsi="Arial"/>
          <w:sz w:val="18"/>
          <w:szCs w:val="18"/>
          <w:b w:val="1"/>
          <w:bCs w:val="1"/>
          <w:color w:val="auto"/>
        </w:rPr>
        <w:t>antibodies, combination therapies, and uses thereof. These patent applications and any additional U.S. non-provisional patent applications or foreign patent applications timely filed based upon such applications, if issued, are expected to expire in 2042, without taking into account any possible patent term adjustment or extension.</w:t>
      </w:r>
    </w:p>
    <w:p>
      <w:pPr>
        <w:spacing w:after="0" w:line="10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As of March 16, 2023, we own two additional patent families for which we have filed provisional U.S. patent applications. The first patent family is directed to additional broadly neutralizing anti-coronavirus antibodies, combination therapies, and uses thereof, and includes four U.S. provisional patent applications. The second patent family is directed to additional broadly neutralizing anti-coronavirus antibodies, including VYD222, as well as combination therapies, and uses thereof, and includes four U.S. provisional patent applications. Any U.S. non-provisional patent applications timely filed based upon these U.S. provisional patent applications, if issued, are expected to expire in 2043, without taking into account any possible patent term adjustment or extension.</w:t>
      </w:r>
    </w:p>
    <w:p>
      <w:pPr>
        <w:spacing w:after="0" w:line="33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Trade Secrets and Proprietary Information</w:t>
      </w:r>
    </w:p>
    <w:p>
      <w:pPr>
        <w:spacing w:after="0" w:line="131"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13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 the U.S., we are subject to extensive regulation by the FDA and other federal, state, and local regulatory agencies. In the U.S., biologics such as our product candidates are licensed by the FDA for marketing under the PHS Act and regulated under the FDCA. Both the FDCA and the PHS Act and their corresponding regulations govern, among other things, the testing, development, manufacturing, quality control, safety, purity, potency, efficacy, approval, labeling, packaging, storage, record keeping, distribution, marketing, sales, import, export, reporting, advertising and other promotional practices involving biologics. FDA clearance must be obtained before clinical testing of biologics product candidates. FDA licensure also must be obtained before biologics can be marketed. Additionally, significant regulatory aspects in the European Union are addressed in a centralized way through the European Medicines Agency (the “EMA”), and the European Commission, however country-specific regulation remains essential in many respects. Further, any failure to comply with applicable laws and regulations could have a material negative impact on our ability to successfully develop and commercialize product candidates, and therefore on our financial performance. In addition, the laws, rules and regulations that apply to our business are subject to change and it is difficult to foresee whether, how, or when such changes may affect our business. The process of obtaining regulatory approvals and the subsequent compliance with appropriate federal, state, local and foreign statutes and regulations require the expenditure of substantial time and financial resources.</w:t>
      </w:r>
    </w:p>
    <w:p>
      <w:pPr>
        <w:spacing w:after="0" w:line="33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U.S. Development Process</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process required by the FDA before a biologic product candidate may be marketed in the U.S. generally involves the following:</w:t>
      </w:r>
    </w:p>
    <w:p>
      <w:pPr>
        <w:spacing w:after="0" w:line="147" w:lineRule="exact"/>
        <w:rPr>
          <w:sz w:val="20"/>
          <w:szCs w:val="20"/>
          <w:color w:val="auto"/>
        </w:rPr>
      </w:pPr>
    </w:p>
    <w:p>
      <w:pPr>
        <w:jc w:val="both"/>
        <w:ind w:left="1100"/>
        <w:spacing w:after="0" w:line="382" w:lineRule="auto"/>
        <w:rPr>
          <w:sz w:val="20"/>
          <w:szCs w:val="20"/>
          <w:color w:val="auto"/>
        </w:rPr>
      </w:pPr>
      <w:r>
        <w:rPr>
          <w:rFonts w:ascii="Arial" w:cs="Arial" w:eastAsia="Arial" w:hAnsi="Arial"/>
          <w:sz w:val="15"/>
          <w:szCs w:val="15"/>
          <w:b w:val="1"/>
          <w:bCs w:val="1"/>
          <w:color w:val="auto"/>
        </w:rPr>
        <w:t>completion of nonclinical laboratory tests and animal studies according to current Good Laboratory Practices (“cGLP”) and applicable requirements for the humane use of laboratory animals or other applicable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-307340</wp:posOffset>
            </wp:positionV>
            <wp:extent cx="71120" cy="711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preparation of clinical trial material in accordance with applicable current (“cGMP”);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88" w:lineRule="auto"/>
        <w:rPr>
          <w:sz w:val="20"/>
          <w:szCs w:val="20"/>
          <w:color w:val="auto"/>
        </w:rPr>
      </w:pPr>
      <w:r>
        <w:rPr>
          <w:rFonts w:ascii="Arial" w:cs="Arial" w:eastAsia="Arial" w:hAnsi="Arial"/>
          <w:sz w:val="17"/>
          <w:szCs w:val="17"/>
          <w:b w:val="1"/>
          <w:bCs w:val="1"/>
          <w:color w:val="auto"/>
        </w:rPr>
        <w:t>submission to the FDA of an application for an Investigational New Drug Application (“IND”), which contains, among other data and information, pre-clinical testing results and provides a basis for the FDA to conclude that there is an adequate basis for testing the drug in humans. If the FDA does not object to the IND application within 30 days of submission, the clinical testing proposed in the IND may begin. Even after the IND has gone into effect and clinical testing has begun, the FDA may put the clinical trials on “clinical hold,” suspending (or in some cases, ending) them because of safety concerns or for other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-852170</wp:posOffset>
            </wp:positionV>
            <wp:extent cx="71120" cy="711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17</w:t>
      </w:r>
    </w:p>
    <w:p>
      <w:pPr>
        <w:sectPr>
          <w:pgSz w:w="12240" w:h="15840" w:orient="portrait"/>
          <w:cols w:equalWidth="0" w:num="1">
            <w:col w:w="10080"/>
          </w:cols>
          <w:pgMar w:left="1080" w:top="1089" w:right="1080" w:bottom="157" w:gutter="0" w:footer="0" w:header="0"/>
        </w:sectPr>
      </w:pPr>
    </w:p>
    <w:bookmarkStart w:id="19" w:name="page20"/>
    <w:bookmarkEnd w:id="19"/>
    <w:p>
      <w:pPr>
        <w:jc w:val="both"/>
        <w:ind w:left="1100"/>
        <w:spacing w:after="0" w:line="234" w:lineRule="auto"/>
        <w:rPr>
          <w:sz w:val="20"/>
          <w:szCs w:val="20"/>
          <w:color w:val="auto"/>
        </w:rPr>
      </w:pPr>
      <w:r>
        <w:rPr>
          <w:rFonts w:ascii="Arial" w:cs="Arial" w:eastAsia="Arial" w:hAnsi="Arial"/>
          <w:sz w:val="20"/>
          <w:szCs w:val="20"/>
          <w:b w:val="1"/>
          <w:bCs w:val="1"/>
          <w:color w:val="auto"/>
        </w:rPr>
        <w:t>approval by an institutional review board (“IRB”), reviewing each clinical site before each clinical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286" w:lineRule="auto"/>
        <w:rPr>
          <w:sz w:val="20"/>
          <w:szCs w:val="20"/>
          <w:color w:val="auto"/>
        </w:rPr>
      </w:pPr>
      <w:r>
        <w:rPr>
          <w:rFonts w:ascii="Arial" w:cs="Arial" w:eastAsia="Arial" w:hAnsi="Arial"/>
          <w:sz w:val="17"/>
          <w:szCs w:val="17"/>
          <w:b w:val="1"/>
          <w:bCs w:val="1"/>
          <w:color w:val="auto"/>
        </w:rPr>
        <w:t>performance of adequate and well-controlled human clinical trials according to the FDA’s bioresearch monitoring regulations and current Good Clinical Practices (“cGCP”), which establish standards for conducting, recording data from, and reporting the results of clinical trials, with the goals of assuring that the data and results are credible and accurate and that study participants’ rights, safety and well-being are protected, and any additional requirements for the protection of human research subjects and their health information to establish the safety, purity, potency and efficacy of the proposed biologic product candidate for its intended use. Each clinical trial must be conducted under a protocol which details, among other things, the study objectives and parameters for monitoring safety and the efficacy criteria, if any, to be evaluated. The protocol is submitted to the FDA as part of the IND and reviewed by the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-1290320</wp:posOffset>
            </wp:positionV>
            <wp:extent cx="71120" cy="711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9"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submission to the FDA of a BLA for marketing approval that includes substantive evidence of safety, purity, potency, and efficacy from results of nonclinical testing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237" w:lineRule="auto"/>
        <w:rPr>
          <w:sz w:val="20"/>
          <w:szCs w:val="20"/>
          <w:color w:val="auto"/>
        </w:rPr>
      </w:pPr>
      <w:r>
        <w:rPr>
          <w:rFonts w:ascii="Arial" w:cs="Arial" w:eastAsia="Arial" w:hAnsi="Arial"/>
          <w:sz w:val="20"/>
          <w:szCs w:val="20"/>
          <w:b w:val="1"/>
          <w:bCs w:val="1"/>
          <w:color w:val="auto"/>
        </w:rPr>
        <w:t>satisfactory completion of a potential FDA pre-licensure inspection prior to BLA approval of the manufacturing facility or facilities where the biologic product candidate is produced to assess compliance with cGMP to assure that the facilities, methods and controls are adequate to preserve the biologic product candidate’s identity, strength, quality and purity;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-535940</wp:posOffset>
            </wp:positionV>
            <wp:extent cx="71120" cy="711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potential FDA audit of the nonclinical and clinical study sites that generated the data in support of the BLA;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9"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potential FDA Advisory Committee meeting to elicit expert input on critical issues, including a vote by external committee members;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FDA review and approval, or licensure, of the BLA and payment of associated user fees, when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cGLP and the Animal Welfare Act, which are enforced by the Department of Agriculture.</w:t>
      </w:r>
    </w:p>
    <w:p>
      <w:pPr>
        <w:spacing w:after="0" w:line="123"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The clinical study sponsor must submit the results of the nonclinical tests, together with manufacturing information, analytical data, any available clinical data or literature and a proposed clinical protocol, to the FDA as part of the IND before clinical testing may begin.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raises concerns or questions regarding the proposed clinical trials, including whether subjects will be exposed to unreasonable health risks,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300"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cGCP requirements, including the requirement that all research subjects or their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w:t>
      </w:r>
    </w:p>
    <w:p>
      <w:pPr>
        <w:sectPr>
          <w:pgSz w:w="12240" w:h="15840" w:orient="portrait"/>
          <w:cols w:equalWidth="0" w:num="1">
            <w:col w:w="10080"/>
          </w:cols>
          <w:pgMar w:left="1080" w:top="1104" w:right="1080" w:bottom="157" w:gutter="0" w:footer="0" w:header="0"/>
        </w:sectPr>
      </w:pPr>
    </w:p>
    <w:bookmarkStart w:id="20" w:name="page21"/>
    <w:bookmarkEnd w:id="20"/>
    <w:p>
      <w:pPr>
        <w:jc w:val="both"/>
        <w:ind w:firstLine="490"/>
        <w:spacing w:after="0" w:line="332" w:lineRule="auto"/>
        <w:rPr>
          <w:sz w:val="20"/>
          <w:szCs w:val="20"/>
          <w:color w:val="auto"/>
        </w:rPr>
      </w:pPr>
      <w:r>
        <w:rPr>
          <w:rFonts w:ascii="Arial" w:cs="Arial" w:eastAsia="Arial" w:hAnsi="Arial"/>
          <w:sz w:val="15"/>
          <w:szCs w:val="15"/>
          <w:b w:val="1"/>
          <w:bCs w:val="1"/>
          <w:color w:val="auto"/>
        </w:rPr>
        <w:t>A sponsor who wishes to conduct a clinical trial outside the U.S. may, but need not, obtain FDA authorization to conduct the clinical trial under an IND. Foreign studies conducted under an IND must meet the same requirements that apply to studies being conducted in the U.S. If a foreign clinical trial is not conducted under an IND, the sponsor may submit data from the clinical trial to the FDA in support of a new drug application (“NDA”) so long as the clinical trial is conducted in compliance with cGCP, including review and approval by an independent ethics committee and compliance with informed consent principles, and the FDA is able to validate the data from the study through an on-site inspection if deemed necessary.</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clinical trials are typically conducted in three sequential phases that may overlap or be combined:</w:t>
      </w:r>
    </w:p>
    <w:p>
      <w:pPr>
        <w:spacing w:after="0" w:line="145" w:lineRule="exact"/>
        <w:rPr>
          <w:sz w:val="20"/>
          <w:szCs w:val="20"/>
          <w:color w:val="auto"/>
        </w:rPr>
      </w:pPr>
    </w:p>
    <w:p>
      <w:pPr>
        <w:jc w:val="both"/>
        <w:ind w:left="480"/>
        <w:spacing w:after="0" w:line="252" w:lineRule="auto"/>
        <w:rPr>
          <w:sz w:val="20"/>
          <w:szCs w:val="20"/>
          <w:color w:val="auto"/>
        </w:rPr>
      </w:pPr>
      <w:r>
        <w:rPr>
          <w:rFonts w:ascii="Arial" w:cs="Arial" w:eastAsia="Arial" w:hAnsi="Arial"/>
          <w:sz w:val="19"/>
          <w:szCs w:val="19"/>
          <w:b w:val="1"/>
          <w:bCs w:val="1"/>
          <w:color w:val="auto"/>
        </w:rPr>
        <w:t>Phase 1. The biologic product candidate is initially introduced into healthy human subjects and tested for safety. In the case of some biologic product candidates for rare diseases, the initial human testing is often conducted in patients. In addition to testing for safety, the purpose of these clinical trials is to assess the metabolism, pharmacologic action, and side effect tolerability of the biologic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-541655</wp:posOffset>
            </wp:positionV>
            <wp:extent cx="71120" cy="711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480"/>
        <w:spacing w:after="0" w:line="351" w:lineRule="auto"/>
        <w:rPr>
          <w:sz w:val="20"/>
          <w:szCs w:val="20"/>
          <w:color w:val="auto"/>
        </w:rPr>
      </w:pPr>
      <w:r>
        <w:rPr>
          <w:rFonts w:ascii="Arial" w:cs="Arial" w:eastAsia="Arial" w:hAnsi="Arial"/>
          <w:sz w:val="15"/>
          <w:szCs w:val="15"/>
          <w:b w:val="1"/>
          <w:bCs w:val="1"/>
          <w:color w:val="auto"/>
        </w:rPr>
        <w:t>Phase 2. The biologic product candidate is evaluated in a limited population of patients afflicted with the target disease to identify possible adverse effects and safety risks, to preliminarily evaluate the efficacy of the biologic product candidate for specific targeted diseases and to determine dosage tolerance, optimal dosage and dosing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-439420</wp:posOffset>
            </wp:positionV>
            <wp:extent cx="71120" cy="711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6" w:lineRule="exact"/>
        <w:rPr>
          <w:sz w:val="20"/>
          <w:szCs w:val="20"/>
          <w:color w:val="auto"/>
        </w:rPr>
      </w:pPr>
    </w:p>
    <w:p>
      <w:pPr>
        <w:jc w:val="both"/>
        <w:ind w:left="480"/>
        <w:spacing w:after="0" w:line="269" w:lineRule="auto"/>
        <w:rPr>
          <w:sz w:val="20"/>
          <w:szCs w:val="20"/>
          <w:color w:val="auto"/>
        </w:rPr>
      </w:pPr>
      <w:r>
        <w:rPr>
          <w:rFonts w:ascii="Arial" w:cs="Arial" w:eastAsia="Arial" w:hAnsi="Arial"/>
          <w:sz w:val="18"/>
          <w:szCs w:val="18"/>
          <w:b w:val="1"/>
          <w:bCs w:val="1"/>
          <w:color w:val="auto"/>
        </w:rPr>
        <w:t>Phase 3. The biologic product candidate is further evaluated in terms of dosage, clinical efficacy, potency and safety in an expanded patient population (typically from several hundred to several thousand subjects) at geographically dispersed clinical trial sites. These clinical trials are intended to establish the overall risk/benefit ratio of the biologic product candidate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-842645</wp:posOffset>
            </wp:positionV>
            <wp:extent cx="71120" cy="711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licensure of a BLA.</w:t>
      </w:r>
    </w:p>
    <w:p>
      <w:pPr>
        <w:spacing w:after="0" w:line="120"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305"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the use of biologics, the PHS Act emphasizes the importance of manufacturing control for biologic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95"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9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Information about certain clinical trials must be submitted within specific timeframes to the National Institutes of Health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w:t>
      </w:r>
    </w:p>
    <w:p>
      <w:pPr>
        <w:sectPr>
          <w:pgSz w:w="12240" w:h="15840" w:orient="portrait"/>
          <w:cols w:equalWidth="0" w:num="1">
            <w:col w:w="10080"/>
          </w:cols>
          <w:pgMar w:left="1080" w:top="1089" w:right="1080" w:bottom="157" w:gutter="0" w:footer="0" w:header="0"/>
        </w:sectPr>
      </w:pPr>
    </w:p>
    <w:bookmarkStart w:id="21" w:name="page22"/>
    <w:bookmarkEnd w:id="21"/>
    <w:p>
      <w:pPr>
        <w:ind w:left="480"/>
        <w:spacing w:after="0"/>
        <w:rPr>
          <w:sz w:val="20"/>
          <w:szCs w:val="20"/>
          <w:color w:val="auto"/>
        </w:rPr>
      </w:pPr>
      <w:r>
        <w:rPr>
          <w:rFonts w:ascii="Arial" w:cs="Arial" w:eastAsia="Arial" w:hAnsi="Arial"/>
          <w:sz w:val="20"/>
          <w:szCs w:val="20"/>
          <w:b w:val="1"/>
          <w:bCs w:val="1"/>
          <w:color w:val="auto"/>
        </w:rPr>
        <w:t>U.S. Review and Approval Processes</w:t>
      </w:r>
    </w:p>
    <w:p>
      <w:pPr>
        <w:spacing w:after="0" w:line="131"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After the completion of clinical trials of a biological product candidate,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product development and approval processes require substantial time and effort, and there can be no assurance that the FDA will accept the BLA for filing and, even if filed, that any approval will be granted on a timely basis, if at all.</w:t>
      </w:r>
    </w:p>
    <w:p>
      <w:pPr>
        <w:spacing w:after="0" w:line="62"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Under the Prescription Drug User Fee Act, as amended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104"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FDA performance goals generally provide for action on a BLA within 10 months after the 60-day filing date, or within 12 months of the BLA submission. That deadline can be extended under certain circumstances, including by the FDA’s requests for additional information. The targeted action date can also be shortened to within 6 months after the 60-day filing date, or 8 months after BLA submission, for product candidates that are granted priority review designation because they are intended to treat serious or life-threatening conditions and demonstrate the potential to address unmet medical needs. The FDA reviews the BLA to determine, among other things, whether the proposed product is safe, potent and effective for its intended use, has an acceptable purity profile and is being manufactured in accordance with cGMP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assure the safe use of the biological product. If the FDA concludes a REMS is needed, the sponsor of the BLA must submit a proposed REMS; the FDA will not approve the BLA without a REMS, if required.</w:t>
      </w:r>
    </w:p>
    <w:p>
      <w:pPr>
        <w:spacing w:after="0" w:line="10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Before approving a BLA, the FDA may inspect the facilities at which the product candidate is manufactured. The FDA will not approve the product candidate unless it determines that the manufacturing processes and facilities are in compliance with cGMP requirements and are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a significant expenditure of time, money and effort in the areas of training, record keeping, production and quality control, among others.</w:t>
      </w:r>
    </w:p>
    <w:p>
      <w:pPr>
        <w:spacing w:after="0" w:line="106"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After the FDA evaluates a BLA, it may issue an approval letter or a Complete Response Letter. An approval letter authorizes commercial marketing of the product candidate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BLA identified by the FDA. The Complete Response Letter may require additional clinical data and/or one or more additional pivotal Phase 3 clinical trials, and/or other significant and time-consuming requirements related to clinical trials, non-clinical studies or manufacturing. If a Complete Response Letter is issued, the applicant may either resubmit the BLA, addressing all of the deficiencies identified in the letter, or withdraw the application. The applicant may also appeal the decision through the FDA’s formal dispute resolution process. Even if such additional data and information are submitted in a BLA resubmission, the FDA may ultimately decide that the BLA does not satisfy the criteria for approval. Data obtained from clinical trials are not always conclusive, and the FDA may interpret data differently than the sponsor interprets the same data.</w:t>
      </w:r>
    </w:p>
    <w:p>
      <w:pPr>
        <w:spacing w:after="0" w:line="96"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If a product candidate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w:t>
      </w:r>
    </w:p>
    <w:p>
      <w:pPr>
        <w:sectPr>
          <w:pgSz w:w="12240" w:h="15840" w:orient="portrait"/>
          <w:cols w:equalWidth="0" w:num="1">
            <w:col w:w="10080"/>
          </w:cols>
          <w:pgMar w:left="1080" w:top="1079" w:right="1080" w:bottom="157" w:gutter="0" w:footer="0" w:header="0"/>
        </w:sectPr>
      </w:pPr>
    </w:p>
    <w:bookmarkStart w:id="22" w:name="page23"/>
    <w:bookmarkEnd w:id="22"/>
    <w:p>
      <w:pPr>
        <w:jc w:val="both"/>
        <w:spacing w:after="0" w:line="237" w:lineRule="auto"/>
        <w:rPr>
          <w:sz w:val="20"/>
          <w:szCs w:val="20"/>
          <w:color w:val="auto"/>
        </w:rPr>
      </w:pPr>
      <w:r>
        <w:rPr>
          <w:rFonts w:ascii="Arial" w:cs="Arial" w:eastAsia="Arial" w:hAnsi="Arial"/>
          <w:sz w:val="20"/>
          <w:szCs w:val="20"/>
          <w:b w:val="1"/>
          <w:bCs w:val="1"/>
          <w:color w:val="auto"/>
        </w:rPr>
        <w:t>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 Product approvals may be withdrawn for non-compliance with regulatory requirements if problems occur following launch, or if the FDA determines that the product is no longer safe or effective.</w:t>
      </w:r>
    </w:p>
    <w:p>
      <w:pPr>
        <w:spacing w:after="0" w:line="36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Pediatric Trials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Food and Drug Administration Safety and Innovation Act,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if it learns of new information, may also request that the sponsor amend the initial PSP.</w:t>
      </w:r>
    </w:p>
    <w:p>
      <w:pPr>
        <w:spacing w:after="0" w:line="32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Emergency Use Authorization in the U.S.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emergency situations, such as a pandemic, and with a declaration of a public health emergency by the Secretary of HHS, the FDA has the authority to issue an EUA for a medical product to allow unapproved medical products or unapproved uses of cleared or approved medical products to be used to diagnose, treat or prevent serious or life-threatening diseases or conditions caused by chemical, biological, radiological or nuclear warfare threat agents when there are no adequate, approved and available alternatives.</w:t>
      </w:r>
    </w:p>
    <w:p>
      <w:pPr>
        <w:spacing w:after="0" w:line="12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Under this authority, the FDA may issue an EUA for a medical product if the following four statutory criteria have been met: (1) a serious or life-threatening condition exists; (2) evidence that the medical product “may be effective” to prevent, diagnose, or treat the relevant disease or condition exists; (3) a risk-benefit analysis shows that the benefits of the product outweigh the risks; and (4) no other adequate, approved, and available alternatives exist for diagnosing, preventing or treating the disease or condition.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in vivo efficacy data from animal models, in vitro data, as well as the quality and quantity of the available evidence. Although the criteria of an EUA differ from the criteria for approval of an NDA, EUAs nevertheless require the development and submission of data to satisfy the relevant FDA standards, and a number of ongoing compliance obligations.</w:t>
      </w:r>
    </w:p>
    <w:p>
      <w:pPr>
        <w:spacing w:after="0" w:line="103"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The FDA expects EUA holders to work toward submission of full applications, such as an NDA, as soon as possible. An EUA is also subject to additional conditions and restrictions and is product-specific. 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66"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133"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On January 31, 2020, the Secretary of HHS issued a declaration of a public health emergency related to COVID-19 under the PHS Act. On February 4, 2020, HHS determined that COVID-19 represented a public health emergency under the FDCA that had a significant potential to affect national security or the health and security of U.S. citizens living abroad and, subsequently, declared on March 24, 2020 that circumstances existed to justify the authorization of emergency use of certain medical products, during the COVID-19 pandemic, subject to the terms of any authorization as issued by the FDA. The declaration of the Secretary of HHS has been further updated, and the FDA has issued numerous guidance to sponsors seeking to obtain EUAs to diagnose and treat COVID-19. The declaration of the Secretary of HHS has been further updated, and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21</w:t>
      </w:r>
    </w:p>
    <w:p>
      <w:pPr>
        <w:sectPr>
          <w:pgSz w:w="12240" w:h="15840" w:orient="portrait"/>
          <w:cols w:equalWidth="0" w:num="1">
            <w:col w:w="10080"/>
          </w:cols>
          <w:pgMar w:left="1080" w:top="1089" w:right="1080" w:bottom="157"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7"/>
          <w:szCs w:val="17"/>
          <w:b w:val="1"/>
          <w:bCs w:val="1"/>
          <w:color w:val="auto"/>
        </w:rPr>
        <w:t>FDA has issued numerous guidance to sponsors seeking to obtain EUAs to diagnose and treat COVID-19. While the Biden Administration announced that it would allow the COVID-19 public health emergency declared by HHS under the PHS Act to expire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FDCA, which remains in effect unless or until the HHS Secretary terminates such declaration and determination, at which point EUAs based on such declaration would cease to be in effect and the FDA may no longer issue EUAs for products covered by such declaration.</w:t>
      </w:r>
    </w:p>
    <w:p>
      <w:pPr>
        <w:spacing w:after="0" w:line="32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Post-Approval Requirements</w:t>
      </w:r>
    </w:p>
    <w:p>
      <w:pPr>
        <w:spacing w:after="0" w:line="129"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Maintaining compliance with applicable federal, state and local statutes and regulations requires the expenditure of substantial time and financial resources. Rigorous and extensive FDA regulation of biological products continues after approval, particularly with respect to cGMP. If ongoing regulatory requirements are not met, safety problems occur after a product reaches market, or additional data change the FDA’s view of the efficacy of the product, the FDA may take actions to change the conditions under which the product is marketed, such as requiring labeling modifications, restricting distribution, or even withdrawing approval. We rely, and expect to continue to rely, on third parties for the production of clinical and commercial quantities of any products that we may commercialize. Manufacturers of our product candidates are required to comply with applicable requirements in the cGMP regulations, including quality control and quality assurance and maintenance of records and documentation.</w:t>
      </w:r>
    </w:p>
    <w:p>
      <w:pPr>
        <w:spacing w:after="0" w:line="104"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b w:val="1"/>
          <w:bCs w:val="1"/>
          <w:color w:val="auto"/>
        </w:rPr>
        <w:t>Good Manufacturing Practices. Companies engaged in manufacturing drug products or their components must comply with applicable cGMP requirements, which include requirements regarding organization and training of personnel, facility registration, building and facilities, equipment, control of components and drug product containers, closures, production and process controls, packaging and labeling controls, holding and distribution, laboratory controls and records and reports. The FDA inspects equipment, facilities and manufacturing processes before approval and conducts periodic re-inspections after approval. If, after receiving approval, a company makes a material change in manufacturing equipment, location, or process (all of which are, to some degree, incorporated in the NDA), additional regulatory review and approval may be required. Failure to comply with applicable cGMP requirements or the conditions of the product’s approval may lead the FDA to take enforcement actions, such as issuing a warning letter, or to seek sanctions, including fines, civil penalties, injunctions, suspension of manufacturing operations, imposition of operating restrictions, withdrawal of FDA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spacing w:after="0" w:line="93"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7"/>
          <w:szCs w:val="17"/>
          <w:b w:val="1"/>
          <w:bCs w:val="1"/>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94"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7"/>
          <w:szCs w:val="17"/>
          <w:b w:val="1"/>
          <w:bCs w:val="1"/>
          <w:color w:val="auto"/>
        </w:rPr>
        <w:t>Sales and Marketing. We also must comply with the FDA’s advertising and promotion requirements, such as those related to direct-to-consumer advertising, promotion to healthcare practitioners, the prohibition on promoting products for uses or inpatient populations that are not described in the product’s approved labeling (known as “off-label use”),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Discovery of previously unknown problems or the failure to comply with applicable regulatory requirements, including the FDA, the Department of Justice, the Office of the Inspector General of the Department of Health and Human Services, and/or state authorities may result in restrictions on the marketing of a product or withdrawal of the product from the market, as well as possible civil or criminal sanctions. Failure to comply with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our business and operations.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22</w:t>
      </w:r>
    </w:p>
    <w:p>
      <w:pPr>
        <w:sectPr>
          <w:pgSz w:w="12240" w:h="15840" w:orient="portrait"/>
          <w:cols w:equalWidth="0" w:num="1">
            <w:col w:w="10080"/>
          </w:cols>
          <w:pgMar w:left="1080" w:top="1089" w:right="1080" w:bottom="157" w:gutter="0" w:footer="0" w:header="0"/>
        </w:sectPr>
      </w:pPr>
    </w:p>
    <w:bookmarkStart w:id="24" w:name="page25"/>
    <w:bookmarkEnd w:id="24"/>
    <w:p>
      <w:pPr>
        <w:jc w:val="both"/>
        <w:ind w:firstLine="490"/>
        <w:spacing w:after="0" w:line="229" w:lineRule="auto"/>
        <w:rPr>
          <w:sz w:val="20"/>
          <w:szCs w:val="20"/>
          <w:color w:val="auto"/>
        </w:rPr>
      </w:pPr>
      <w:r>
        <w:rPr>
          <w:rFonts w:ascii="Arial" w:cs="Arial" w:eastAsia="Arial" w:hAnsi="Arial"/>
          <w:sz w:val="20"/>
          <w:szCs w:val="20"/>
          <w:b w:val="1"/>
          <w:bCs w:val="1"/>
          <w:color w:val="auto"/>
        </w:rPr>
        <w:t>Other Requirements. Companies that manufacture or distribute drug products pursuant to approved NDAs must meet numerous other regulatory requirements, including adverse event reporting, submission of periodic reports, and record-keeping obligations.</w:t>
      </w:r>
    </w:p>
    <w:p>
      <w:pPr>
        <w:spacing w:after="0" w:line="122"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7"/>
          <w:szCs w:val="17"/>
          <w:b w:val="1"/>
          <w:bCs w:val="1"/>
          <w:color w:val="auto"/>
        </w:rPr>
        <w:t>We are also subject to federal, state and foreign laws and regulations governing data privacy and security of health information, and the 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and federal and state consumer protection and privacy laws, (including, for example, Section 5 of the Federal Trade Commission Act of 1914 (“FTC Act”), and the California Consumer Privacy Act (“CCPA”), as amended by the California Privacy Rights Act (“CPRA”))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(“GDPR”)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105"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b w:val="1"/>
          <w:bCs w:val="1"/>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we may obtain health information from third parties, including research institutions from which we obtain clinical trial data, that are subject to privacy and security requirements under the federal Health Insurance Portability and Accountability Act (“HIPAA”), as amended by the Health Information Technology for Economic and Clinical Health Act, and the regulations promulgated thereunder. HIPAA imposes privacy and security obligations on covered entity health care providers, health plans, and health care clearinghouses, as well as their “business associates” – independent contractors or agents of covered entities that receive or obtain protected health information in connection with providing a service for or on behalf of a covered entity. Depending on the facts and circumstances, we could be subject to significant penalties if we, our affiliates, or our agents knowingly receive individually identifiable health information maintained by a HIPAA-covered entity in a manner that is not authorized or permitted by HIPAA.</w:t>
      </w:r>
    </w:p>
    <w:p>
      <w:pPr>
        <w:spacing w:after="0" w:line="98"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7"/>
          <w:szCs w:val="17"/>
          <w:b w:val="1"/>
          <w:bCs w:val="1"/>
          <w:color w:val="auto"/>
        </w:rPr>
        <w:t>Also at the federal level, the Federal Trade Commission (“FTC”),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w:t>
      </w:r>
    </w:p>
    <w:p>
      <w:pPr>
        <w:spacing w:after="0" w:line="32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Expedited Review and Approval Programs</w:t>
      </w:r>
    </w:p>
    <w:p>
      <w:pPr>
        <w:spacing w:after="0" w:line="128"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The FDA has various programs, including fast track designation, priority review, accelerated approval and breakthrough therapy designation, that are intended to expedite the process for the development and FDA review of certain biological product candidates that are intended for the treatment of serious or life-threatening diseases or conditions and demonstrate the potential to address unmet medical needs. To be eligible for a fast-track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more frequent interactions with the FDA, the FDA may initiate review of sections of a fast track BLA before the application is complete, a process known as rolling review.</w:t>
      </w:r>
    </w:p>
    <w:p>
      <w:pPr>
        <w:spacing w:after="0" w:line="70"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from the 60-day filing date rather than the standard goal of 10 months from the 60-day filing date under current PDUFA guidelines. Most products that are eligible for fast track designation may also be considered appropriate to receive a priority review.</w:t>
      </w:r>
    </w:p>
    <w:p>
      <w:pPr>
        <w:spacing w:after="0" w:line="93" w:lineRule="exact"/>
        <w:rPr>
          <w:sz w:val="20"/>
          <w:szCs w:val="20"/>
          <w:color w:val="auto"/>
        </w:rPr>
      </w:pPr>
    </w:p>
    <w:p>
      <w:pPr>
        <w:jc w:val="both"/>
        <w:ind w:firstLine="539"/>
        <w:spacing w:after="0" w:line="385" w:lineRule="auto"/>
        <w:rPr>
          <w:sz w:val="20"/>
          <w:szCs w:val="20"/>
          <w:color w:val="auto"/>
        </w:rPr>
      </w:pPr>
      <w:r>
        <w:rPr>
          <w:rFonts w:ascii="Arial" w:cs="Arial" w:eastAsia="Arial" w:hAnsi="Arial"/>
          <w:sz w:val="15"/>
          <w:szCs w:val="15"/>
          <w:b w:val="1"/>
          <w:bCs w:val="1"/>
          <w:color w:val="auto"/>
        </w:rPr>
        <w:t>In addition, biological products studied for their safety and effectiveness in treating serious or life-threatening illnesses and that provide meaningful therapeutic benefit over existing treatments may receive accelerated approval and may be approved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23</w:t>
      </w:r>
    </w:p>
    <w:p>
      <w:pPr>
        <w:sectPr>
          <w:pgSz w:w="12240" w:h="15840" w:orient="portrait"/>
          <w:cols w:equalWidth="0" w:num="1">
            <w:col w:w="10080"/>
          </w:cols>
          <w:pgMar w:left="1080" w:top="1082" w:right="1080" w:bottom="157" w:gutter="0" w:footer="0" w:header="0"/>
        </w:sectPr>
      </w:pPr>
    </w:p>
    <w:bookmarkStart w:id="25" w:name="page26"/>
    <w:bookmarkEnd w:id="25"/>
    <w:p>
      <w:pPr>
        <w:jc w:val="both"/>
        <w:spacing w:after="0" w:line="330" w:lineRule="auto"/>
        <w:rPr>
          <w:sz w:val="20"/>
          <w:szCs w:val="20"/>
          <w:color w:val="auto"/>
        </w:rPr>
      </w:pPr>
      <w:r>
        <w:rPr>
          <w:rFonts w:ascii="Arial" w:cs="Arial" w:eastAsia="Arial" w:hAnsi="Arial"/>
          <w:sz w:val="15"/>
          <w:szCs w:val="15"/>
          <w:b w:val="1"/>
          <w:bCs w:val="1"/>
          <w:color w:val="auto"/>
        </w:rPr>
        <w:t>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biological product receiving accelerated approval to perform post-marketing studies to verify and describe the predicted effect on irreversible morbidity or mortality or other clinical endpoints, and the biological product may be subject to accelerated withdrawal procedures.</w:t>
      </w:r>
    </w:p>
    <w:p>
      <w:pPr>
        <w:spacing w:after="0" w:line="70"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298"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31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Biologics Price Competition and Innovation Act</w:t>
      </w:r>
    </w:p>
    <w:p>
      <w:pPr>
        <w:spacing w:after="0" w:line="131"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The Biologics Price Competition and Innovation Act of 2009 (“BPCIA”), which was enacted as part of the Patient Protection and Affordable Care Act of 2010, as amended by the Health Care and Education Reconciliation Act of 2010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the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U.S. Patent Term Restoration</w:t>
      </w:r>
    </w:p>
    <w:p>
      <w:pPr>
        <w:spacing w:after="0" w:line="13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 Patent and Trademark Office (the “USPTO”), in consultation with the FDA, reviews and approves the application for any patent term extension or restoration.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24</w:t>
      </w:r>
    </w:p>
    <w:p>
      <w:pPr>
        <w:sectPr>
          <w:pgSz w:w="12240" w:h="15840" w:orient="portrait"/>
          <w:cols w:equalWidth="0" w:num="1">
            <w:col w:w="10080"/>
          </w:cols>
          <w:pgMar w:left="1080" w:top="1089" w:right="1080" w:bottom="157" w:gutter="0" w:footer="0" w:header="0"/>
        </w:sectPr>
      </w:pPr>
    </w:p>
    <w:bookmarkStart w:id="26" w:name="page27"/>
    <w:bookmarkEnd w:id="26"/>
    <w:p>
      <w:pPr>
        <w:ind w:left="480"/>
        <w:spacing w:after="0"/>
        <w:rPr>
          <w:sz w:val="20"/>
          <w:szCs w:val="20"/>
          <w:color w:val="auto"/>
        </w:rPr>
      </w:pPr>
      <w:r>
        <w:rPr>
          <w:rFonts w:ascii="Arial" w:cs="Arial" w:eastAsia="Arial" w:hAnsi="Arial"/>
          <w:sz w:val="20"/>
          <w:szCs w:val="20"/>
          <w:b w:val="1"/>
          <w:bCs w:val="1"/>
          <w:color w:val="auto"/>
        </w:rPr>
        <w:t>Regulation Outside of the U.S.</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 addition to regulations in the U.S., we will be subject to a variety of regulations in other jurisdictions governing, among other things, clinical studies and any commercial sales and distribution of our product candidates.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U.S. have a similar process that requires the submission of a clinical study application much like the IND prior to the commencement of human clinical studies.</w:t>
      </w:r>
    </w:p>
    <w:p>
      <w:pPr>
        <w:spacing w:after="0" w:line="104"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In the European Union, for example, a clinical trial application (“CTA”) must be submitted to each country’s national health authority and an independent ethics committee, much like the FDA and the IRB, respectively. Once the CTA is approved in accordance with the applicable requirements, clinical study development may proceed. The requirements and process governing the conduct of clinical studies are, to a significant extent, harmonized at the European Union level but could vary from country to country. In all cases, the clinical studies are conducted in accordance with cGCP and the applicable regulatory requirements and the ethical principles that have their origin in the Declaration of Helsinki. The way clinical trials are conducted in the European Union will undergo a major change as the Clinical Trials Regulation (Regulation (EU) No 536/2014) came into application on January 31, 2022. The Clinical Trial Regulation is directly applicable in all the European Union Member States, repealing the current Clinical Trials Directive (Directive 2001/20/EC). The new Clinical Trials Regulation allows sponsors to begin and conduct a clinical trial in accordance with the Clinical Trials Directive during a transitional period of one year after the January 31, 2022 application date. The transition period for clinical trials ongoing at the moment of applicability will be a maximum of three years after the date of application of the Clinical Trials Regulation. Clinical trials authorized under the current Clinical Trials Directive before January 31, 2023 can continue to be conducted under the Clinical Trials Directive until January 31, 2025. An application to transition ongoing trials from the current Clinical Trials Directive to the new Clinical Trials Regulation must be submitted and authorized in time before the end of the transitional period. The Clinical Trials Regulation harmonizes the assessment and supervision processes for clinical trials throughout the European Union via a Clinical Trials Information System, which will contain a centralized European Union portal and database. The main characteristics of the Clinical Trials Regulation include: (i) a streamlined application procedure through a single entry point;</w:t>
      </w:r>
    </w:p>
    <w:p>
      <w:pPr>
        <w:spacing w:after="0" w:line="181" w:lineRule="exact"/>
        <w:rPr>
          <w:sz w:val="20"/>
          <w:szCs w:val="20"/>
          <w:color w:val="auto"/>
        </w:rPr>
      </w:pPr>
    </w:p>
    <w:p>
      <w:pPr>
        <w:spacing w:after="0" w:line="312" w:lineRule="auto"/>
        <w:tabs>
          <w:tab w:leader="none" w:pos="307"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a single set of documents to be prepared and submitted for an application as well as simplified reporting procedures for clinical trial sponsors; and (iii) a harmonized procedure for the assessment of applications for clinical trials.</w:t>
      </w:r>
    </w:p>
    <w:p>
      <w:pPr>
        <w:spacing w:after="0" w:line="73"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To obtain regulatory approval of an investigational biological product under European Union regulatory systems, we must submit a Marketing Authorization Application (“MAA”). The application used to file the BLA in the U.S. is similar to that required in the European Union, with the exception of, among other things, country-specific document requirements. In the European Union, marketing authorization for a medicinal product can be obtained through a centralized procedure, mutual recognition procedure, decentralized procedure, or the national procedure of an individual European Union Member State. A marketing authorization, irrespective of its route to authorization, may be granted only to an applicant established in the European Union.</w:t>
      </w:r>
    </w:p>
    <w:p>
      <w:pPr>
        <w:spacing w:after="0" w:line="124"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The centralized procedure provides for the grant of a single marketing authorization by the European Commission that is valid for all 27 European Union Member States and three of the four European Free Trade Association States (Iceland, Liechtenstein and Norway). Under the centralized procedure, the Committee for Medicinal Products for Human Use (the “CHMP”) established at the EMA is responsible for conducting the initial assessment of a product. The maximum timeframe for the evaluation of an MAA is 210 days. This period excludes clock stops during which additional information or written or oral explanation is to be provided by the applicant in response to questions posed by the CHMP. Accelerated evaluation might be granted by the CHMP in exceptional cases, such as when a medicinal product is expected to be of a major public health interest. A major public health interest defined by three cumulative criteria: (i) the seriousness of the disease (for example, heavy disabling or life-threatening diseases) to be treated; (ii) the absence or insufficiency of an appropriate alternative therapeutic approach; and (iii) the anticipation of high therapeutic benefit. If the CHMP accepts to review a medicinal product as a major public health interest, the time limit of 210 days will be reduced to 150 days. It is, however, possible that the CHMP can revert to the standard time limit for the centralized procedure if it considers that it is no longer appropriate to conduct an accelerated assessment.</w:t>
      </w:r>
    </w:p>
    <w:p>
      <w:pPr>
        <w:spacing w:after="0" w:line="101"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Irrespective of the related procedure, at the completion of the review period the CHMP will provide a scientific opinion concerning whether or not a marketing authorization should be granted in relation to a medicinal product. This opinion is based on a review of the quality, safety, and efficacy of the product. Within 15 days of the adoption, the EMA will forward its opinion to the European Commission for its decision. Following the opinion of the EMA, the European Commission makes a final decision to grant a centralized marketing authorization. The centralized procedure is mandatory for certain types of medicinal products, including orphan medicinal products, medicinal products derived from certain biotechnological processes, advanced therapy medicinal products and medicinal products containing a new active substance for the treatment of certain diseases. This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25</w:t>
      </w:r>
    </w:p>
    <w:p>
      <w:pPr>
        <w:sectPr>
          <w:pgSz w:w="12240" w:h="15840" w:orient="portrait"/>
          <w:cols w:equalWidth="0" w:num="1">
            <w:col w:w="10080"/>
          </w:cols>
          <w:pgMar w:left="1080" w:top="1079" w:right="1080" w:bottom="157" w:gutter="0" w:footer="0" w:header="0"/>
        </w:sectPr>
      </w:pPr>
    </w:p>
    <w:bookmarkStart w:id="27" w:name="page28"/>
    <w:bookmarkEnd w:id="27"/>
    <w:p>
      <w:pPr>
        <w:jc w:val="both"/>
        <w:spacing w:after="0" w:line="312" w:lineRule="auto"/>
        <w:rPr>
          <w:sz w:val="20"/>
          <w:szCs w:val="20"/>
          <w:color w:val="auto"/>
        </w:rPr>
      </w:pPr>
      <w:r>
        <w:rPr>
          <w:rFonts w:ascii="Arial" w:cs="Arial" w:eastAsia="Arial" w:hAnsi="Arial"/>
          <w:sz w:val="17"/>
          <w:szCs w:val="17"/>
          <w:b w:val="1"/>
          <w:bCs w:val="1"/>
          <w:color w:val="auto"/>
        </w:rPr>
        <w:t>route is optional for certain other products, including medicinal products that are of significant therapeutic, scientific or technical innovation, or whose authorization would be in the interest of public or animal health at European Union level.</w:t>
      </w:r>
    </w:p>
    <w:p>
      <w:pPr>
        <w:spacing w:after="0" w:line="70"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Unlike the centralized authorization procedure, the decentralized marketing authorization procedure requires a separate application to, and leads to separate approval by, the authorities of each European Union Member State in which the product is to be marketed. This application process is identical to the application that would be submitted to the EMA for authorization through the centralized procedure and must be completed within 210 days, excluding potential clock-stops, during which the applicant can respond to questions. The relevant European Union Member State prepares a draft assessment and drafts of the related materials. The relevant European Union Member States must decide whether to approve the assessment report and related materials. If a European Union Member State cannot approve the assessment report and related materials due to concerns relating to a potential serious risk to public health, disputed elements may be referred to the European Commission, whose decision is binding on all European Union Member States.</w:t>
      </w:r>
    </w:p>
    <w:p>
      <w:pPr>
        <w:spacing w:after="0" w:line="9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mutual recognition procedure is similarly based on the acceptance by the relevant authorities of the European Union Member States of the marketing authorization of a medicinal product by the relevant authorities of other European Union Member States. The holder of a national marketing authorization may submit an application to the authority of a European Union Member State requesting that this authority recognize the marketing authorization delivered by the authority of another European Union Member State.</w:t>
      </w:r>
    </w:p>
    <w:p>
      <w:pPr>
        <w:spacing w:after="0" w:line="12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Innovative products that target an unmet medical need may be eligible for a number of expedited development and review programs in the European Union, such as The Priority Medicines scheme, which provides incentives similar to the breakthrough therapy designation in the U.S. Such products are generally eligible for accelerated assessment and may also benefit from different types of fast-track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106"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European Union also provides opportunities for market exclusivity. For example, in the European Union, upon receiving marketing authorization, new active substances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The overall ten-year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active substance, and products may not qualify for data exclusivity.</w:t>
      </w:r>
    </w:p>
    <w:p>
      <w:pPr>
        <w:spacing w:after="0" w:line="96"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For treatments and vaccines for COVID-19, the EMA reviews applications in an expedited manner for agreement of a PIP, deferrals or waivers and accelerates compliance checks, to speed up these products’ development and approval.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299"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Medicines and Healthcare products Regulatory Agency (“MHRA”) is responsible for regulating the United Kingdom medicinal products market (Great Britain and Northern Ireland). The United Kingdom left the European Union on January 31, 2020, following which existing European Union medicinal product legislation continued to apply in the United Kingdom during the transition period under the terms of the EU-UK Withdrawal Agreement. A transition period, which ended on December 31, 2020, maintained the United Kingdom’s access to the European Union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(“TCA”) that became effective on January 1, 2021.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26</w:t>
      </w:r>
    </w:p>
    <w:p>
      <w:pPr>
        <w:sectPr>
          <w:pgSz w:w="12240" w:h="15840" w:orient="portrait"/>
          <w:cols w:equalWidth="0" w:num="1">
            <w:col w:w="10080"/>
          </w:cols>
          <w:pgMar w:left="1080" w:top="1089" w:right="1080" w:bottom="157" w:gutter="0" w:footer="0" w:header="0"/>
        </w:sectPr>
      </w:pPr>
    </w:p>
    <w:bookmarkStart w:id="28" w:name="page29"/>
    <w:bookmarkEnd w:id="28"/>
    <w:p>
      <w:pPr>
        <w:jc w:val="both"/>
        <w:ind w:firstLine="490"/>
        <w:spacing w:after="0" w:line="322" w:lineRule="auto"/>
        <w:rPr>
          <w:sz w:val="20"/>
          <w:szCs w:val="20"/>
          <w:color w:val="auto"/>
        </w:rPr>
      </w:pPr>
      <w:r>
        <w:rPr>
          <w:rFonts w:ascii="Arial" w:cs="Arial" w:eastAsia="Arial" w:hAnsi="Arial"/>
          <w:sz w:val="15"/>
          <w:szCs w:val="15"/>
          <w:b w:val="1"/>
          <w:bCs w:val="1"/>
          <w:color w:val="auto"/>
        </w:rPr>
        <w:t>Among the changes that have had a direct impact are that Great Britain (England, Scotland and Wales) is now treated as a “third country,” a country that is not a member of the European Union and whose citizens do not enjoy the European Union right to free movement. As a result of the Northern Ireland Protocol, different rules apply in Northern Ireland than in Great Britain. In general, Northern Ireland continues to follow the European Union regulatory regime, but its national medicines and medical devices authority remains the MHRA. Following the effectiveness of the Human Medicines (Amendment etc.) (EU Exit) Regulations 2019 on January 31, 2020, the United Kingdom regulatory regime for clinical trials, marketing authorizations, importing, exporting and pharmacovigilance largely mirrors that of the European Union. As part of the TCA, the European Union and the United Kingdom will recognize cGMP inspections carried out by the other party and the acceptance of official cGMP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 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As it relates to marketing authorizations, Great Britain has introduced a separate regulatory submission process, approval process and a separate national marketing authorization. However, Great Britain has a “European Commission Decision Reliance Procedure” which provides for an expedited authorization procedure for products that have received a positive opinion in the European Union. This centralized procedure under the MHRA aims to issue a Great Britain marketing authorization on or shortly after a European Union marketing authorization if it receives the application within 5 days of the positive opinion. The European Commission Decision Reliance Procedure is currently in place until December 31, 2023 and the MHRA has publicly stated that the procedure will be replaced by a broader international recognition procedure beyond this. Northern Ireland, however, continues to be covered by the marketing authorizations granted by the European Commission. Under the Windsor Framework announced by the United Kingdom government on February 27, 2023 but which is still pending formal United Kingdom and European Union approvals, future marketing authorizations granted by the European Commission would not have effect in Northern Ireland and instead Northern Ireland would be subject to the same MHRA authorization procedures as Great Britain.</w:t>
      </w:r>
    </w:p>
    <w:p>
      <w:pPr>
        <w:spacing w:after="0" w:line="200" w:lineRule="exact"/>
        <w:rPr>
          <w:sz w:val="20"/>
          <w:szCs w:val="20"/>
          <w:color w:val="auto"/>
        </w:rPr>
      </w:pPr>
    </w:p>
    <w:p>
      <w:pPr>
        <w:spacing w:after="0" w:line="344"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cGCP and the applicable regulatory requirements and the ethical principles that have their origin in the Declaration of Helsinki.</w:t>
      </w:r>
    </w:p>
    <w:p>
      <w:pPr>
        <w:spacing w:after="0" w:line="107"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36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Pharmaceutical coverage, pricing and reimbursement</w:t>
      </w:r>
    </w:p>
    <w:p>
      <w:pPr>
        <w:spacing w:after="0" w:line="126" w:lineRule="exact"/>
        <w:rPr>
          <w:sz w:val="20"/>
          <w:szCs w:val="20"/>
          <w:color w:val="auto"/>
        </w:rPr>
      </w:pPr>
    </w:p>
    <w:p>
      <w:pPr>
        <w:jc w:val="both"/>
        <w:ind w:firstLine="490"/>
        <w:spacing w:after="0" w:line="276" w:lineRule="auto"/>
        <w:rPr>
          <w:sz w:val="20"/>
          <w:szCs w:val="20"/>
          <w:color w:val="auto"/>
        </w:rPr>
      </w:pPr>
      <w:r>
        <w:rPr>
          <w:rFonts w:ascii="Arial" w:cs="Arial" w:eastAsia="Arial" w:hAnsi="Arial"/>
          <w:sz w:val="17"/>
          <w:szCs w:val="17"/>
          <w:b w:val="1"/>
          <w:bCs w:val="1"/>
          <w:color w:val="auto"/>
        </w:rPr>
        <w:t>Significant uncertainty exists as to obtaining and maintaining coverage and adequate reimbursement for our product candidates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 candidates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by the Centers for Medicare &amp; Medicaid Services (“CMS”), an agency within HHS. CMS decides whether and to what extent products will be covered and reimbursed under Medicare, and private payors tend to follow CMS to a substantial degree.</w:t>
      </w:r>
    </w:p>
    <w:p>
      <w:pPr>
        <w:spacing w:after="0" w:line="98" w:lineRule="exact"/>
        <w:rPr>
          <w:sz w:val="20"/>
          <w:szCs w:val="20"/>
          <w:color w:val="auto"/>
        </w:rPr>
      </w:pPr>
    </w:p>
    <w:p>
      <w:pPr>
        <w:jc w:val="both"/>
        <w:ind w:firstLine="490"/>
        <w:spacing w:after="0" w:line="321" w:lineRule="auto"/>
        <w:rPr>
          <w:sz w:val="20"/>
          <w:szCs w:val="20"/>
          <w:color w:val="auto"/>
        </w:rPr>
      </w:pPr>
      <w:r>
        <w:rPr>
          <w:rFonts w:ascii="Arial" w:cs="Arial" w:eastAsia="Arial" w:hAnsi="Arial"/>
          <w:sz w:val="15"/>
          <w:szCs w:val="15"/>
          <w:b w:val="1"/>
          <w:bCs w:val="1"/>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27</w:t>
      </w:r>
    </w:p>
    <w:p>
      <w:pPr>
        <w:sectPr>
          <w:pgSz w:w="12240" w:h="15840" w:orient="portrait"/>
          <w:cols w:equalWidth="0" w:num="1">
            <w:col w:w="10080"/>
          </w:cols>
          <w:pgMar w:left="1080" w:top="1089" w:right="1080" w:bottom="157" w:gutter="0" w:footer="0" w:header="0"/>
        </w:sectPr>
      </w:pPr>
    </w:p>
    <w:bookmarkStart w:id="29" w:name="page30"/>
    <w:bookmarkEnd w:id="29"/>
    <w:p>
      <w:pPr>
        <w:jc w:val="both"/>
        <w:spacing w:after="0" w:line="246" w:lineRule="auto"/>
        <w:rPr>
          <w:sz w:val="20"/>
          <w:szCs w:val="20"/>
          <w:color w:val="auto"/>
        </w:rPr>
      </w:pPr>
      <w:r>
        <w:rPr>
          <w:rFonts w:ascii="Arial" w:cs="Arial" w:eastAsia="Arial" w:hAnsi="Arial"/>
          <w:sz w:val="19"/>
          <w:szCs w:val="19"/>
          <w:b w:val="1"/>
          <w:bCs w:val="1"/>
          <w:color w:val="auto"/>
        </w:rPr>
        <w:t>products administered under the supervision of a physician, obtaining coverage and adequate reimbursement may be particularly difficult because of the higher prices often associated with such drugs.</w:t>
      </w:r>
    </w:p>
    <w:p>
      <w:pPr>
        <w:spacing w:after="0" w:line="118" w:lineRule="exact"/>
        <w:rPr>
          <w:sz w:val="20"/>
          <w:szCs w:val="20"/>
          <w:color w:val="auto"/>
        </w:rPr>
      </w:pPr>
    </w:p>
    <w:p>
      <w:pPr>
        <w:jc w:val="both"/>
        <w:ind w:firstLine="490"/>
        <w:spacing w:after="0" w:line="315" w:lineRule="auto"/>
        <w:rPr>
          <w:sz w:val="20"/>
          <w:szCs w:val="20"/>
          <w:color w:val="auto"/>
        </w:rPr>
      </w:pPr>
      <w:r>
        <w:rPr>
          <w:rFonts w:ascii="Arial" w:cs="Arial" w:eastAsia="Arial" w:hAnsi="Arial"/>
          <w:sz w:val="15"/>
          <w:szCs w:val="15"/>
          <w:b w:val="1"/>
          <w:bCs w:val="1"/>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to demonstrate the medical necessity and cost-effectiveness of our product candidates, in addition to the costs required to obtain FDA or comparable regulatory approvals.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299" w:lineRule="exact"/>
        <w:rPr>
          <w:sz w:val="20"/>
          <w:szCs w:val="20"/>
          <w:color w:val="auto"/>
        </w:rPr>
      </w:pPr>
    </w:p>
    <w:p>
      <w:pPr>
        <w:jc w:val="both"/>
        <w:ind w:firstLine="490"/>
        <w:spacing w:after="0" w:line="314" w:lineRule="auto"/>
        <w:rPr>
          <w:sz w:val="20"/>
          <w:szCs w:val="20"/>
          <w:color w:val="auto"/>
        </w:rPr>
      </w:pPr>
      <w:r>
        <w:rPr>
          <w:rFonts w:ascii="Arial" w:cs="Arial" w:eastAsia="Arial" w:hAnsi="Arial"/>
          <w:sz w:val="15"/>
          <w:szCs w:val="15"/>
          <w:b w:val="1"/>
          <w:bCs w:val="1"/>
          <w:color w:val="auto"/>
        </w:rPr>
        <w:t>Foreign governments also have their own healthcare reimbursement systems, which vary significantly by country and region. Coverage and adequate reimbursement may not be available with respect to the treatments in which our product candidates, if approved, are used under any foreign reimbursement system. In the European Union, each European Union Member State can restrict the range of medicinal products for which its national health insurance system provides reimbursement and can control the prices of medicinal products for human use marketed on its territory. As a result, following receipt of marketing authorization in a European Union Member State, through any application route, the applicant is required to engage in pricing discussions and negotiations with the relevant pricing authority in the individual European Union Member State. The governments of the European Union Member States influence the price of pharmaceutical products through their pricing and reimbursement rules and control of national healthcare systems that fund a large part of the cost of those products to consumers. Some European Union Member States operate positive and negative list systems under which products may only be marketed once a reimbursement price has been agreed upon. To obtain reimbursement or pricing approval, some of these countries may require the completion of clinical trials that compare the cost-effectiveness of a particular product candidate to currently available therapies. Other European Union Member States allow companies to fix their own prices for medicinal products, but monitor and control company profits. Others adopt a system of reference pricing, basing the price or reimbursement level in their territories either on the pricing and reimbursement levels in other countries or on the pricing and reimbursement levels of medicinal products intended for the same therapeutic indication. Further, some European Union Member States approve a specific price for the medicinal product or may instead adopt a system of direct or indirect controls on the profitability of the company placing the medicinal on the market. The downward pressure on healthcare costs in general, particularly prescription drugs, has become more intense. As a result, increasingly high barriers are being erected to the entry of new products. In addition, we may face competition for our product candidates from lower-priced products in foreign countries that have placed price controls on pharmaceutical products. In addition, in some countries, cross-border imports from low-priced markets exert a commercial pressure on pricing within a country.</w:t>
      </w:r>
    </w:p>
    <w:p>
      <w:pPr>
        <w:spacing w:after="0" w:line="200" w:lineRule="exact"/>
        <w:rPr>
          <w:sz w:val="20"/>
          <w:szCs w:val="20"/>
          <w:color w:val="auto"/>
        </w:rPr>
      </w:pPr>
    </w:p>
    <w:p>
      <w:pPr>
        <w:spacing w:after="0" w:line="319" w:lineRule="exact"/>
        <w:rPr>
          <w:sz w:val="20"/>
          <w:szCs w:val="20"/>
          <w:color w:val="auto"/>
        </w:rPr>
      </w:pPr>
    </w:p>
    <w:p>
      <w:pPr>
        <w:jc w:val="both"/>
        <w:ind w:firstLine="490"/>
        <w:spacing w:after="0" w:line="318" w:lineRule="auto"/>
        <w:rPr>
          <w:sz w:val="20"/>
          <w:szCs w:val="20"/>
          <w:color w:val="auto"/>
        </w:rPr>
      </w:pPr>
      <w:r>
        <w:rPr>
          <w:rFonts w:ascii="Arial" w:cs="Arial" w:eastAsia="Arial" w:hAnsi="Arial"/>
          <w:sz w:val="15"/>
          <w:szCs w:val="15"/>
          <w:b w:val="1"/>
          <w:bCs w:val="1"/>
          <w:color w:val="auto"/>
        </w:rPr>
        <w:t>Health Technology Assessment (“HTA”) of medicinal products is becoming an increasingly common part of the pricing and reimbursement procedures in some European Union Member States. These European Union Member States include France, Germany, Ireland, Italy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varies between European Union Member States.</w:t>
      </w:r>
    </w:p>
    <w:p>
      <w:pPr>
        <w:spacing w:after="0" w:line="295"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In addition, pursuant to Directive 2011/24/EU on the application of patients’ rights in cross-border healthcare, a voluntary network of national authorities or bodies responsible for HTA in the individual European Union Member States was established. The purpose of the network is to facilitate and support the exchange of scientific information concerning HTAs. This may lead to harmonization of the criteria taken into account in the conduct of HTAs between European Union Member States and in pricing and reimbursement decisions and may negatively affect price in at least some European Union Member States.</w:t>
      </w:r>
    </w:p>
    <w:p>
      <w:pPr>
        <w:spacing w:after="0" w:line="65"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On January 31, 2018, the European Commission adopted a proposal for an HTA Regulation intended to set out a European Union-wide framework for HTA and boost cooperation among European Union Member States in assessing health technologies, including new medicinal products. The HTA Regulation provides the basis for permanent and sustainable cooperation at the European Union level for joint clinical assessments in these areas and is therefore complementary to</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28</w:t>
      </w:r>
    </w:p>
    <w:p>
      <w:pPr>
        <w:sectPr>
          <w:pgSz w:w="12240" w:h="15840" w:orient="portrait"/>
          <w:cols w:equalWidth="0" w:num="1">
            <w:col w:w="10080"/>
          </w:cols>
          <w:pgMar w:left="1080" w:top="1084" w:right="1080" w:bottom="157" w:gutter="0" w:footer="0" w:header="0"/>
        </w:sectPr>
      </w:pPr>
    </w:p>
    <w:bookmarkStart w:id="30" w:name="page31"/>
    <w:bookmarkEnd w:id="30"/>
    <w:p>
      <w:pPr>
        <w:jc w:val="both"/>
        <w:spacing w:after="0" w:line="281" w:lineRule="auto"/>
        <w:rPr>
          <w:sz w:val="20"/>
          <w:szCs w:val="20"/>
          <w:color w:val="auto"/>
        </w:rPr>
      </w:pPr>
      <w:r>
        <w:rPr>
          <w:rFonts w:ascii="Arial" w:cs="Arial" w:eastAsia="Arial" w:hAnsi="Arial"/>
          <w:sz w:val="17"/>
          <w:szCs w:val="17"/>
          <w:b w:val="1"/>
          <w:bCs w:val="1"/>
          <w:color w:val="auto"/>
        </w:rPr>
        <w:t>Directive 2011/24/EU. The HTA Regulation was adopted on December 13, 2021, and entered into force on January 11, 2022. The HTA Regulation will apply to all European Union Member States beginning on January 12, 2025. The HTA Regulation provides that European Union Member States will be able to use common HTA tools, methodologies, and procedures across the European Union. Individual European Union Member States will continue to be responsible for drawing conclusions on the overall value of new health technology for their healthcare system, and pricing and reimbursement decisions.</w:t>
      </w:r>
    </w:p>
    <w:p>
      <w:pPr>
        <w:spacing w:after="0" w:line="32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Healthcare Laws and Regulations</w:t>
      </w:r>
    </w:p>
    <w:p>
      <w:pPr>
        <w:spacing w:after="0" w:line="124"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Sales of our product candidates, if authorized or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100" w:lineRule="exact"/>
        <w:rPr>
          <w:sz w:val="20"/>
          <w:szCs w:val="20"/>
          <w:color w:val="auto"/>
        </w:rPr>
      </w:pPr>
    </w:p>
    <w:p>
      <w:pPr>
        <w:jc w:val="both"/>
        <w:ind w:left="1100"/>
        <w:spacing w:after="0" w:line="279" w:lineRule="auto"/>
        <w:rPr>
          <w:sz w:val="20"/>
          <w:szCs w:val="20"/>
          <w:color w:val="auto"/>
        </w:rPr>
      </w:pPr>
      <w:r>
        <w:rPr>
          <w:rFonts w:ascii="Arial" w:cs="Arial" w:eastAsia="Arial" w:hAnsi="Arial"/>
          <w:sz w:val="17"/>
          <w:szCs w:val="17"/>
          <w:b w:val="1"/>
          <w:bCs w:val="1"/>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or arranging for or recommending purchasing, leasing, or ordering any good, facility, item or service for which payment may be made under a federal healthcare program, such as Medicare or Medicaid. The term “remuneration” has been broadly interpreted to include anything of value. Analogous anti-kickback laws and regulations exist in the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-824230</wp:posOffset>
            </wp:positionV>
            <wp:extent cx="71120" cy="711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0" w:lineRule="exact"/>
        <w:rPr>
          <w:sz w:val="20"/>
          <w:szCs w:val="20"/>
          <w:color w:val="auto"/>
        </w:rPr>
      </w:pPr>
    </w:p>
    <w:p>
      <w:pPr>
        <w:jc w:val="both"/>
        <w:ind w:left="1100"/>
        <w:spacing w:after="0" w:line="314" w:lineRule="auto"/>
        <w:rPr>
          <w:sz w:val="20"/>
          <w:szCs w:val="20"/>
          <w:color w:val="auto"/>
        </w:rPr>
      </w:pPr>
      <w:r>
        <w:rPr>
          <w:rFonts w:ascii="Arial" w:cs="Arial" w:eastAsia="Arial" w:hAnsi="Arial"/>
          <w:sz w:val="15"/>
          <w:szCs w:val="15"/>
          <w:b w:val="1"/>
          <w:bCs w:val="1"/>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 or knowingly making, using, or causing to be made or used, a false record or statement material to an obligation to pay or transmit money to the federal government, or knowingly concealing or improperly avoiding or decreasing an obligation to pay money to the federal government. In the European Union, the advertising and promotion of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Summary of Product Characteristics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European Union. Other applicable laws at the European Union level and in the individual European Union Member States also apply to the advertising and promotion of medicinal products, including laws that prohibit the direct-to-consumer advertising of prescription-only medicinal products and further limit or restrict the advertising and promotion of products to the general public and to health care professionals. Violations of the rules governing the promotion of medicinal products in the European Union could be penalized by administrative measures, fines and imprisonment;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-2394585</wp:posOffset>
            </wp:positionV>
            <wp:extent cx="71120" cy="711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98" w:lineRule="exact"/>
        <w:rPr>
          <w:sz w:val="20"/>
          <w:szCs w:val="20"/>
          <w:color w:val="auto"/>
        </w:rPr>
      </w:pPr>
    </w:p>
    <w:p>
      <w:pPr>
        <w:jc w:val="both"/>
        <w:ind w:left="1100"/>
        <w:spacing w:after="0" w:line="245" w:lineRule="auto"/>
        <w:rPr>
          <w:sz w:val="20"/>
          <w:szCs w:val="20"/>
          <w:color w:val="auto"/>
        </w:rPr>
      </w:pPr>
      <w:r>
        <w:rPr>
          <w:rFonts w:ascii="Arial" w:cs="Arial" w:eastAsia="Arial" w:hAnsi="Arial"/>
          <w:sz w:val="19"/>
          <w:szCs w:val="19"/>
          <w:b w:val="1"/>
          <w:bCs w:val="1"/>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-525145</wp:posOffset>
            </wp:positionV>
            <wp:extent cx="71120" cy="711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1100"/>
        <w:spacing w:after="0" w:line="317" w:lineRule="auto"/>
        <w:rPr>
          <w:sz w:val="20"/>
          <w:szCs w:val="20"/>
          <w:color w:val="auto"/>
        </w:rPr>
      </w:pPr>
      <w:r>
        <w:rPr>
          <w:rFonts w:ascii="Arial" w:cs="Arial" w:eastAsia="Arial" w:hAnsi="Arial"/>
          <w:sz w:val="15"/>
          <w:szCs w:val="15"/>
          <w:b w:val="1"/>
          <w:bCs w:val="1"/>
          <w:color w:val="auto"/>
        </w:rPr>
        <w:t>HIPAA, as amended by the Health Information Technology for Economic and Clinical Health Act of 2009 and its implementing regulations, impose obligations on certain types of individuals and entities regarding the electronic exchange of information in common healthcare transactions, as well as standards relating to the privacy and security of individually identifiable health information. In the European Union, there has been increased attention to privacy and data security issues that could potentially affect our business, including the GDPR, which became effective on May 25, 2018. The GDPR regulates the processing of personal data and imposes strict obligations and restrictions on the ability to collect, analyze and transfer personal data from the European Union to the U.S., including health data from clinical trials. The GDPR confers a private right of action on data subjects and consumer associations to lodge complaints with supervisory authorities, seek judicial remedies, and obtain compensation for damages resulting from violations of the GDPR. Failure to comply with the requirements of GDPR may result in fines of up to 20,000,000 Euros or up to 4% of the total worldwide annual turnover of the preceding financial year, whichever is higher, and other administrative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-1550035</wp:posOffset>
            </wp:positionV>
            <wp:extent cx="71120" cy="711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29</w:t>
      </w:r>
    </w:p>
    <w:p>
      <w:pPr>
        <w:sectPr>
          <w:pgSz w:w="12240" w:h="15840" w:orient="portrait"/>
          <w:cols w:equalWidth="0" w:num="1">
            <w:col w:w="10080"/>
          </w:cols>
          <w:pgMar w:left="1080" w:top="1084" w:right="1080" w:bottom="157" w:gutter="0" w:footer="0" w:header="0"/>
        </w:sectPr>
      </w:pPr>
    </w:p>
    <w:bookmarkStart w:id="31" w:name="page32"/>
    <w:bookmarkEnd w:id="31"/>
    <w:p>
      <w:pPr>
        <w:jc w:val="both"/>
        <w:ind w:left="1100"/>
        <w:spacing w:after="0" w:line="315" w:lineRule="auto"/>
        <w:rPr>
          <w:sz w:val="20"/>
          <w:szCs w:val="20"/>
          <w:color w:val="auto"/>
        </w:rPr>
      </w:pPr>
      <w:r>
        <w:rPr>
          <w:rFonts w:ascii="Arial" w:cs="Arial" w:eastAsia="Arial" w:hAnsi="Arial"/>
          <w:sz w:val="15"/>
          <w:szCs w:val="15"/>
          <w:b w:val="1"/>
          <w:bCs w:val="1"/>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ownership interests, or other transfers of value made to physicians (defined to include doctors, dentists, optometrists, podiatrists and chiropractors), other healthcare professionals (such as physician assistants and nurse practitioners) and teaching hospitals. In the European Union,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European Union, is governed by the national anti-bribery laws of the European Union Member States, as described below. Violation of these laws could result in substantial fines and imprisonment. Certain European Union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European Union Member States. Failure to comply with these requirements could result in reputational risk, public reprimands, administrative penalties, fines or imprisonment;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-2115185</wp:posOffset>
            </wp:positionV>
            <wp:extent cx="71120" cy="711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90" w:lineRule="exact"/>
        <w:rPr>
          <w:sz w:val="20"/>
          <w:szCs w:val="20"/>
          <w:color w:val="auto"/>
        </w:rPr>
      </w:pPr>
    </w:p>
    <w:p>
      <w:pPr>
        <w:jc w:val="both"/>
        <w:ind w:left="1100"/>
        <w:spacing w:after="0" w:line="245" w:lineRule="auto"/>
        <w:rPr>
          <w:sz w:val="20"/>
          <w:szCs w:val="20"/>
          <w:color w:val="auto"/>
        </w:rPr>
      </w:pPr>
      <w:r>
        <w:rPr>
          <w:rFonts w:ascii="Arial" w:cs="Arial" w:eastAsia="Arial" w:hAnsi="Arial"/>
          <w:sz w:val="19"/>
          <w:szCs w:val="19"/>
          <w:b w:val="1"/>
          <w:bCs w:val="1"/>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Our business activities outside of the U.S. are subject to similar anti-bribery or anti-corruption laws, regulations, industry self-regulation codes of conduct and physicians’ codes of professional conduct or rules of other countries in which we operate, including the UK Bribery Act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-949960</wp:posOffset>
            </wp:positionV>
            <wp:extent cx="71120" cy="711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7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35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Healthcare Reform</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laws and regulations apply only to drug benefits for Medicare beneficiaries, private payors often follow Medicare coverage policy and payment limitations in setting their own reimbursement rates. Therefore, any reduction in Medicare reimbursement may result in a similar reduction in payments from private payors.</w:t>
      </w:r>
    </w:p>
    <w:p>
      <w:pPr>
        <w:spacing w:after="0" w:line="96"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30</w:t>
      </w:r>
    </w:p>
    <w:p>
      <w:pPr>
        <w:sectPr>
          <w:pgSz w:w="12240" w:h="15840" w:orient="portrait"/>
          <w:cols w:equalWidth="0" w:num="1">
            <w:col w:w="10080"/>
          </w:cols>
          <w:pgMar w:left="1080" w:top="1099" w:right="1080" w:bottom="157" w:gutter="0" w:footer="0" w:header="0"/>
        </w:sectPr>
      </w:pPr>
    </w:p>
    <w:bookmarkStart w:id="32" w:name="page33"/>
    <w:bookmarkEnd w:id="32"/>
    <w:p>
      <w:pPr>
        <w:jc w:val="both"/>
        <w:spacing w:after="0" w:line="267" w:lineRule="auto"/>
        <w:rPr>
          <w:sz w:val="20"/>
          <w:szCs w:val="20"/>
          <w:color w:val="auto"/>
        </w:rPr>
      </w:pPr>
      <w:r>
        <w:rPr>
          <w:rFonts w:ascii="Arial" w:cs="Arial" w:eastAsia="Arial" w:hAnsi="Arial"/>
          <w:sz w:val="18"/>
          <w:szCs w:val="18"/>
          <w:b w:val="1"/>
          <w:bCs w:val="1"/>
          <w:color w:val="auto"/>
        </w:rPr>
        <w:t>liability under the Medicaid Drug Rebate Program by increasing the minimum Medicaid rebate for both branded and generic drugs and biologics, expanded the 340B program, and revised the definition of average manufacturer price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Additional regulations governing this program have been finalized since that date. Since enactment, there have been significant efforts to modify or challenge the ACA. For example, the Tax Cuts and Jobs Act (the “Tax Act”), enacted on December 22, 2017, repealed the shared responsibility payment for individuals who fail to maintain minimum essential coverage under section 5000A of the Internal Revenue Code of 1986, as amended, commonly referred to as the individual mandate.</w:t>
      </w:r>
    </w:p>
    <w:p>
      <w:pPr>
        <w:spacing w:after="0" w:line="117"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Other legislative changes have been proposed and adopted since passage of the ACA.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of, on average, 2% per fiscal year. Sequestration is currently set at 2% and will increase to 2.25% for the first half of fiscal year 2030, to 3% for the second half of fiscal year 2030, and to 4% for the remainder of the sequestration period that lasts through the first six months of fiscal year 2031.</w:t>
      </w:r>
    </w:p>
    <w:p>
      <w:pPr>
        <w:spacing w:after="0" w:line="92"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Additionally, on March 11, 2021, President Biden signed the American Rescue Plan Act of 2021 into law which eliminates the statutory Medicaid drug rebate cap, currently set at 100% of a drug’s AMP, for single-source and innovator multiple-source drugs, beginning January 1, 2024. Additionally,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0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On August 16, 2022, President Biden signed into law the Inflation Reduction Act of 2022 (“IRA”), which, among other things, establishes a Medicare Part B inflation rebate scheme, under which, generally speaking, manufacturers will owe rebates if the average sales price of a Part B drug increases faster than the pace of inflation. Failure to timely pay a Part B inflation rebate is subject to a civil monetary penalty. The IRA also establishes a Medicare Part D inflation rebate scheme, under which, generally speaking, manufacturers will owe rebates if the AMP of a Part D drug increases faster than the pace of inflation. The IRA also creates a drug price negotiation program under which the prices for Medicare units of certain high Medicare spend drugs and biologics without generic or biosimilar competition will be capped by reference to, among other things, a specified non-federal AMP, starting in 2026. Failure to comply with requirements under the drug price negotiation program is subject to an excise tax and/or a civil monetary penalty. The IRA further makes several changes to the Medicare Part D benefit, including a limit on annual out-of-pocket costs, and a change in manufacturer liability under the program that could negatively affect the profitability of our product candidates. Congress continues to examine various policy proposals that may result in pressure on the prices of prescription drugs in the government health benefit programs. The IRA or other legislative change could impact the market conditions for our product candidates. Payment methodologies may be subject to changes in healthcare legislation and regulatory initiatives as well. For example, CMS may develop new payment and delivery models, such as bundled payment models.</w:t>
      </w:r>
    </w:p>
    <w:p>
      <w:pPr>
        <w:spacing w:after="0" w:line="102"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Further legislative and regulatory changes related to the aforementioned laws remain possible. It is unknown what form any other such changes or law would take and how or whether it may affect our business in the future. We expect that changes or additions to the ACA or its implementing regulations, changes to the Medicare and Medicaid programs, changes regarding the federal government’s authority to directly negotiate drug prices and changes stemming from other healthcare reform measures, especially with regard to healthcare access or financing or other legislation in individual states, could have a material adverse effect on the healthcare industry and our business.</w:t>
      </w:r>
    </w:p>
    <w:p>
      <w:pPr>
        <w:spacing w:after="0" w:line="108"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among other things, amended the ACA, effective January 1, 2019, to close the coverage gap in most Medicare drug plans by increasing from 50%to 70% the point-of-sale discount that is owed by pharmaceutical manufacturers who participate in Medicare Part D. The IRA subsequently replaces the Part D coverage cap discount program with a new Part D discounting program beginning in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31</w:t>
      </w:r>
    </w:p>
    <w:p>
      <w:pPr>
        <w:sectPr>
          <w:pgSz w:w="12240" w:h="15840" w:orient="portrait"/>
          <w:cols w:equalWidth="0" w:num="1">
            <w:col w:w="10080"/>
          </w:cols>
          <w:pgMar w:left="1080" w:top="1089" w:right="1080" w:bottom="157" w:gutter="0" w:footer="0" w:header="0"/>
        </w:sectPr>
      </w:pPr>
    </w:p>
    <w:bookmarkStart w:id="33" w:name="page34"/>
    <w:bookmarkEnd w:id="33"/>
    <w:p>
      <w:pPr>
        <w:jc w:val="both"/>
        <w:ind w:firstLine="490"/>
        <w:spacing w:after="0" w:line="252" w:lineRule="auto"/>
        <w:rPr>
          <w:sz w:val="20"/>
          <w:szCs w:val="20"/>
          <w:color w:val="auto"/>
        </w:rPr>
      </w:pPr>
      <w:r>
        <w:rPr>
          <w:rFonts w:ascii="Arial" w:cs="Arial" w:eastAsia="Arial" w:hAnsi="Arial"/>
          <w:sz w:val="19"/>
          <w:szCs w:val="19"/>
          <w:b w:val="1"/>
          <w:bCs w:val="1"/>
          <w:color w:val="auto"/>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best price, and Medicaid drug rebate data, revisions to the Medicaid rebate formula, best price, and AMP definition could cause the required 340B discounts to increase.</w:t>
      </w:r>
    </w:p>
    <w:p>
      <w:pPr>
        <w:spacing w:after="0" w:line="125"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There has been heightened governmental scrutiny over the manner in which manufacturers set prices for their marketed products. Such scrutiny has resulted in several recent congressional inquiries, executive orders and proposed and enacted federal and state legislation and regulation designed to, among other things, bring more transparency to drug pricing, review the relationship between pricing and manufacturer patient programs, reduce the cost of drugs under Medicare and reform government program reimbursement methodologies for pharmaceutical products. At the federal level,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January 1, 2027.</w:t>
      </w:r>
    </w:p>
    <w:p>
      <w:pPr>
        <w:spacing w:after="0" w:line="30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2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expect that additional federal, state and foreign healthcare reform measures will be adopted in the future, any of which could limit the amounts that governmental health benefit programs or commercial payors will pay for healthcare products and services, which could result in limited coverage and reimbursement and reduced demand for our products, once approved, or additional pricing pressures. Further, it is possible that additional governmental action is taken in response to the COVID-19 pandemic.</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13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As of February 1, 2023, we had 84 full-time employees and two part-time employees. Of our 86 full- and part-time employees, approximately 23 have Ph.D. or M.D. degrees and 58 are engaged in research and development activities. We have a remote workforce, with approximately 37% of our employees based in Massachusetts, 12% based in California, 9% based in Florida, 7% based in New Jersey, 5% based in North Carolina, 5% based in Pennsylvania, and the remaining 25% in various additional states. None of our employees are represented by labor unions or covered by collective bargaining agreements. We consider our relationship with our employees to be strong.</w:t>
      </w:r>
    </w:p>
    <w:p>
      <w:pPr>
        <w:spacing w:after="0" w:line="93"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Our human capital resources objectives include identifying, recruiting, retaining, incentivizing and integrating our existing and new employees, advisors and consultants, and ensuring we have a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w:t>
      </w:r>
    </w:p>
    <w:p>
      <w:pPr>
        <w:spacing w:after="0" w:line="131"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Since our inception, we have been a virtual company with our employees working remotely from their homes. We rent office space in an office building in Waltham, Massachusetts for general and administrative purposes. We rent laboratory and office space in a shared laboratory building in Newton, Massachusetts for research and development purposes. We believe that our remote working approach is adequate to meet our ongoing needs, and that, if we require physical facilities, we will be able to obtain additional facilities on commercially reasonable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32</w:t>
      </w:r>
    </w:p>
    <w:p>
      <w:pPr>
        <w:sectPr>
          <w:pgSz w:w="12240" w:h="15840" w:orient="portrait"/>
          <w:cols w:equalWidth="0" w:num="1">
            <w:col w:w="10080"/>
          </w:cols>
          <w:pgMar w:left="1080" w:top="1089" w:right="1080" w:bottom="157"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Item 1A. Risk Factors.</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Financial Position and Capital Needs</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have incurred significant losses since our inception. We expect to incur losses over the next several years and may never achieve or maintain profitability.</w:t>
      </w:r>
    </w:p>
    <w:p>
      <w:pPr>
        <w:spacing w:after="0" w:line="132"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Since our inception, we have incurred significant losses, and we expect to continue to incur significant expenses and operating losses for the foreseeable future. Our net losses were $241.3 million and $226.8 million for the years ended December 31, 2022 and 2021, respectively. As of December 31, 2022, we had an accumulated deficit of $533.4 million. Since our inception, we have financed our operations with net proceeds of $464.7 million raised in our private placements of preferred stock, including the sale of our Series C preferred stock in April 2021, and approximately $327.5 million of net proceeds (after deducting underwriting discounts and offering expenses) from our initial public offering (“IPO”) in August 2021. We have no products approved for commercialization and have never generated any revenue from product sales.</w:t>
      </w:r>
    </w:p>
    <w:p>
      <w:pPr>
        <w:spacing w:after="0" w:line="94" w:lineRule="exact"/>
        <w:rPr>
          <w:sz w:val="20"/>
          <w:szCs w:val="20"/>
          <w:color w:val="auto"/>
        </w:rPr>
      </w:pPr>
    </w:p>
    <w:p>
      <w:pPr>
        <w:jc w:val="both"/>
        <w:ind w:firstLine="490"/>
        <w:spacing w:after="0" w:line="272" w:lineRule="auto"/>
        <w:rPr>
          <w:sz w:val="20"/>
          <w:szCs w:val="20"/>
          <w:color w:val="auto"/>
        </w:rPr>
      </w:pPr>
      <w:r>
        <w:rPr>
          <w:rFonts w:ascii="Arial" w:cs="Arial" w:eastAsia="Arial" w:hAnsi="Arial"/>
          <w:sz w:val="18"/>
          <w:szCs w:val="18"/>
          <w:b w:val="1"/>
          <w:bCs w:val="1"/>
          <w:color w:val="auto"/>
        </w:rPr>
        <w:t>All of our product candidates, other than adintrevimab, are still in clinical and preclinical testing. We expect to continue to incur significant expenses and operating losses over the next several years. Our net losses may fluctuate significantly from quarter to quarter and year to year. Our expenses could increase substantially as we:</w:t>
      </w:r>
    </w:p>
    <w:p>
      <w:pPr>
        <w:spacing w:after="0" w:line="119" w:lineRule="exact"/>
        <w:rPr>
          <w:sz w:val="20"/>
          <w:szCs w:val="20"/>
          <w:color w:val="auto"/>
        </w:rPr>
      </w:pPr>
    </w:p>
    <w:p>
      <w:pPr>
        <w:ind w:left="1100" w:right="2780"/>
        <w:spacing w:after="0" w:line="447" w:lineRule="auto"/>
        <w:rPr>
          <w:sz w:val="20"/>
          <w:szCs w:val="20"/>
          <w:color w:val="auto"/>
        </w:rPr>
      </w:pPr>
      <w:r>
        <w:rPr>
          <w:rFonts w:ascii="Arial" w:cs="Arial" w:eastAsia="Arial" w:hAnsi="Arial"/>
          <w:sz w:val="17"/>
          <w:szCs w:val="17"/>
          <w:b w:val="1"/>
          <w:bCs w:val="1"/>
          <w:color w:val="auto"/>
        </w:rPr>
        <w:t>initiate and conduct clinical trials of VYD222 or any other product candidate; develop product candidates in new indications or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-421005</wp:posOffset>
            </wp:positionV>
            <wp:extent cx="71120" cy="711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-189230</wp:posOffset>
            </wp:positionV>
            <wp:extent cx="71120" cy="711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234" w:lineRule="auto"/>
        <w:rPr>
          <w:sz w:val="20"/>
          <w:szCs w:val="20"/>
          <w:color w:val="auto"/>
        </w:rPr>
      </w:pPr>
      <w:r>
        <w:rPr>
          <w:rFonts w:ascii="Arial" w:cs="Arial" w:eastAsia="Arial" w:hAnsi="Arial"/>
          <w:sz w:val="20"/>
          <w:szCs w:val="20"/>
          <w:b w:val="1"/>
          <w:bCs w:val="1"/>
          <w:color w:val="auto"/>
        </w:rPr>
        <w:t>continue to advance the preclinical development of product candidates and our preclinical and discovery programs, including development and screening of additional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right="200"/>
        <w:spacing w:after="0" w:line="377" w:lineRule="auto"/>
        <w:rPr>
          <w:sz w:val="20"/>
          <w:szCs w:val="20"/>
          <w:color w:val="auto"/>
        </w:rPr>
      </w:pPr>
      <w:r>
        <w:rPr>
          <w:rFonts w:ascii="Arial" w:cs="Arial" w:eastAsia="Arial" w:hAnsi="Arial"/>
          <w:sz w:val="20"/>
          <w:szCs w:val="20"/>
          <w:b w:val="1"/>
          <w:bCs w:val="1"/>
          <w:color w:val="auto"/>
        </w:rPr>
        <w:t>seek regulatory authorization or approval for any product candidates that successfully complete clinical trials; pursue marketing approvals or EUA and reimbursement for our product candidates; acquire or in-license other product candidates, intellectual property and/or technologies; validate our commercial-scale cGMP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-876300</wp:posOffset>
            </wp:positionV>
            <wp:extent cx="71120" cy="711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6">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-644525</wp:posOffset>
            </wp:positionV>
            <wp:extent cx="71120" cy="711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7">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-412750</wp:posOffset>
            </wp:positionV>
            <wp:extent cx="71120" cy="711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8">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-181610</wp:posOffset>
            </wp:positionV>
            <wp:extent cx="71120" cy="711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233" w:lineRule="auto"/>
        <w:rPr>
          <w:sz w:val="20"/>
          <w:szCs w:val="20"/>
          <w:color w:val="auto"/>
        </w:rPr>
      </w:pPr>
      <w:r>
        <w:rPr>
          <w:rFonts w:ascii="Arial" w:cs="Arial" w:eastAsia="Arial" w:hAnsi="Arial"/>
          <w:sz w:val="20"/>
          <w:szCs w:val="20"/>
          <w:b w:val="1"/>
          <w:bCs w:val="1"/>
          <w:color w:val="auto"/>
        </w:rPr>
        <w:t>manufacture material under cGMP at our contracted manufacturing facilities for clinical trials and potential EUA, regulatory approval and commercial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1100" w:right="1840"/>
        <w:spacing w:after="0" w:line="507" w:lineRule="auto"/>
        <w:rPr>
          <w:sz w:val="20"/>
          <w:szCs w:val="20"/>
          <w:color w:val="auto"/>
        </w:rPr>
      </w:pPr>
      <w:r>
        <w:rPr>
          <w:rFonts w:ascii="Arial" w:cs="Arial" w:eastAsia="Arial" w:hAnsi="Arial"/>
          <w:sz w:val="15"/>
          <w:szCs w:val="15"/>
          <w:b w:val="1"/>
          <w:bCs w:val="1"/>
          <w:color w:val="auto"/>
        </w:rPr>
        <w:t>maintain, expand, enforce, defend and protect our intellectual property portfolio; comply with regulatory requirements established by the applicable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-421640</wp:posOffset>
            </wp:positionV>
            <wp:extent cx="71120" cy="711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-189865</wp:posOffset>
            </wp:positionV>
            <wp:extent cx="71120" cy="711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234" w:lineRule="auto"/>
        <w:rPr>
          <w:sz w:val="20"/>
          <w:szCs w:val="20"/>
          <w:color w:val="auto"/>
        </w:rPr>
      </w:pPr>
      <w:r>
        <w:rPr>
          <w:rFonts w:ascii="Arial" w:cs="Arial" w:eastAsia="Arial" w:hAnsi="Arial"/>
          <w:sz w:val="20"/>
          <w:szCs w:val="20"/>
          <w:b w:val="1"/>
          <w:bCs w:val="1"/>
          <w:color w:val="auto"/>
        </w:rPr>
        <w:t>establish a sales, marketing and distribution infrastructure to commercialize any product candidates for which we may obtain regulatory approval or EUA;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hire and retain additional personnel, including research, clinical, development, manufacturing quality control, quality assurance, regulatory and scientific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add operational, financial, corporate development, management information systems and administrative personnel, including personnel to support our product development and planned future commercialization efforts;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incur additional legal, accounting and other expenses in operating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9"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All of our product candidates, other than adintrevimab, are in clinical or preclinical development. 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 a manner that keeps pace with the viral evolution, including completing preclinical testing and clinical trials of our product candidates, validating manufacturing processes, obtaining regulatory approval or EUA, and manufacturing, distributing, marketing, and selling any product candidates for which we may obtain regulatory approval or EUA, as well as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33</w:t>
      </w:r>
    </w:p>
    <w:p>
      <w:pPr>
        <w:sectPr>
          <w:pgSz w:w="12240" w:h="15840" w:orient="portrait"/>
          <w:cols w:equalWidth="0" w:num="1">
            <w:col w:w="10080"/>
          </w:cols>
          <w:pgMar w:left="1080" w:top="1079" w:right="1080" w:bottom="157" w:gutter="0" w:footer="0" w:header="0"/>
        </w:sectPr>
      </w:pPr>
    </w:p>
    <w:bookmarkStart w:id="35" w:name="page36"/>
    <w:bookmarkEnd w:id="35"/>
    <w:p>
      <w:pPr>
        <w:jc w:val="both"/>
        <w:spacing w:after="0" w:line="254" w:lineRule="auto"/>
        <w:rPr>
          <w:sz w:val="20"/>
          <w:szCs w:val="20"/>
          <w:color w:val="auto"/>
        </w:rPr>
      </w:pPr>
      <w:r>
        <w:rPr>
          <w:rFonts w:ascii="Arial" w:cs="Arial" w:eastAsia="Arial" w:hAnsi="Arial"/>
          <w:sz w:val="19"/>
          <w:szCs w:val="19"/>
          <w:b w:val="1"/>
          <w:bCs w:val="1"/>
          <w:color w:val="auto"/>
        </w:rPr>
        <w:t>discovering and developing additional product candidates. We may never succeed in these activities and, even if we do, may never generate any revenue or revenue that is significant enough to achieve profitability.</w:t>
      </w:r>
    </w:p>
    <w:p>
      <w:pPr>
        <w:spacing w:after="0" w:line="116" w:lineRule="exact"/>
        <w:rPr>
          <w:sz w:val="20"/>
          <w:szCs w:val="20"/>
          <w:color w:val="auto"/>
        </w:rPr>
      </w:pPr>
    </w:p>
    <w:p>
      <w:pPr>
        <w:jc w:val="both"/>
        <w:ind w:firstLine="490"/>
        <w:spacing w:after="0" w:line="238" w:lineRule="auto"/>
        <w:rPr>
          <w:sz w:val="20"/>
          <w:szCs w:val="20"/>
          <w:color w:val="auto"/>
        </w:rPr>
      </w:pPr>
      <w:r>
        <w:rPr>
          <w:rFonts w:ascii="Arial" w:cs="Arial" w:eastAsia="Arial" w:hAnsi="Arial"/>
          <w:sz w:val="20"/>
          <w:szCs w:val="20"/>
          <w:b w:val="1"/>
          <w:bCs w:val="1"/>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132"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9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have a limited operating history and no history of commercializing products, which may make it difficult for an investor to evaluate the success of our business to date and to assess our future viability.</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We are a biopharmaceutical company with a limited operating history. We commenced operations in June 2020, and our operations to date have been largely focused on organizing and staffing our company, business planning, raising capital, acquiring our technology and product candidates, and developing and manufacturing our clinical and preclinical product candidates, including undertaking preclinical studies, developing and validating our manufacturing process, and conducting clinical trials. To date, we have not yet demonstrated our ability to obtain regulatory approvals or an EUA, or conduct sales and marketing activities necessary for successful commercialization, and we may not be successful in doing so. Additionally, if we submit a request for an EUA or submit an application for regulatory approval for any product candidate, we may not be successful in receiving such EUA or regulatory approval. Consequently, any predictions you make about our future success or viability may not be as accurate as they could be if we had a longer operating history or a history of successfully developing and commercializing products.</w:t>
      </w:r>
    </w:p>
    <w:p>
      <w:pPr>
        <w:spacing w:after="0" w:line="98"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We maintain our cash at financial institutions, often in balances that exceed federally insured limits.</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majority of our cash is held in accounts at U.S. banking institutions that we believe are of high quality. Cash held in depository accounts may exceed the $250,000 Federal Deposit Insurance Corporation (“FDIC”) insurance limits. If such banking institutions were to fail, such as Silicon Valley Bank when the FDIC took control in March 2023, we could lose all or a portion of those amounts held in excess of such insurance limitations.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112"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33"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Our operations have consumed substantial amounts of cash since inception, and we expect to continue to incur significant expenses and operating losses over the next several years as we continue to develop our product candidate pipeline and build out our manufacturing capabilities for our product candidates, which, if authorized or approved, may not achieve commercial success. Our revenue, if any, will be derived from sales of products that may not be commercially available for a number of years, if at all. If we obtain marketing approval or an EUA for any product candidate that we develop or otherwise acquire, we expect to incur significant commercialization expenses related to product sales, marketing, distribution and manufacturing. Accordingly, we will need to obtain substantial additional funding in order to continue our operations.</w:t>
      </w:r>
    </w:p>
    <w:p>
      <w:pPr>
        <w:spacing w:after="0" w:line="70"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As of December 31, 2022, we had cash, cash equivalents and marketable securities of $372.0 million. As of March 23, 2023, we believe that our existing cash, cash equivalents and marketable securities will be sufficient to fund our operating expenses and capital expenditure requirements into the second half of 2024. This estimate is based on assumptions that may prove to be wrong, and we could exhaust our available capital resources sooner than we expect. We plan to use our cash, cash equivalents and marketable securities to fund clinical development, manufacturing supply and initial commercialization costs for our product candidates, to fund clinical development and manufacturing supply costs of our next generation of antibody candidates to treat and prevent COVID-19, for the development of additional programs in our pipeline and for working capital</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34</w:t>
      </w:r>
    </w:p>
    <w:p>
      <w:pPr>
        <w:sectPr>
          <w:pgSz w:w="12240" w:h="15840" w:orient="portrait"/>
          <w:cols w:equalWidth="0" w:num="1">
            <w:col w:w="10080"/>
          </w:cols>
          <w:pgMar w:left="1080" w:top="1089" w:right="1080" w:bottom="157" w:gutter="0" w:footer="0" w:header="0"/>
        </w:sectPr>
      </w:pPr>
    </w:p>
    <w:bookmarkStart w:id="36" w:name="page37"/>
    <w:bookmarkEnd w:id="36"/>
    <w:p>
      <w:pPr>
        <w:jc w:val="both"/>
        <w:spacing w:after="0" w:line="252" w:lineRule="auto"/>
        <w:rPr>
          <w:sz w:val="20"/>
          <w:szCs w:val="20"/>
          <w:color w:val="auto"/>
        </w:rPr>
      </w:pPr>
      <w:r>
        <w:rPr>
          <w:rFonts w:ascii="Arial" w:cs="Arial" w:eastAsia="Arial" w:hAnsi="Arial"/>
          <w:sz w:val="19"/>
          <w:szCs w:val="19"/>
          <w:b w:val="1"/>
          <w:bCs w:val="1"/>
          <w:color w:val="auto"/>
        </w:rPr>
        <w:t>and other general corporate purposes. Our existing cash, cash equivalents and marketable securities may not be sufficient to fund any of our product candidates through regulatory approval or EUA.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rate of progress in the development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81" w:lineRule="auto"/>
        <w:rPr>
          <w:sz w:val="20"/>
          <w:szCs w:val="20"/>
          <w:color w:val="auto"/>
        </w:rPr>
      </w:pPr>
      <w:r>
        <w:rPr>
          <w:rFonts w:ascii="Arial" w:cs="Arial" w:eastAsia="Arial" w:hAnsi="Arial"/>
          <w:sz w:val="18"/>
          <w:szCs w:val="18"/>
          <w:b w:val="1"/>
          <w:bCs w:val="1"/>
          <w:color w:val="auto"/>
        </w:rPr>
        <w:t>the scope, progress, results and costs of discovery, non-clinical studies, preclinical development, laboratory testing and clinical trials for our product candidates and associated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8"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the extent to which we develop, in-license or acquire other product candidates and technologies in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-68580</wp:posOffset>
            </wp:positionV>
            <wp:extent cx="71120" cy="711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2" w:lineRule="exact"/>
        <w:rPr>
          <w:sz w:val="20"/>
          <w:szCs w:val="20"/>
          <w:color w:val="auto"/>
        </w:rPr>
      </w:pPr>
    </w:p>
    <w:p>
      <w:pPr>
        <w:jc w:val="both"/>
        <w:ind w:left="1100"/>
        <w:spacing w:after="0" w:line="253" w:lineRule="auto"/>
        <w:rPr>
          <w:sz w:val="20"/>
          <w:szCs w:val="20"/>
          <w:color w:val="auto"/>
        </w:rPr>
      </w:pPr>
      <w:r>
        <w:rPr>
          <w:rFonts w:ascii="Arial" w:cs="Arial" w:eastAsia="Arial" w:hAnsi="Arial"/>
          <w:sz w:val="19"/>
          <w:szCs w:val="19"/>
          <w:b w:val="1"/>
          <w:bCs w:val="1"/>
          <w:color w:val="auto"/>
        </w:rPr>
        <w:t>the scope, progress, results and costs of manufacturing and validation activities associated with our current product candidates and with the development and manufacturing of our future product candidates and other programs as we advance them through preclinical and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-397510</wp:posOffset>
            </wp:positionV>
            <wp:extent cx="71120" cy="711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right="2120"/>
        <w:spacing w:after="0" w:line="505" w:lineRule="auto"/>
        <w:rPr>
          <w:sz w:val="20"/>
          <w:szCs w:val="20"/>
          <w:color w:val="auto"/>
        </w:rPr>
      </w:pPr>
      <w:r>
        <w:rPr>
          <w:rFonts w:ascii="Arial" w:cs="Arial" w:eastAsia="Arial" w:hAnsi="Arial"/>
          <w:sz w:val="15"/>
          <w:szCs w:val="15"/>
          <w:b w:val="1"/>
          <w:bCs w:val="1"/>
          <w:color w:val="auto"/>
        </w:rPr>
        <w:t>the number and development requirements of product candidates that we may pursue; the costs, timing and outcome of regulatory review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-419735</wp:posOffset>
            </wp:positionV>
            <wp:extent cx="71120" cy="711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-189865</wp:posOffset>
            </wp:positionV>
            <wp:extent cx="71120" cy="711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386" w:lineRule="auto"/>
        <w:rPr>
          <w:sz w:val="20"/>
          <w:szCs w:val="20"/>
          <w:color w:val="auto"/>
        </w:rPr>
      </w:pPr>
      <w:r>
        <w:rPr>
          <w:rFonts w:ascii="Arial" w:cs="Arial" w:eastAsia="Arial" w:hAnsi="Arial"/>
          <w:sz w:val="15"/>
          <w:szCs w:val="15"/>
          <w:b w:val="1"/>
          <w:bCs w:val="1"/>
          <w:color w:val="auto"/>
        </w:rPr>
        <w:t>our headcount growth and associated costs as we expand our research and development capabilities and establish a commercial infrastructure for any product candidates for which we may obtain regulatory approval or EUA;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-311150</wp:posOffset>
            </wp:positionV>
            <wp:extent cx="71120" cy="711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timing and costs of securing sufficient capacity for clinical and commercial supply of our potential future product candidates, or the raw material components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309" w:lineRule="auto"/>
        <w:rPr>
          <w:sz w:val="20"/>
          <w:szCs w:val="20"/>
          <w:color w:val="auto"/>
        </w:rPr>
      </w:pPr>
      <w:r>
        <w:rPr>
          <w:rFonts w:ascii="Arial" w:cs="Arial" w:eastAsia="Arial" w:hAnsi="Arial"/>
          <w:sz w:val="17"/>
          <w:szCs w:val="17"/>
          <w:b w:val="1"/>
          <w:bCs w:val="1"/>
          <w:color w:val="auto"/>
        </w:rPr>
        <w:t>the costs and timing of future commercialization activities, including product manufacturing, marketing, sales and distribution, for any of our product candidates for which we receive marketing approval or EUA;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-280035</wp:posOffset>
            </wp:positionV>
            <wp:extent cx="71120" cy="711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9"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the costs necessary to obtain regulatory approvals, if any, for products in the U.S. and other jurisdictions, and the costs of post-marketing studies that could be required by regulatory authorities in jurisdictions where approval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-389890</wp:posOffset>
            </wp:positionV>
            <wp:extent cx="71120" cy="711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51" w:lineRule="auto"/>
        <w:rPr>
          <w:sz w:val="20"/>
          <w:szCs w:val="20"/>
          <w:color w:val="auto"/>
        </w:rPr>
      </w:pPr>
      <w:r>
        <w:rPr>
          <w:rFonts w:ascii="Arial" w:cs="Arial" w:eastAsia="Arial" w:hAnsi="Arial"/>
          <w:sz w:val="19"/>
          <w:szCs w:val="19"/>
          <w:b w:val="1"/>
          <w:bCs w:val="1"/>
          <w:color w:val="auto"/>
        </w:rPr>
        <w:t>the costs and timing of preparing, filing and prosecuting patent applications, maintaining and enforcing our intellectual property rights and defending any intellectual property-related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-248920</wp:posOffset>
            </wp:positionV>
            <wp:extent cx="71120" cy="711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continuation of our existing licensing and collaboration arrangements and entry into new collaborations and licensing arrangements,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the need and ability to hire additional research, clinical, development, scientific and manufacturing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costs we incur in maintaining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need to implement additional internal systems and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effect of competing technological, product and market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revenue, if any, received from commercial sales of our product candidates for which we receive marketing approval or EUA;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costs of operating as a public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96" w:lineRule="auto"/>
        <w:rPr>
          <w:sz w:val="20"/>
          <w:szCs w:val="20"/>
          <w:color w:val="auto"/>
        </w:rPr>
      </w:pPr>
      <w:r>
        <w:rPr>
          <w:rFonts w:ascii="Arial" w:cs="Arial" w:eastAsia="Arial" w:hAnsi="Arial"/>
          <w:sz w:val="17"/>
          <w:szCs w:val="17"/>
          <w:b w:val="1"/>
          <w:bCs w:val="1"/>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-417830</wp:posOffset>
            </wp:positionV>
            <wp:extent cx="71120" cy="711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6"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higher inflation rates, changes in interest rates and the recent disruptions to and volatility in the credit and financial markets in the U.S. and worldwide resulting, in part, from the COVID-19 pandemic. If we are unable to raise sufficient additional capital, we could be forced to curtail our planned operations and the pursuit of our growth strategy.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35</w:t>
      </w:r>
    </w:p>
    <w:p>
      <w:pPr>
        <w:sectPr>
          <w:pgSz w:w="12240" w:h="15840" w:orient="portrait"/>
          <w:cols w:equalWidth="0" w:num="1">
            <w:col w:w="10080"/>
          </w:cols>
          <w:pgMar w:left="1080" w:top="1089" w:right="1080" w:bottom="157" w:gutter="0" w:footer="0" w:header="0"/>
        </w:sectPr>
      </w:pPr>
    </w:p>
    <w:bookmarkStart w:id="37" w:name="page38"/>
    <w:bookmarkEnd w:id="37"/>
    <w:p>
      <w:pPr>
        <w:jc w:val="both"/>
        <w:ind w:firstLine="490"/>
        <w:spacing w:after="0" w:line="234" w:lineRule="auto"/>
        <w:rPr>
          <w:sz w:val="20"/>
          <w:szCs w:val="20"/>
          <w:color w:val="auto"/>
        </w:rPr>
      </w:pPr>
      <w:r>
        <w:rPr>
          <w:rFonts w:ascii="Arial" w:cs="Arial" w:eastAsia="Arial" w:hAnsi="Arial"/>
          <w:sz w:val="20"/>
          <w:szCs w:val="20"/>
          <w:b w:val="1"/>
          <w:bCs w:val="1"/>
          <w:color w:val="auto"/>
        </w:rPr>
        <w:t>Raising additional capital may cause dilution to our stockholders, restrict our operations or require us to relinquish rights to our technologies or product candidates.</w:t>
      </w:r>
    </w:p>
    <w:p>
      <w:pPr>
        <w:spacing w:after="0" w:line="130"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Development of our Product Candidates</w:t>
      </w:r>
    </w:p>
    <w:p>
      <w:pPr>
        <w:spacing w:after="0" w:line="131" w:lineRule="exact"/>
        <w:rPr>
          <w:sz w:val="20"/>
          <w:szCs w:val="20"/>
          <w:color w:val="auto"/>
        </w:rPr>
      </w:pPr>
    </w:p>
    <w:p>
      <w:pPr>
        <w:jc w:val="both"/>
        <w:ind w:firstLine="539"/>
        <w:spacing w:after="0" w:line="274" w:lineRule="auto"/>
        <w:rPr>
          <w:sz w:val="20"/>
          <w:szCs w:val="20"/>
          <w:color w:val="auto"/>
        </w:rPr>
      </w:pPr>
      <w:r>
        <w:rPr>
          <w:rFonts w:ascii="Arial" w:cs="Arial" w:eastAsia="Arial" w:hAnsi="Arial"/>
          <w:sz w:val="18"/>
          <w:szCs w:val="18"/>
          <w:b w:val="1"/>
          <w:bCs w:val="1"/>
          <w:color w:val="auto"/>
        </w:rPr>
        <w:t>Newly emerging and future SARS-CoV-2 VoCs could reduce the activity and effectiveness of antibodies as a potential prevention of or treatment for symptomatic COVID-19, which may significantly and adversely affect our ability to complete our clinical trials, obtain authorization or approval of, and commercialize our product candidates.</w:t>
      </w:r>
    </w:p>
    <w:p>
      <w:pPr>
        <w:spacing w:after="0" w:line="100"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Our primary focus since inception has been the development of antibodies against COVID-19. Multiple variants of the virus that cause COVID-19 have been documented in the U.S. and globally during the COVID-19 pandemic and newly emerging and future SARS-CoV-2 variants could reduce the activity and effectiveness of antibodies as a potential prevention of or treatment for symptomatic COVID-19. For example, although pre-clinical studies showed that adintrevimab had the potential to broadly neutralize SARS-CoV-2 and the previously predominantly circulating variants, including Alpha, Beta, Delta, and Gamma, in vitro analyses to evaluate neutralizing activity of adintrevimab against the Omicron variant and its sublineages generated data showing reduced neutralizing activity of adintrevimab against the Omicron BA.1 and BA.1.1 sublineages compared to a reference strain and a lack of neutralizing activity against Omicron BA.2. As a result, we paused enrollment in adintrevimab’s Phase 2/3 trials in January 2022, which were subsequently closed, and we paused submission of an EUA request. While we intend to continue to monitor the evolution of SARS-CoV-2 and the in vitro activity of adintrevimab against predominant variants in the U.S. to identify a potential opportunity for an EUA request, we cannot be certain that adintrevimab will neutralize future variants and that we will submit an EUA for adintrevimab or whether an EUA will be granted if we do submit such request.</w:t>
      </w:r>
    </w:p>
    <w:p>
      <w:pPr>
        <w:spacing w:after="0" w:line="10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Our current lead product candidate, VYD222, is an engineered version of adintrevimab, which we have modified to improve binding to the Omicron variant and its sublineages. Based on in vitro analyses, we believe such modifications may be able to enhance neutralization potency against current and future novel variants, but such efforts may not be successful against newly emerging or future variants, in order to support an EUA or regulatory approval. Additionally, it is possible that in vivo analyses undertaken in the future may not be consistent with in vitro analyses. New SARS-CoV-2 variants could be less susceptible to such modifications and their mechanisms of action, or the results shown in pre-clinical studies may not be replicated in clinical trials. Additionally, it is possible that even if a product candidate showed in vitro neutralizing activity against the predominant SARS-CoV-2 variant at the initiation of a clinical trial, the predominant circulating variant may evolve and neutralizing activity of the candidate become reduced or negligible during the course of a clinical trial or at the time of EUA or other regulatory submission. Further, we may not be able to address reductions in neutralization potency with adjustments to the dose or dosing frequency. This would significantly and adversely affect our ability to complete our clinical trials, obtain authorization or approval of and commercialize VYD222 or any future product candidates. In addition, if our planned dosing of VYD222 were to be increased in response to reduction in neutralizing activity against dominant circulating SARS-CoV-2 variants or for other reasons, it could impact drug supply and pricing, which could adversely affect our commercial prospects.</w:t>
      </w:r>
    </w:p>
    <w:p>
      <w:pPr>
        <w:spacing w:after="0" w:line="10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We may not be able to obtain an EUA from the FDA or comparable foreign regulators for adintrevimab, VYD222 or any other product candidate due to the emergence of variants, such as the Omicron variant and its sublineages, which have shown reduced in vitro susceptibility to adintrevimab.</w:t>
      </w:r>
    </w:p>
    <w:p>
      <w:pPr>
        <w:spacing w:after="0" w:line="133"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While we intend to monitor the evolution of SARS-CoV-2 and the in vitro activity of adintrevimab against predominant variants in the U.S. to identify a potential opportunity for an EUA request for adintrevimab in the event of a susceptible variant, we cannot be certain that adintrevimab or other product candidates will neutralize future variants and that we will submit an EUA for any product candidate or whether an EUA will be granted if we do submit such request. Even if we obtain an EUA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36</w:t>
      </w:r>
    </w:p>
    <w:p>
      <w:pPr>
        <w:sectPr>
          <w:pgSz w:w="12240" w:h="15840" w:orient="portrait"/>
          <w:cols w:equalWidth="0" w:num="1">
            <w:col w:w="10080"/>
          </w:cols>
          <w:pgMar w:left="1080" w:top="1089" w:right="1080" w:bottom="157" w:gutter="0" w:footer="0" w:header="0"/>
        </w:sectPr>
      </w:pPr>
    </w:p>
    <w:bookmarkStart w:id="38" w:name="page39"/>
    <w:bookmarkEnd w:id="38"/>
    <w:p>
      <w:pPr>
        <w:jc w:val="both"/>
        <w:spacing w:after="0" w:line="234" w:lineRule="auto"/>
        <w:rPr>
          <w:sz w:val="20"/>
          <w:szCs w:val="20"/>
          <w:color w:val="auto"/>
        </w:rPr>
      </w:pPr>
      <w:r>
        <w:rPr>
          <w:rFonts w:ascii="Arial" w:cs="Arial" w:eastAsia="Arial" w:hAnsi="Arial"/>
          <w:sz w:val="20"/>
          <w:szCs w:val="20"/>
          <w:b w:val="1"/>
          <w:bCs w:val="1"/>
          <w:color w:val="auto"/>
        </w:rPr>
        <w:t>from the FDA, the FDA may withdraw authorization based on changes in circulating variants and subvariants for which our product candidates may not be effective.</w:t>
      </w:r>
    </w:p>
    <w:p>
      <w:pPr>
        <w:spacing w:after="0" w:line="130"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All of our product candidates, other than adintrevimab,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13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We currently have no products approved or authorized for commercial sale, and all of our product candidates, other than adintrevimab, are currently in clinical and preclinical development. In February 2021, we initiated a Phase 1 clinical trial evaluating adintrevimab. We advanced adintrevimab into global Phase 2/3 trials for the prevention and treatment of COVID-19 and reported preliminary safety and efficacy data (pre-Omicron) for both trials in March 2022. However, based on feedback from the FDA regarding adintrevimab’s lack of neutralizing activity against the Omicron BA.2 variant, we paused the submission of an EUA request and we have closed such trials. We plan to initiate clinical trials with our current lead candidate, VYD222, during the first quarter of 2023. While we believe that the adintrevimab clinical data package has the potential to support accelerated development of VYD222, the FDA may not accept our adintrevimab clinical data package in support of VYD222 approval or may identify issues with or challenge the adintrevimab clinical data package, which has not yet been reviewed. Furthermore, we have limited experience in preparing, submitting and prosecuting regulatory filings and have not previously submitted a BLA for any product candidate.</w:t>
      </w:r>
    </w:p>
    <w:p>
      <w:pPr>
        <w:spacing w:after="0" w:line="96"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Our ability to generate revenue from our product candidates, which may not occur for several years, if ever, will depend heavily on the successful development, regulatory approval or granting of EUA for the prevention and/or treatment of COVID-19, obtaining of manufacturing supply, capacity and expertise and eventual commercialization of our product candidates. In the absence of an EUA declaration and determination issued under the FDCA, we will not be able to receive an EUA. The success of VYD222, adintrevimab or any other product candidates that we develop or otherwise may acquire will depend on many factors, including:</w:t>
      </w:r>
    </w:p>
    <w:p>
      <w:pPr>
        <w:spacing w:after="0" w:line="138"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status of emerging variants where VYD222, adintrevimab or any other product candidate has limited to no activity against the virus;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237" w:lineRule="auto"/>
        <w:rPr>
          <w:sz w:val="20"/>
          <w:szCs w:val="20"/>
          <w:color w:val="auto"/>
        </w:rPr>
      </w:pPr>
      <w:r>
        <w:rPr>
          <w:rFonts w:ascii="Arial" w:cs="Arial" w:eastAsia="Arial" w:hAnsi="Arial"/>
          <w:sz w:val="20"/>
          <w:szCs w:val="20"/>
          <w:b w:val="1"/>
          <w:bCs w:val="1"/>
          <w:color w:val="auto"/>
        </w:rPr>
        <w:t>future SARS-CoV-2 VoCs could reduce the activity and effectiveness of antibodies as a potential prevention of or treatment for symptomatic COVID-19 and we may not be successful in timely identifying new antibodies that are suitable either as monotherapy or as combination therapy to mitigate the risk of reduced activity against future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-535305</wp:posOffset>
            </wp:positionV>
            <wp:extent cx="71120" cy="711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1100"/>
        <w:spacing w:after="0" w:line="235" w:lineRule="auto"/>
        <w:rPr>
          <w:sz w:val="20"/>
          <w:szCs w:val="20"/>
          <w:color w:val="auto"/>
        </w:rPr>
      </w:pPr>
      <w:r>
        <w:rPr>
          <w:rFonts w:ascii="Arial" w:cs="Arial" w:eastAsia="Arial" w:hAnsi="Arial"/>
          <w:sz w:val="20"/>
          <w:szCs w:val="20"/>
          <w:b w:val="1"/>
          <w:bCs w:val="1"/>
          <w:color w:val="auto"/>
        </w:rPr>
        <w:t>the continuing need for therapies for the prevention and treatment of COVID-19, including due to the continuation and severity of the pandemic, the development of SARS-CoV-2 into an endemic disease or the inability of other available therapies to address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-387985</wp:posOffset>
            </wp:positionV>
            <wp:extent cx="71120" cy="711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ind w:left="1100" w:right="2220"/>
        <w:spacing w:after="0" w:line="507" w:lineRule="auto"/>
        <w:rPr>
          <w:sz w:val="20"/>
          <w:szCs w:val="20"/>
          <w:color w:val="auto"/>
        </w:rPr>
      </w:pPr>
      <w:r>
        <w:rPr>
          <w:rFonts w:ascii="Arial" w:cs="Arial" w:eastAsia="Arial" w:hAnsi="Arial"/>
          <w:sz w:val="15"/>
          <w:szCs w:val="15"/>
          <w:b w:val="1"/>
          <w:bCs w:val="1"/>
          <w:color w:val="auto"/>
        </w:rPr>
        <w:t>the timing and progress of discovery, preclinical and clinical development activities; the number and scope of preclinical and clinical programs we decide to pursue;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-421640</wp:posOffset>
            </wp:positionV>
            <wp:extent cx="71120" cy="711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-189865</wp:posOffset>
            </wp:positionV>
            <wp:extent cx="71120" cy="711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252" w:lineRule="auto"/>
        <w:rPr>
          <w:sz w:val="20"/>
          <w:szCs w:val="20"/>
          <w:color w:val="auto"/>
        </w:rPr>
      </w:pPr>
      <w:r>
        <w:rPr>
          <w:rFonts w:ascii="Arial" w:cs="Arial" w:eastAsia="Arial" w:hAnsi="Arial"/>
          <w:sz w:val="19"/>
          <w:szCs w:val="19"/>
          <w:b w:val="1"/>
          <w:bCs w:val="1"/>
          <w:color w:val="auto"/>
        </w:rPr>
        <w:t>our ability to successfully work with the FDA, EMA or other regulatory authorities to align on an expedited and replicable pathway to SARS-CoV-2 mAb authorization or approval, and the evolution of regulatory paradigms, which may rely on surrogate endpoints, to expedite drug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-395605</wp:posOffset>
            </wp:positionV>
            <wp:extent cx="71120" cy="711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filing acceptable IND applications with the FDA, or comparable foreign applications that allow commencement of our planned clinical trials or future clinical trials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-252095</wp:posOffset>
            </wp:positionV>
            <wp:extent cx="71120" cy="711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1100"/>
        <w:spacing w:after="0" w:line="252" w:lineRule="auto"/>
        <w:rPr>
          <w:sz w:val="20"/>
          <w:szCs w:val="20"/>
          <w:color w:val="auto"/>
        </w:rPr>
      </w:pPr>
      <w:r>
        <w:rPr>
          <w:rFonts w:ascii="Arial" w:cs="Arial" w:eastAsia="Arial" w:hAnsi="Arial"/>
          <w:sz w:val="19"/>
          <w:szCs w:val="19"/>
          <w:b w:val="1"/>
          <w:bCs w:val="1"/>
          <w:color w:val="auto"/>
        </w:rPr>
        <w:t>our ability to reach agreement with the FDA, EMA or other regulatory authorities as to the design or implementation of our clinical trials, including whether serum neutralizing antibody titers may be utilized as a correlate of protection in clinical trials for VYD222 or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-395605</wp:posOffset>
            </wp:positionV>
            <wp:extent cx="71120" cy="711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1100"/>
        <w:spacing w:after="0" w:line="281" w:lineRule="auto"/>
        <w:rPr>
          <w:sz w:val="20"/>
          <w:szCs w:val="20"/>
          <w:color w:val="auto"/>
        </w:rPr>
      </w:pPr>
      <w:r>
        <w:rPr>
          <w:rFonts w:ascii="Arial" w:cs="Arial" w:eastAsia="Arial" w:hAnsi="Arial"/>
          <w:sz w:val="18"/>
          <w:szCs w:val="18"/>
          <w:b w:val="1"/>
          <w:bCs w:val="1"/>
          <w:color w:val="auto"/>
        </w:rPr>
        <w:t>the sufficiency of our financial and other resources to complete the necessary preclinical studies and clinical trials, manufacture the product candidates and complete associated regulatory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1"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successful enrollment and timely completion of clinical trials, including our ability to generate positive data from any such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37</w:t>
      </w:r>
    </w:p>
    <w:p>
      <w:pPr>
        <w:sectPr>
          <w:pgSz w:w="12240" w:h="15840" w:orient="portrait"/>
          <w:cols w:equalWidth="0" w:num="1">
            <w:col w:w="10080"/>
          </w:cols>
          <w:pgMar w:left="1080" w:top="1089" w:right="1080" w:bottom="157" w:gutter="0" w:footer="0" w:header="0"/>
        </w:sectPr>
      </w:pPr>
    </w:p>
    <w:bookmarkStart w:id="39" w:name="page40"/>
    <w:bookmarkEnd w:id="39"/>
    <w:p>
      <w:pPr>
        <w:jc w:val="both"/>
        <w:ind w:left="1100"/>
        <w:spacing w:after="0" w:line="234" w:lineRule="auto"/>
        <w:rPr>
          <w:sz w:val="20"/>
          <w:szCs w:val="20"/>
          <w:color w:val="auto"/>
        </w:rPr>
      </w:pPr>
      <w:r>
        <w:rPr>
          <w:rFonts w:ascii="Arial" w:cs="Arial" w:eastAsia="Arial" w:hAnsi="Arial"/>
          <w:sz w:val="20"/>
          <w:szCs w:val="20"/>
          <w:b w:val="1"/>
          <w:bCs w:val="1"/>
          <w:color w:val="auto"/>
        </w:rPr>
        <w:t>the costs associated with the discovery and development of any additional development programs and product candidates we identify in-house or acquire through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receipt of timely marketing approvals or EUAs from applicable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developing and expanding sales, marketing and distribution capabilities and launching commercial sales of products, if approved or an EUA is obtained, whether alone or in collaboration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-252730</wp:posOffset>
            </wp:positionV>
            <wp:extent cx="71120" cy="711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our ability to secure and maintain required state licenses for distribution of our products, if authorized or approved or an EUA is obtained, or other distribution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281" w:lineRule="auto"/>
        <w:rPr>
          <w:sz w:val="20"/>
          <w:szCs w:val="20"/>
          <w:color w:val="auto"/>
        </w:rPr>
      </w:pPr>
      <w:r>
        <w:rPr>
          <w:rFonts w:ascii="Arial" w:cs="Arial" w:eastAsia="Arial" w:hAnsi="Arial"/>
          <w:sz w:val="18"/>
          <w:szCs w:val="18"/>
          <w:b w:val="1"/>
          <w:bCs w:val="1"/>
          <w:color w:val="auto"/>
        </w:rPr>
        <w:t>acceptance of the benefits and use of our products, including method of administration, if approved, by patients, the medical community and third-party payors, for their approved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prevalence and severity of adverse events experienced with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availability, perceived advantages, cost, safety and efficacy of alternative therapies for any product candidate that we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351" w:lineRule="auto"/>
        <w:rPr>
          <w:sz w:val="20"/>
          <w:szCs w:val="20"/>
          <w:color w:val="auto"/>
        </w:rPr>
      </w:pPr>
      <w:r>
        <w:rPr>
          <w:rFonts w:ascii="Arial" w:cs="Arial" w:eastAsia="Arial" w:hAnsi="Arial"/>
          <w:sz w:val="15"/>
          <w:szCs w:val="15"/>
          <w:b w:val="1"/>
          <w:bCs w:val="1"/>
          <w:color w:val="auto"/>
        </w:rPr>
        <w:t>the availability and sufficiency of government funding for the purchase and/or reimbursement of products for the diagnosis, prevention and treatment of COVID-19, including competition against any products with government APAs and whether we are able to enter into any APAs if any of our product candidates are authorized or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-439420</wp:posOffset>
            </wp:positionV>
            <wp:extent cx="71120" cy="711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6"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our ability to obtain and maintain coverage and adequate reimbursement for our product candidates, if authorized or approved, and the extent to which patients will be willing to pay out-of-pocket for such products, in the absence of reimbursement for all or part of the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terms and timing of any collaboration, license or other arrangement, including the terms and timing of any milestone payments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our ability to obtain and maintain patent, trademark and trade secret protection and regulatory exclusivity for our product candidates, if approved or an EUA is obtained, and otherwise protecting our rights in our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-389890</wp:posOffset>
            </wp:positionV>
            <wp:extent cx="71120" cy="711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5" w:lineRule="auto"/>
        <w:rPr>
          <w:sz w:val="20"/>
          <w:szCs w:val="20"/>
          <w:color w:val="auto"/>
        </w:rPr>
      </w:pPr>
      <w:r>
        <w:rPr>
          <w:rFonts w:ascii="Arial" w:cs="Arial" w:eastAsia="Arial" w:hAnsi="Arial"/>
          <w:sz w:val="20"/>
          <w:szCs w:val="20"/>
          <w:b w:val="1"/>
          <w:bCs w:val="1"/>
          <w:color w:val="auto"/>
        </w:rPr>
        <w:t>our ability to maintain compliance with regulatory requirements, current cGCP, cGLP, and cGMP, and to comply effectively with other rules, regulations and procedures applicable to the development and sale of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-387985</wp:posOffset>
            </wp:positionV>
            <wp:extent cx="71120" cy="711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potential significant and changing government regulation, regulatory guidance and requirements and evolving treatment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51" w:lineRule="auto"/>
        <w:rPr>
          <w:sz w:val="20"/>
          <w:szCs w:val="20"/>
          <w:color w:val="auto"/>
        </w:rPr>
      </w:pPr>
      <w:r>
        <w:rPr>
          <w:rFonts w:ascii="Arial" w:cs="Arial" w:eastAsia="Arial" w:hAnsi="Arial"/>
          <w:sz w:val="19"/>
          <w:szCs w:val="19"/>
          <w:b w:val="1"/>
          <w:bCs w:val="1"/>
          <w:color w:val="auto"/>
        </w:rPr>
        <w:t>obtaining and maintaining third-party coverage and adequate reimbursement and patients’ willingness to pay out-of-pocket in the absence of such coverage and adequate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-248920</wp:posOffset>
            </wp:positionV>
            <wp:extent cx="71120" cy="711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our ability to maintain a continued acceptable safety, tolerability and efficacy profile of the products following approval or EUA;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impact of any business interruptions to our operations or those of third parties with which we work, particularly in light of the COVID-19 pandemic or other similar public health crises.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 or EUA for any product candidate we develop, we may not be able to continue our operations.</w:t>
      </w:r>
    </w:p>
    <w:p>
      <w:pPr>
        <w:spacing w:after="0" w:line="13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Because our product candidates represent novel approaches to the prevention and treatment of disease, there are many uncertainties regarding the development, market acceptance, third-party reimbursement coverage and commercial potential of our product candidates. We may not be successful in aligning with regulators on an expedited and replicable pathway to SARS-CoV-2 mAb authorization or approval.</w:t>
      </w:r>
    </w:p>
    <w:p>
      <w:pPr>
        <w:spacing w:after="0" w:line="122"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potential products. Many small and large companies are 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38</w:t>
      </w:r>
    </w:p>
    <w:p>
      <w:pPr>
        <w:sectPr>
          <w:pgSz w:w="12240" w:h="15840" w:orient="portrait"/>
          <w:cols w:equalWidth="0" w:num="1">
            <w:col w:w="10080"/>
          </w:cols>
          <w:pgMar w:left="1080" w:top="1104" w:right="1080" w:bottom="157" w:gutter="0" w:footer="0" w:header="0"/>
        </w:sectPr>
      </w:pPr>
    </w:p>
    <w:bookmarkStart w:id="40" w:name="page41"/>
    <w:bookmarkEnd w:id="40"/>
    <w:p>
      <w:pPr>
        <w:jc w:val="both"/>
        <w:spacing w:after="0" w:line="236" w:lineRule="auto"/>
        <w:rPr>
          <w:sz w:val="20"/>
          <w:szCs w:val="20"/>
          <w:color w:val="auto"/>
        </w:rPr>
      </w:pPr>
      <w:r>
        <w:rPr>
          <w:rFonts w:ascii="Arial" w:cs="Arial" w:eastAsia="Arial" w:hAnsi="Arial"/>
          <w:sz w:val="20"/>
          <w:szCs w:val="20"/>
          <w:b w:val="1"/>
          <w:bCs w:val="1"/>
          <w:color w:val="auto"/>
        </w:rPr>
        <w:t>that may make them more successful at developing, manufacturing or commercializing their products globally for the prevention and/or treatment of COVID-19. The success or failure of other companies, or perceived success or failure, may impact our ability to obtain future funding or to successfully commercialize our products for COVID-19 prevention and/or treatment.</w:t>
      </w:r>
    </w:p>
    <w:p>
      <w:pPr>
        <w:spacing w:after="0" w:line="135"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To date no monoclonal antibody has been approved for prevention (pre- or post-exposure) or treatment of COVID-19 in the U.S. The FDA issued an EUA for tixagevimab/ cilgavimab for pre-exposure prophylaxis of COVID-19, in addition to EUAs for casirivimab/imdevimab and bamlanivimab/etesevimab for post-exposure prophylaxis of COVID-19 in certain individuals. In addition, four monoclonal antibody products, casirivimab/imdevimab, bamlanivimab/etesevimab, sotrovimab, and bebtelovimab have received an EUA from the FDA for the treatment of COVID-19 in patients at high risk of disease progression. However, the clinical utility of these products has varied over time due to the emergence of SARS-CoV-2 variants demonstrating partial or full resistance to neutralization and at this time none of these products are authorized for use in prevention or treatment of COVID-19 in the U.S. due to limited to no activity against the predominant circulating Omicron sublineages.</w:t>
      </w:r>
    </w:p>
    <w:p>
      <w:pPr>
        <w:spacing w:after="0" w:line="11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Because the use of engineered monoclonal antibodies is a relatively new and expanding area of novel therapeutic interventions, there are many uncertainties related to development, marketing, reimbursement and the commercial potential for our product candidates. There can be no assurance as to the length of the clinical trials, the number of patients the FDA or other comparable foreign regulatory authorities will require to be enrolled in the trials in order to establish the safety, efficacy, purity and potency of antibody products or that the design of or data generated in these trials will be acceptable to the FDA or other comparable foreign regulatory authorities to support EUA, or similar authorization outside of the U.S., or marketing approval. While we continue to work with global regulators to align on an expedited and replicable pathway to SARS-CoV-2 mAb authorization or approval and leverage evolving regulatory paradigms, which may rely on surrogate endpoints (including use of serum neutralizing antibody titers as a correlate of protection in clinical trials), to expedite drug development, there can be no guarantee that our efforts will be successful.</w:t>
      </w:r>
    </w:p>
    <w:p>
      <w:pPr>
        <w:spacing w:after="0" w:line="98"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In addition, the FDA or other comparable foreign regulatory authorities may take longer than usual to come to a decision on any EUA, BLA or marketing authorization that we submit and may ultimately determine that there is insufficient data, information or experience with our product candidates to support an authorization or approval decision. The FDA or other comparable foreign regulatory authorities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70"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prevention or treatment of symptomatic COVID-19. Even if we are able to identify and develop such antibodies, we cannot ensure that such product candidates will achieve authorization or marketing approval or EUA to safely and effectively prevent or treat symptomatic COVID-19 or other future coronavirus diseases.</w:t>
      </w:r>
    </w:p>
    <w:p>
      <w:pPr>
        <w:spacing w:after="0" w:line="93"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9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There is no assurance that the approaches offered by our product candidates will gain broad acceptance among healthcare practitioners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92"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85"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Our integrated discovery platform approach may not produce durable, broadly neutralizing, effective or safe antibodies in an adequate time period to address a changing virus. If we are unable to timely identify, develop, obtain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39</w:t>
      </w:r>
    </w:p>
    <w:p>
      <w:pPr>
        <w:sectPr>
          <w:pgSz w:w="12240" w:h="15840" w:orient="portrait"/>
          <w:cols w:equalWidth="0" w:num="1">
            <w:col w:w="10080"/>
          </w:cols>
          <w:pgMar w:left="1080" w:top="1089" w:right="1080" w:bottom="157" w:gutter="0" w:footer="0" w:header="0"/>
        </w:sectPr>
      </w:pPr>
    </w:p>
    <w:bookmarkStart w:id="41" w:name="page42"/>
    <w:bookmarkEnd w:id="41"/>
    <w:p>
      <w:pPr>
        <w:jc w:val="both"/>
        <w:spacing w:after="0" w:line="234" w:lineRule="auto"/>
        <w:rPr>
          <w:sz w:val="20"/>
          <w:szCs w:val="20"/>
          <w:color w:val="auto"/>
        </w:rPr>
      </w:pPr>
      <w:r>
        <w:rPr>
          <w:rFonts w:ascii="Arial" w:cs="Arial" w:eastAsia="Arial" w:hAnsi="Arial"/>
          <w:sz w:val="20"/>
          <w:szCs w:val="20"/>
          <w:b w:val="1"/>
          <w:bCs w:val="1"/>
          <w:color w:val="auto"/>
        </w:rPr>
        <w:t>authorization or approval for, and commercialize antibodies on a perpetual, ongoing basis that keep pace with viral evolution, our business prospects will be significantly harmed.</w:t>
      </w:r>
    </w:p>
    <w:p>
      <w:pPr>
        <w:spacing w:after="0" w:line="130"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We intend to deliver new product candidates on a perpetual, ongoing basis to provide solutions for vulnerable people as new VoCs emerge. Our integrated discovery platform approach is designed to produce candidate antibodies providing broad in vitro neutralization against past and current VoCs and their sublineages. However, we may not be successful in developing product candidates, or developing product candidates in an adequate time period, to target a changing virus. If we do develop product candidates, they may not be durable enough to increase the probability of providing a longer period of protection than other antibody solutions or be high-functioning and long-lasting with a high barrier to viral escape. Antibodies may not be effective or safe to administer prior to exposure to SARS-CoV-2 to prevent disease or, once sick, to treat disease. Furthermore, if we are unable to timely identify, develop, obtain authorization or approval for, and commercialize antibodies on a perpetual, ongoing basis that keep pace with viral evolution, our business prospects will be significantly harmed.</w:t>
      </w:r>
    </w:p>
    <w:p>
      <w:pPr>
        <w:spacing w:after="0" w:line="70"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EUAs, we will not be able to commercialize our product candidates, and our ability to generate product revenue will be adversely affected.</w:t>
      </w:r>
    </w:p>
    <w:p>
      <w:pPr>
        <w:spacing w:after="0" w:line="85"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7"/>
          <w:szCs w:val="17"/>
          <w:b w:val="1"/>
          <w:bCs w:val="1"/>
          <w:color w:val="auto"/>
        </w:rPr>
        <w:t>All of our product candidates, other than adintrevimab, are in clinical and preclinical development and their risk of failure is high. The clinical trials and manufacturing of our product candidates are, and the manufacturing and marketing of our products, if approved, will be, subject to extensive and rigorous review and regulation by numerous government authorities in the U.S.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01" w:lineRule="exact"/>
        <w:rPr>
          <w:sz w:val="20"/>
          <w:szCs w:val="20"/>
          <w:color w:val="auto"/>
        </w:rPr>
      </w:pPr>
    </w:p>
    <w:p>
      <w:pPr>
        <w:jc w:val="both"/>
        <w:ind w:firstLine="490"/>
        <w:spacing w:after="0" w:line="241" w:lineRule="auto"/>
        <w:rPr>
          <w:sz w:val="20"/>
          <w:szCs w:val="20"/>
          <w:color w:val="auto"/>
        </w:rPr>
      </w:pPr>
      <w:r>
        <w:rPr>
          <w:rFonts w:ascii="Arial" w:cs="Arial" w:eastAsia="Arial" w:hAnsi="Arial"/>
          <w:sz w:val="18"/>
          <w:szCs w:val="18"/>
          <w:b w:val="1"/>
          <w:bCs w:val="1"/>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and we could encounter problems that cause us to abandon or repeat clinical trials. Even if our future clinical trials are completed as planned, we cannot be certain that their results will support the safety and effectiveness of our product candidates for their targeted indications or support continued clinical development of such product candidates. Our current or future clinical trial results may not be successful.</w:t>
      </w:r>
    </w:p>
    <w:p>
      <w:pPr>
        <w:spacing w:after="0" w:line="112" w:lineRule="exact"/>
        <w:rPr>
          <w:sz w:val="20"/>
          <w:szCs w:val="20"/>
          <w:color w:val="auto"/>
        </w:rPr>
      </w:pPr>
    </w:p>
    <w:p>
      <w:pPr>
        <w:jc w:val="both"/>
        <w:ind w:firstLine="490"/>
        <w:spacing w:after="0" w:line="242" w:lineRule="auto"/>
        <w:rPr>
          <w:sz w:val="20"/>
          <w:szCs w:val="20"/>
          <w:color w:val="auto"/>
        </w:rPr>
      </w:pPr>
      <w:r>
        <w:rPr>
          <w:rFonts w:ascii="Arial" w:cs="Arial" w:eastAsia="Arial" w:hAnsi="Arial"/>
          <w:sz w:val="18"/>
          <w:szCs w:val="18"/>
          <w:b w:val="1"/>
          <w:bCs w:val="1"/>
          <w:color w:val="auto"/>
        </w:rPr>
        <w:t>In addition, even if such trials are successfully completed, we cannot guarantee that the FDA, the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106" w:lineRule="exact"/>
        <w:rPr>
          <w:sz w:val="20"/>
          <w:szCs w:val="20"/>
          <w:color w:val="auto"/>
        </w:rPr>
      </w:pPr>
    </w:p>
    <w:p>
      <w:pPr>
        <w:jc w:val="both"/>
        <w:ind w:firstLine="490"/>
        <w:spacing w:after="0" w:line="295" w:lineRule="auto"/>
        <w:rPr>
          <w:sz w:val="20"/>
          <w:szCs w:val="20"/>
          <w:color w:val="auto"/>
        </w:rPr>
      </w:pPr>
      <w:r>
        <w:rPr>
          <w:rFonts w:ascii="Arial" w:cs="Arial" w:eastAsia="Arial" w:hAnsi="Arial"/>
          <w:sz w:val="15"/>
          <w:szCs w:val="15"/>
          <w:b w:val="1"/>
          <w:bCs w:val="1"/>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281" w:lineRule="exact"/>
        <w:rPr>
          <w:sz w:val="20"/>
          <w:szCs w:val="20"/>
          <w:color w:val="auto"/>
        </w:rPr>
      </w:pPr>
    </w:p>
    <w:p>
      <w:pPr>
        <w:jc w:val="both"/>
        <w:ind w:firstLine="490"/>
        <w:spacing w:after="0" w:line="356" w:lineRule="auto"/>
        <w:rPr>
          <w:sz w:val="20"/>
          <w:szCs w:val="20"/>
          <w:color w:val="auto"/>
        </w:rPr>
      </w:pPr>
      <w:r>
        <w:rPr>
          <w:rFonts w:ascii="Arial" w:cs="Arial" w:eastAsia="Arial" w:hAnsi="Arial"/>
          <w:sz w:val="15"/>
          <w:szCs w:val="15"/>
          <w:b w:val="1"/>
          <w:bCs w:val="1"/>
          <w:color w:val="auto"/>
        </w:rPr>
        <w:t>Furthermore, even if we obtain regulatory approval for our product candidates, we may still need to develop a commercial organization, establish a commercially viable pricing structure and obtain approval for coverage and adequate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40</w:t>
      </w:r>
    </w:p>
    <w:p>
      <w:pPr>
        <w:sectPr>
          <w:pgSz w:w="12240" w:h="15840" w:orient="portrait"/>
          <w:cols w:equalWidth="0" w:num="1">
            <w:col w:w="10080"/>
          </w:cols>
          <w:pgMar w:left="1080" w:top="1089" w:right="1080" w:bottom="157" w:gutter="0" w:footer="0" w:header="0"/>
        </w:sectPr>
      </w:pPr>
    </w:p>
    <w:bookmarkStart w:id="42" w:name="page43"/>
    <w:bookmarkEnd w:id="42"/>
    <w:p>
      <w:pPr>
        <w:jc w:val="both"/>
        <w:spacing w:after="0" w:line="352" w:lineRule="auto"/>
        <w:rPr>
          <w:sz w:val="20"/>
          <w:szCs w:val="20"/>
          <w:color w:val="auto"/>
        </w:rPr>
      </w:pPr>
      <w:r>
        <w:rPr>
          <w:rFonts w:ascii="Arial" w:cs="Arial" w:eastAsia="Arial" w:hAnsi="Arial"/>
          <w:sz w:val="15"/>
          <w:szCs w:val="15"/>
          <w:b w:val="1"/>
          <w:bCs w:val="1"/>
          <w:color w:val="auto"/>
        </w:rPr>
        <w:t>from commercial and government payors, including government health administration authorities. If we are unable to successfully commercialize our product candidates, we may not be able to generate sufficient revenue to continue our business.</w:t>
      </w:r>
    </w:p>
    <w:p>
      <w:pPr>
        <w:spacing w:after="0" w:line="46"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have and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133"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We have and may again in the future experience delays in conducting clinical trials, and we do not know whether our clinical trials will begin on time, need to be redesigned, recruit and enroll patients on time or be completed on schedule, or at all. We may experience numerous unforeseen events before, during or after the conduct of our clinical trials that could delay or prevent our ability to complete such trials or receive marketing approval for or commercialize our product candidates, or that could significantly increase the cost of such trials, including:</w:t>
      </w:r>
    </w:p>
    <w:p>
      <w:pPr>
        <w:spacing w:after="0" w:line="120"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inability to generate sufficient preclinical, toxicology, or other in vivo or in vitro data to support the initiation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delays in sufficiently developing, characterizing or controlling a manufacturing process suitable for advanced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delays in developing suitable assays for screening patients for eligibility for trials with respect to certain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52" w:lineRule="auto"/>
        <w:rPr>
          <w:sz w:val="20"/>
          <w:szCs w:val="20"/>
          <w:color w:val="auto"/>
        </w:rPr>
      </w:pPr>
      <w:r>
        <w:rPr>
          <w:rFonts w:ascii="Arial" w:cs="Arial" w:eastAsia="Arial" w:hAnsi="Arial"/>
          <w:sz w:val="19"/>
          <w:szCs w:val="19"/>
          <w:b w:val="1"/>
          <w:bCs w:val="1"/>
          <w:color w:val="auto"/>
        </w:rPr>
        <w:t>delays in reaching agreement with the FDA, EMA or other regulatory authorities as to the design or implementation of our clinical trials, including whether serum neutralizing antibody titers may be utilized as a correlate of protection in clinical trials for VYD222 or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-395605</wp:posOffset>
            </wp:positionV>
            <wp:extent cx="71120" cy="711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delays in obtaining regulatory authorization to commence a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386" w:lineRule="auto"/>
        <w:rPr>
          <w:sz w:val="20"/>
          <w:szCs w:val="20"/>
          <w:color w:val="auto"/>
        </w:rPr>
      </w:pPr>
      <w:r>
        <w:rPr>
          <w:rFonts w:ascii="Arial" w:cs="Arial" w:eastAsia="Arial" w:hAnsi="Arial"/>
          <w:sz w:val="15"/>
          <w:szCs w:val="15"/>
          <w:b w:val="1"/>
          <w:bCs w:val="1"/>
          <w:color w:val="auto"/>
        </w:rPr>
        <w:t>challenges in reaching an agreement on acceptable terms with clinical trial sites or prospective CROs, the terms of which can be subject to extensive negotiation and may vary significantly among different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-311150</wp:posOffset>
            </wp:positionV>
            <wp:extent cx="71120" cy="711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delays in obtaining IRB approval at each trial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challenges in recruiting suitable patients to participate in a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challenges in having patients complete a clinical trial or return for post-treatment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findings from inspections of clinical trial sites or operations by applicable regulatory authorities, or the imposition of a clinical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clinical sites, CROs or other third parties deviating from trial protocol or dropping out of a trial, including as a result of changing standards of care or the ineligibility of a site to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-252730</wp:posOffset>
            </wp:positionV>
            <wp:extent cx="71120" cy="711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failure to perform in accordance with the applicable regulatory requirements, including the FDA’s regulations and cGCP requirements, or applicable regulatory requirements in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-252730</wp:posOffset>
            </wp:positionV>
            <wp:extent cx="71120" cy="711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1100"/>
        <w:spacing w:after="0" w:line="281" w:lineRule="auto"/>
        <w:rPr>
          <w:sz w:val="20"/>
          <w:szCs w:val="20"/>
          <w:color w:val="auto"/>
        </w:rPr>
      </w:pPr>
      <w:r>
        <w:rPr>
          <w:rFonts w:ascii="Arial" w:cs="Arial" w:eastAsia="Arial" w:hAnsi="Arial"/>
          <w:sz w:val="18"/>
          <w:szCs w:val="18"/>
          <w:b w:val="1"/>
          <w:bCs w:val="1"/>
          <w:color w:val="auto"/>
        </w:rPr>
        <w:t>addressing patient safety concerns that arise during the course of a trial, including the occurrence of adverse events associated with the product candidate that are viewed to outweigh its potential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1" w:lineRule="exact"/>
        <w:rPr>
          <w:sz w:val="20"/>
          <w:szCs w:val="20"/>
          <w:color w:val="auto"/>
        </w:rPr>
      </w:pPr>
    </w:p>
    <w:p>
      <w:pPr>
        <w:jc w:val="both"/>
        <w:ind w:left="1100"/>
        <w:spacing w:after="0" w:line="252" w:lineRule="auto"/>
        <w:rPr>
          <w:sz w:val="20"/>
          <w:szCs w:val="20"/>
          <w:color w:val="auto"/>
        </w:rPr>
      </w:pPr>
      <w:r>
        <w:rPr>
          <w:rFonts w:ascii="Arial" w:cs="Arial" w:eastAsia="Arial" w:hAnsi="Arial"/>
          <w:sz w:val="19"/>
          <w:szCs w:val="19"/>
          <w:b w:val="1"/>
          <w:bCs w:val="1"/>
          <w:color w:val="auto"/>
        </w:rPr>
        <w:t>the evolution of SARS-CoV-2 variants during the course of a clinical trial may adversely impact the neutralizing activity of our product candidates and our ability to complete the trial if the potential benefits are no longer determined to outweigh the potential risks of any such product candidate as a result of reduced neutralizing activity against circulating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-541655</wp:posOffset>
            </wp:positionV>
            <wp:extent cx="71120" cy="711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inability to recruit and/or successfully contract with a sufficient number of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difficulties in manufacturing sufficient quantities of product candidate for use in clinical trials, including as a result of supply chain challenges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suspensions or terminations by IRBs at the institutions where such trials are being conducted, by the independent Data Monitoring Committee for such trial or by the FDA or other regulatory authorities due to a number of factors, including those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changes in regulatory requirements or guidance, or feedback from regulatory authorities that requires us to modify the design or conduct of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312" w:lineRule="auto"/>
        <w:rPr>
          <w:sz w:val="20"/>
          <w:szCs w:val="20"/>
          <w:color w:val="auto"/>
        </w:rPr>
      </w:pPr>
      <w:r>
        <w:rPr>
          <w:rFonts w:ascii="Arial" w:cs="Arial" w:eastAsia="Arial" w:hAnsi="Arial"/>
          <w:sz w:val="17"/>
          <w:szCs w:val="17"/>
          <w:b w:val="1"/>
          <w:bCs w:val="1"/>
          <w:color w:val="auto"/>
        </w:rPr>
        <w:t>clinical trials of our product candidates may produce negative or inconclusive results, and we may decide, or regulators may require us, to conduct additional clinical trials or abandon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-281305</wp:posOffset>
            </wp:positionV>
            <wp:extent cx="71120" cy="711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41</w:t>
      </w:r>
    </w:p>
    <w:p>
      <w:pPr>
        <w:sectPr>
          <w:pgSz w:w="12240" w:h="15840" w:orient="portrait"/>
          <w:cols w:equalWidth="0" w:num="1">
            <w:col w:w="10080"/>
          </w:cols>
          <w:pgMar w:left="1080" w:top="1070" w:right="1080" w:bottom="157" w:gutter="0" w:footer="0" w:header="0"/>
        </w:sectPr>
      </w:pPr>
    </w:p>
    <w:bookmarkStart w:id="43" w:name="page44"/>
    <w:bookmarkEnd w:id="43"/>
    <w:p>
      <w:pPr>
        <w:jc w:val="both"/>
        <w:ind w:left="1100"/>
        <w:spacing w:after="0" w:line="252" w:lineRule="auto"/>
        <w:rPr>
          <w:sz w:val="20"/>
          <w:szCs w:val="20"/>
          <w:color w:val="auto"/>
        </w:rPr>
      </w:pPr>
      <w:r>
        <w:rPr>
          <w:rFonts w:ascii="Arial" w:cs="Arial" w:eastAsia="Arial" w:hAnsi="Arial"/>
          <w:sz w:val="19"/>
          <w:szCs w:val="19"/>
          <w:b w:val="1"/>
          <w:bCs w:val="1"/>
          <w:color w:val="auto"/>
        </w:rPr>
        <w:t>the number of patients required for clinical trials of our product candidates may be larger than we anticipate, especially if regulatory bodies require the completion of non-inferiority or superiority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-687070</wp:posOffset>
            </wp:positionV>
            <wp:extent cx="71120" cy="711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enrollment in clinical trials may be impacted by the emergence of variants and rate of infection prevalence in the relevant communities, which can change once a trial is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51" w:lineRule="auto"/>
        <w:rPr>
          <w:sz w:val="20"/>
          <w:szCs w:val="20"/>
          <w:color w:val="auto"/>
        </w:rPr>
      </w:pPr>
      <w:r>
        <w:rPr>
          <w:rFonts w:ascii="Arial" w:cs="Arial" w:eastAsia="Arial" w:hAnsi="Arial"/>
          <w:sz w:val="19"/>
          <w:szCs w:val="19"/>
          <w:b w:val="1"/>
          <w:bCs w:val="1"/>
          <w:color w:val="auto"/>
        </w:rPr>
        <w:t>the evolution of SARS-CoV-2 variants during the course of a clinical trial may impact the prevalent variant of infection for patients at one or more sites and adversely impact enrollment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-248920</wp:posOffset>
            </wp:positionV>
            <wp:extent cx="71120" cy="711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screen failure rate for clinical trials of our product candidates may be higher than we anticipate, requiring us to screen larger numbers of patients than originally planned;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need to modify a trial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unforeseen safety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emergence of dosing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lack of effectiveness data during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changes in the standard of care of the indication being studied;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our third-party contractors may fail to comply with regulatory requirements or meet their contractual obligations to us in a timely manner,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253" w:lineRule="auto"/>
        <w:rPr>
          <w:sz w:val="20"/>
          <w:szCs w:val="20"/>
          <w:color w:val="auto"/>
        </w:rPr>
      </w:pPr>
      <w:r>
        <w:rPr>
          <w:rFonts w:ascii="Arial" w:cs="Arial" w:eastAsia="Arial" w:hAnsi="Arial"/>
          <w:sz w:val="19"/>
          <w:szCs w:val="19"/>
          <w:b w:val="1"/>
          <w:bCs w:val="1"/>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-543560</wp:posOffset>
            </wp:positionV>
            <wp:extent cx="71120" cy="711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1100"/>
        <w:spacing w:after="0" w:line="252" w:lineRule="auto"/>
        <w:rPr>
          <w:sz w:val="20"/>
          <w:szCs w:val="20"/>
          <w:color w:val="auto"/>
        </w:rPr>
      </w:pPr>
      <w:r>
        <w:rPr>
          <w:rFonts w:ascii="Arial" w:cs="Arial" w:eastAsia="Arial" w:hAnsi="Arial"/>
          <w:sz w:val="19"/>
          <w:szCs w:val="19"/>
          <w:b w:val="1"/>
          <w:bCs w:val="1"/>
          <w:color w:val="auto"/>
        </w:rPr>
        <w:t>we conducted our STAMP trial (evaluating adintrevimab for the treatment of COVID-19) at sites outside of the U.S.;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a trial and the authorization or approval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-687070</wp:posOffset>
            </wp:positionV>
            <wp:extent cx="71120" cy="711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cost of clinical trials of our product candidates may be greater than we anticipate, and we may not have funds to cover the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385" w:lineRule="auto"/>
        <w:rPr>
          <w:sz w:val="20"/>
          <w:szCs w:val="20"/>
          <w:color w:val="auto"/>
        </w:rPr>
      </w:pPr>
      <w:r>
        <w:rPr>
          <w:rFonts w:ascii="Arial" w:cs="Arial" w:eastAsia="Arial" w:hAnsi="Arial"/>
          <w:sz w:val="15"/>
          <w:szCs w:val="15"/>
          <w:b w:val="1"/>
          <w:bCs w:val="1"/>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-309880</wp:posOffset>
            </wp:positionV>
            <wp:extent cx="71120" cy="711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2"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regulators may revise the requirements for approving our product candidates, or such requirements may not be as we anticipate;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any future collaborators that conduct clinical trials may face any of the above issues and may conduct clinical trials in ways they view as advantageous to them but that are suboptimal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-252095</wp:posOffset>
            </wp:positionV>
            <wp:extent cx="71120" cy="711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6" w:lineRule="exact"/>
        <w:rPr>
          <w:sz w:val="20"/>
          <w:szCs w:val="20"/>
          <w:color w:val="auto"/>
        </w:rPr>
      </w:pPr>
    </w:p>
    <w:p>
      <w:pPr>
        <w:ind w:firstLine="490"/>
        <w:spacing w:after="0" w:line="312" w:lineRule="auto"/>
        <w:rPr>
          <w:sz w:val="20"/>
          <w:szCs w:val="20"/>
          <w:color w:val="auto"/>
        </w:rPr>
      </w:pPr>
      <w:r>
        <w:rPr>
          <w:rFonts w:ascii="Arial" w:cs="Arial" w:eastAsia="Arial" w:hAnsi="Arial"/>
          <w:sz w:val="17"/>
          <w:szCs w:val="17"/>
          <w:b w:val="1"/>
          <w:bCs w:val="1"/>
          <w:color w:val="auto"/>
        </w:rPr>
        <w:t>If we are required to conduct additional clinical trials or other testing of our product candidates beyond those that we currently contemplate, if we are unable to successfully and timely complete clinical trials of our product candidates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42</w:t>
      </w:r>
    </w:p>
    <w:p>
      <w:pPr>
        <w:sectPr>
          <w:pgSz w:w="12240" w:h="15840" w:orient="portrait"/>
          <w:cols w:equalWidth="0" w:num="1">
            <w:col w:w="10080"/>
          </w:cols>
          <w:pgMar w:left="1080" w:top="1104" w:right="1080" w:bottom="157" w:gutter="0" w:footer="0" w:header="0"/>
        </w:sectPr>
      </w:pPr>
    </w:p>
    <w:bookmarkStart w:id="44" w:name="page45"/>
    <w:bookmarkEnd w:id="44"/>
    <w:p>
      <w:pPr>
        <w:jc w:val="both"/>
        <w:spacing w:after="0" w:line="234" w:lineRule="auto"/>
        <w:rPr>
          <w:sz w:val="20"/>
          <w:szCs w:val="20"/>
          <w:color w:val="auto"/>
        </w:rPr>
      </w:pPr>
      <w:r>
        <w:rPr>
          <w:rFonts w:ascii="Arial" w:cs="Arial" w:eastAsia="Arial" w:hAnsi="Arial"/>
          <w:sz w:val="20"/>
          <w:szCs w:val="20"/>
          <w:b w:val="1"/>
          <w:bCs w:val="1"/>
          <w:color w:val="auto"/>
        </w:rPr>
        <w:t>testing, if the results of these trials or tests are not positive or are only modestly positive or if there are safety concerns, we may:</w:t>
      </w:r>
    </w:p>
    <w:p>
      <w:pPr>
        <w:spacing w:after="0" w:line="13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incur unplanned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be delayed in obtaining marketing approval for our product candidates or not obtain marketing approval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obtain marketing approval in some countries and not in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obtain marketing approval for indications or patient populations that are not as broad as intended or desired;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9" w:lineRule="exact"/>
        <w:rPr>
          <w:sz w:val="20"/>
          <w:szCs w:val="20"/>
          <w:color w:val="auto"/>
        </w:rPr>
      </w:pPr>
    </w:p>
    <w:p>
      <w:pPr>
        <w:ind w:left="1100"/>
        <w:spacing w:after="0" w:line="233" w:lineRule="auto"/>
        <w:rPr>
          <w:sz w:val="20"/>
          <w:szCs w:val="20"/>
          <w:color w:val="auto"/>
        </w:rPr>
      </w:pPr>
      <w:r>
        <w:rPr>
          <w:rFonts w:ascii="Arial" w:cs="Arial" w:eastAsia="Arial" w:hAnsi="Arial"/>
          <w:sz w:val="20"/>
          <w:szCs w:val="20"/>
          <w:b w:val="1"/>
          <w:bCs w:val="1"/>
          <w:color w:val="auto"/>
        </w:rPr>
        <w:t>obtain marketing approval with labeling that includes significant use or distribution restrictions or safety warnings, including boxed warnings or REMS;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1100" w:right="3900"/>
        <w:spacing w:after="0" w:line="507" w:lineRule="auto"/>
        <w:rPr>
          <w:sz w:val="20"/>
          <w:szCs w:val="20"/>
          <w:color w:val="auto"/>
        </w:rPr>
      </w:pPr>
      <w:r>
        <w:rPr>
          <w:rFonts w:ascii="Arial" w:cs="Arial" w:eastAsia="Arial" w:hAnsi="Arial"/>
          <w:sz w:val="15"/>
          <w:szCs w:val="15"/>
          <w:b w:val="1"/>
          <w:bCs w:val="1"/>
          <w:color w:val="auto"/>
        </w:rPr>
        <w:t>be subject to additional post-marketing testing requirements; be subject to changes in the way the product is administered;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-421640</wp:posOffset>
            </wp:positionV>
            <wp:extent cx="71120" cy="711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-189865</wp:posOffset>
            </wp:positionV>
            <wp:extent cx="71120" cy="711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1100"/>
        <w:spacing w:after="0" w:line="234" w:lineRule="auto"/>
        <w:rPr>
          <w:sz w:val="20"/>
          <w:szCs w:val="20"/>
          <w:color w:val="auto"/>
        </w:rPr>
      </w:pPr>
      <w:r>
        <w:rPr>
          <w:rFonts w:ascii="Arial" w:cs="Arial" w:eastAsia="Arial" w:hAnsi="Arial"/>
          <w:sz w:val="20"/>
          <w:szCs w:val="20"/>
          <w:b w:val="1"/>
          <w:bCs w:val="1"/>
          <w:color w:val="auto"/>
        </w:rPr>
        <w:t>have regulatory authorities withdraw or suspend their approval of the product or to impose restrictions on its distribution after obtaining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We, the FDA, other regulatory authorities outside the U.S. or an IRB may suspend a clinical trial at any time for various reasons, including if it appears that the clinical trial is exposing participants to unacceptable health risks, including, for example, because the predominant SARS-CoV-2 variant in the country or clinical trial site is not susceptible to our product candidate, or if the FDA or one or more other regulatory authorities outside the U.S. find deficiencies in our IND or similar application outside the U.S.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approval process, and jeopardize our ability to commence product sales and generate revenues.</w:t>
      </w:r>
    </w:p>
    <w:p>
      <w:pPr>
        <w:spacing w:after="0" w:line="10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All of our product candidates will require extensive clinical testing before we would be in a position to submit a BLA to the FDA or MAA) to the EMA for regulatory approval. We cannot predict with any certainty if or when we might complete the clinical development for our product candidates and submit a BLA or MAA for regulatory approval of any of our product candidates, if at all,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125"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109"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There can be no assurance that the public health emergency in the U.S. declared under the PHS Act and the FDCA will continue to be in place for an extended period of time and that the product candidates we are developing for COVID-19 could be granted an EUA by the FDA or similar authorization by regulatory authorities outside of the U.S. if we decide to apply for such an authorization. If we do not apply for such an authorization or, if we do apply and no authorization is granted or, once granted, it is terminated, we will be unable to sell our product candidates in the near future and instead, would need to pursue the traditional regulatory approval processes of the FDA and comparable foreign authorities, which are lengthy, time consuming and inherently unpredictable, and which we may determine not to pursue. If we are not able to obtain required regulatory authorization or approval for our product candidates, our business will be substantially harmed. We also cannot guarantee how long it will take regulatory agencies to review our EUA applications, if submitted, for our product candidates.</w:t>
      </w:r>
    </w:p>
    <w:p>
      <w:pPr>
        <w:spacing w:after="0" w:line="110"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We intend to seek an EUA for the prevention and/or treatment of COVID-19 from the FDA and may seek similar authorization from regulatory authorities outside of the U.S., such as conditional marketing authorization from the European Commission. If we apply for an EUA and it is granted, an EUA will authorize us to market and sell our COVID-19 monoclonal antibody in the U.S. under certain conditions of authorization as long as a public health emergency declared under the FDCA</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43</w:t>
      </w:r>
    </w:p>
    <w:p>
      <w:pPr>
        <w:sectPr>
          <w:pgSz w:w="12240" w:h="15840" w:orient="portrait"/>
          <w:cols w:equalWidth="0" w:num="1">
            <w:col w:w="10080"/>
          </w:cols>
          <w:pgMar w:left="1080" w:top="1089" w:right="1080" w:bottom="157" w:gutter="0" w:footer="0" w:header="0"/>
        </w:sectPr>
      </w:pPr>
    </w:p>
    <w:bookmarkStart w:id="45" w:name="page46"/>
    <w:bookmarkEnd w:id="45"/>
    <w:p>
      <w:pPr>
        <w:jc w:val="both"/>
        <w:spacing w:after="0" w:line="281" w:lineRule="auto"/>
        <w:rPr>
          <w:sz w:val="20"/>
          <w:szCs w:val="20"/>
          <w:color w:val="auto"/>
        </w:rPr>
      </w:pPr>
      <w:r>
        <w:rPr>
          <w:rFonts w:ascii="Arial" w:cs="Arial" w:eastAsia="Arial" w:hAnsi="Arial"/>
          <w:sz w:val="18"/>
          <w:szCs w:val="18"/>
          <w:b w:val="1"/>
          <w:bCs w:val="1"/>
          <w:color w:val="auto"/>
        </w:rPr>
        <w:t>exists. The FDA may issue an EUA during a public health emergency declared under the FDCA if the agency determines that the potential benefits of a product outweigh the potential risks and if other regulatory criteria are met.</w:t>
      </w:r>
    </w:p>
    <w:p>
      <w:pPr>
        <w:spacing w:after="0" w:line="94"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There is no guarantee that we will apply for an EUA for VYD222, adintrevimab or any other product candidates, or other similar authorization or, if we do apply, that we will be able to obtain an EUA or such similar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The FDA may terminate an EUA if safety issues or other concerns about our product, such as loss of neutralizing activity against dominant circulating SARS-CoV-2 variants, arise or if we fail to comply with the conditions of authorization. Additionally, the FDA has expected that companies that receive an EUA for COVID-19 antibodies will proceed to licensure of their products under a full BLA. Accordingly, as we do not intend to pursue a BLA for VYD222 or potentially for other product candidates for COVID-19 given the SARS-CoV-2 variants, and if we determine not to pursue a BLA, this may adversely affect our ability to obtain or maintain an EUA in the U.S.</w:t>
      </w:r>
    </w:p>
    <w:p>
      <w:pPr>
        <w:spacing w:after="0" w:line="10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On January 30, 2023, the Biden Administration announced that it would allow the COVID-19 public health emergency in the U.S. declared under the Public Health Service Act to expire on May 11, 2023, which will have significant impacts on the U.S. health system and government operations. Although statements from HHS indicate that the FDA’s EUAs for COVID-19 products will not be affected and that the FDA may continue to issue new EUAs going forward when criteria for issuance are met, as permitted due to the COVID-19 public health emergency in the U.S. declared under the FDCA, it is not clear if and under what circumstances the FDA will be willing to issue additional EUAs related to COVID-19 and we cannot predict how this may impact our ability to obtain or maintain an EUA if we apply for one. For example, the FDA issued a notice on March 13, 2023 stating that several guidance documents related to the development of products intended for the treatment or prevention of COVID-19 will be revised within 180 days of the expiration of the COVID-19 public health emergency and that such revised guidance documents will supersede the currently in-effect guidance documents. As such, it remains unclear what FDA’s expectations will be going forward for EUA (and full licensure) for products intended for the treatment or prevention of COVID-19. Additionally, if the HHS Secretary terminates an EUA declaration under the FDCA, then any EUAs issued based on that declaration will cease to be in effect, and FDA may no longer issue EUAs for products covered by that declaration. Accordingly, even if we apply and obtain an EUA from the FDA, there is no guarantee of the duration for which we would be able to maintain it.</w:t>
      </w:r>
    </w:p>
    <w:p>
      <w:pPr>
        <w:spacing w:after="0" w:line="9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If we apply for an EUA or similar authorization from regulatory authorities outside of the U.S.,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authorization or approval for any product candidate, and it is possible that we may never obtain regulatory authorization or approval for any product candidates we may seek to develop in the future. Neither we nor any current or future collaborator is permitted to market any drug product candidates in the U.S. until we receive regulatory authorization with an EUA or approval of a BLA from the FDA, and we cannot market it in the European Union until we receive marketing authorization from the EMA, or other required regulatory approval in other countries. In the past, we have had discussions focused on adintrevimab with the FDA and Health Canada and have received scientific advice from the Medicines and Healthcare products Regulatory Agency, the Swedish Medical Products Agency, the Paul Ehrlich Institute, and the EMA regarding clinical development programs or regulatory approval for any product candidate within the U.S., Canada, United Kingdom, Sweden, Germany and European Union, respectively. We have had no discussions with other comparable foreign authorities regarding clinical development programs or regulatory approval for any product candidate outside of these jurisdictions.</w:t>
      </w:r>
    </w:p>
    <w:p>
      <w:pPr>
        <w:spacing w:after="0" w:line="96"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Prior to obtaining approval to commercialize any drug product candidate in the U.S. or abroad, we must demonstrate with substantial evidence from well-controlled clinical trials, and to the satisfaction of the FDA, EMA or other foreign regulatory agencies, that such product candidate is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44</w:t>
      </w:r>
    </w:p>
    <w:p>
      <w:pPr>
        <w:sectPr>
          <w:pgSz w:w="12240" w:h="15840" w:orient="portrait"/>
          <w:cols w:equalWidth="0" w:num="1">
            <w:col w:w="10080"/>
          </w:cols>
          <w:pgMar w:left="1080" w:top="1089" w:right="1080" w:bottom="157" w:gutter="0" w:footer="0" w:header="0"/>
        </w:sectPr>
      </w:pPr>
    </w:p>
    <w:bookmarkStart w:id="46" w:name="page47"/>
    <w:bookmarkEnd w:id="46"/>
    <w:p>
      <w:pPr>
        <w:ind w:left="480"/>
        <w:spacing w:after="0"/>
        <w:rPr>
          <w:sz w:val="20"/>
          <w:szCs w:val="20"/>
          <w:color w:val="auto"/>
        </w:rPr>
      </w:pPr>
      <w:r>
        <w:rPr>
          <w:rFonts w:ascii="Arial" w:cs="Arial" w:eastAsia="Arial" w:hAnsi="Arial"/>
          <w:sz w:val="18"/>
          <w:szCs w:val="18"/>
          <w:b w:val="1"/>
          <w:bCs w:val="1"/>
          <w:color w:val="auto"/>
        </w:rPr>
        <w:t>Our product candidates could fail to receive regulatory approval for many reasons, including the following:</w:t>
      </w:r>
    </w:p>
    <w:p>
      <w:pPr>
        <w:spacing w:after="0" w:line="158" w:lineRule="exact"/>
        <w:rPr>
          <w:sz w:val="20"/>
          <w:szCs w:val="20"/>
          <w:color w:val="auto"/>
        </w:rPr>
      </w:pPr>
    </w:p>
    <w:p>
      <w:pPr>
        <w:jc w:val="both"/>
        <w:ind w:left="1100"/>
        <w:spacing w:after="0" w:line="271" w:lineRule="auto"/>
        <w:rPr>
          <w:sz w:val="20"/>
          <w:szCs w:val="20"/>
          <w:color w:val="auto"/>
        </w:rPr>
      </w:pPr>
      <w:r>
        <w:rPr>
          <w:rFonts w:ascii="Arial" w:cs="Arial" w:eastAsia="Arial" w:hAnsi="Arial"/>
          <w:sz w:val="18"/>
          <w:szCs w:val="18"/>
          <w:b w:val="1"/>
          <w:bCs w:val="1"/>
          <w:color w:val="auto"/>
        </w:rPr>
        <w:t>the FDA or comparable foreign regulatory authorities may disagree with the design or implementation of our clinical trials, including whether we may rely on surrogate endpoints in our clinical trials (including use of serum neutralizing antibody titers as a correlate of protection in clinical trials for VYD222 or other product candidates), or with our interpretation of data from preclinical studies or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-552450</wp:posOffset>
            </wp:positionV>
            <wp:extent cx="71120" cy="711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9"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we may be unable to demonstrate to the satisfaction of the FDA or comparable foreign regulatory authorities that a product candidate is safe and effective for its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-252730</wp:posOffset>
            </wp:positionV>
            <wp:extent cx="71120" cy="711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the results of clinical trials may not meet the level of statistical significance required by the FDA or comparable foreign regulatory authorities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we may be unable to demonstrate that a product candidate’s clinical and other benefits outweigh its safety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-68580</wp:posOffset>
            </wp:positionV>
            <wp:extent cx="71120" cy="711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2"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we may be unable to collect sufficient data from clinical trials of our product candidates to support the submission and filing of a BLA with the FDA, MAA with the EMA or other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-252730</wp:posOffset>
            </wp:positionV>
            <wp:extent cx="71120" cy="711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we may fail bioresearch monitoring, FDA inspection or comparable foreign regulatory authorities’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7" w:lineRule="exact"/>
        <w:rPr>
          <w:sz w:val="20"/>
          <w:szCs w:val="20"/>
          <w:color w:val="auto"/>
        </w:rPr>
      </w:pPr>
    </w:p>
    <w:p>
      <w:pPr>
        <w:jc w:val="both"/>
        <w:ind w:left="1100"/>
        <w:spacing w:after="0" w:line="281" w:lineRule="auto"/>
        <w:rPr>
          <w:sz w:val="20"/>
          <w:szCs w:val="20"/>
          <w:color w:val="auto"/>
        </w:rPr>
      </w:pPr>
      <w:r>
        <w:rPr>
          <w:rFonts w:ascii="Arial" w:cs="Arial" w:eastAsia="Arial" w:hAnsi="Arial"/>
          <w:sz w:val="18"/>
          <w:szCs w:val="18"/>
          <w:b w:val="1"/>
          <w:bCs w:val="1"/>
          <w:color w:val="auto"/>
        </w:rPr>
        <w:t>we may fail an FDA or comparable foreign regulatory authorities' inspection of our third-party contract manufacturing or testing facilities for which we contract and test clinical and commercial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0"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the approval policies or regulations of the FDA or comparable foreign authorities may significantly change in a manner rendering our clinical data insufficient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23"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133"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67"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0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133"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From time to time, we may publicly disclose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45</w:t>
      </w:r>
    </w:p>
    <w:p>
      <w:pPr>
        <w:sectPr>
          <w:pgSz w:w="12240" w:h="15840" w:orient="portrait"/>
          <w:cols w:equalWidth="0" w:num="1">
            <w:col w:w="10080"/>
          </w:cols>
          <w:pgMar w:left="1080" w:top="1089" w:right="1080" w:bottom="157" w:gutter="0" w:footer="0" w:header="0"/>
        </w:sectPr>
      </w:pPr>
    </w:p>
    <w:bookmarkStart w:id="47" w:name="page48"/>
    <w:bookmarkEnd w:id="47"/>
    <w:p>
      <w:pPr>
        <w:jc w:val="both"/>
        <w:spacing w:after="0" w:line="252" w:lineRule="auto"/>
        <w:rPr>
          <w:sz w:val="20"/>
          <w:szCs w:val="20"/>
          <w:color w:val="auto"/>
        </w:rPr>
      </w:pPr>
      <w:r>
        <w:rPr>
          <w:rFonts w:ascii="Arial" w:cs="Arial" w:eastAsia="Arial" w:hAnsi="Arial"/>
          <w:sz w:val="19"/>
          <w:szCs w:val="19"/>
          <w:b w:val="1"/>
          <w:bCs w:val="1"/>
          <w:color w:val="auto"/>
        </w:rPr>
        <w:t>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24"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w:t>
      </w:r>
    </w:p>
    <w:p>
      <w:pPr>
        <w:spacing w:after="0" w:line="95"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If the interim, top-line or preliminary data that we report differ from actual results, or if others, including regulatory authorities, disagree with the conclusions reached, our ability to obtain authorization or approval for, and commercialize, VYD222, adintrevimab and any other product candidates may be harmed, which could significantly harm our business prospects.</w:t>
      </w:r>
    </w:p>
    <w:p>
      <w:pPr>
        <w:spacing w:after="0" w:line="13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authorization or approval of our product candidates, limit their commercialization, increase our costs or necessitate the abandonment or limitation of the development of some of our product candidates.</w:t>
      </w:r>
    </w:p>
    <w:p>
      <w:pPr>
        <w:spacing w:after="0" w:line="12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To obtain the requisite regulatory authorizations or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08"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We may fail to demonstrate with substantial evidence from adequate and well-controlled trials, and to the satisfaction of the FDA or comparable foreign regulatory authorities, that our product candidates are safe and effective for their intended uses. In addition, the FDA or comparable foreign regulatory authorities may determine that antibody monotherapy products are not sufficient and that combination antibody therapies should become the standard of care. For example, the clinical data available from the STAMP (evaluating adintrevimab for the treatment of COVID-19) and EVADE (evaluating adintrevimab for the prevention of COVID-19) trials may be insufficient to support a BLA or marketing authorization for adintrevimab and we may not be able to generate additional data if the FDA or comparable foreign regulatory authorities require additional trials in support of a BLA or marketing authorization. Additionally, while we believe that the adintrevimab clinical data package has the potential to support accelerated development of VYD222, the FDA may not accept our adintrevimab clinical data package in support of VYD222 approval or may identify issues with or challenge the adintrevimab clinical data package, which has not yet been reviewed, which may delay the development or potential commercialization of VYD222.</w:t>
      </w:r>
    </w:p>
    <w:p>
      <w:pPr>
        <w:spacing w:after="0" w:line="96"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approved. Some side effects may not be appropriately recognized or managed by the treating medical staff, as toxicities resulting from monoclonal antibody therapy targeting an exogenous target, as with our product candidates, can be nonspecific.</w:t>
      </w:r>
    </w:p>
    <w:p>
      <w:pPr>
        <w:spacing w:after="0" w:line="94"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46</w:t>
      </w:r>
    </w:p>
    <w:p>
      <w:pPr>
        <w:sectPr>
          <w:pgSz w:w="12240" w:h="15840" w:orient="portrait"/>
          <w:cols w:equalWidth="0" w:num="1">
            <w:col w:w="10080"/>
          </w:cols>
          <w:pgMar w:left="1080" w:top="1089" w:right="1080" w:bottom="157" w:gutter="0" w:footer="0" w:header="0"/>
        </w:sectPr>
      </w:pPr>
    </w:p>
    <w:bookmarkStart w:id="48" w:name="page49"/>
    <w:bookmarkEnd w:id="48"/>
    <w:p>
      <w:pPr>
        <w:jc w:val="both"/>
        <w:spacing w:after="0" w:line="268" w:lineRule="auto"/>
        <w:rPr>
          <w:sz w:val="20"/>
          <w:szCs w:val="20"/>
          <w:color w:val="auto"/>
        </w:rPr>
      </w:pPr>
      <w:r>
        <w:rPr>
          <w:rFonts w:ascii="Arial" w:cs="Arial" w:eastAsia="Arial" w:hAnsi="Arial"/>
          <w:sz w:val="18"/>
          <w:szCs w:val="18"/>
          <w:b w:val="1"/>
          <w:bCs w:val="1"/>
          <w:color w:val="auto"/>
        </w:rPr>
        <w:t>anticipated. Side effects may also lead regulatory authorities to require stronger product warnings on the product label, costly post-marketing studies, and/or a REMS, among other possible requirements.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07" w:lineRule="exact"/>
        <w:rPr>
          <w:sz w:val="20"/>
          <w:szCs w:val="20"/>
          <w:color w:val="auto"/>
        </w:rPr>
      </w:pPr>
    </w:p>
    <w:p>
      <w:pPr>
        <w:jc w:val="both"/>
        <w:ind w:firstLine="490"/>
        <w:spacing w:after="0" w:line="386" w:lineRule="auto"/>
        <w:rPr>
          <w:sz w:val="20"/>
          <w:szCs w:val="20"/>
          <w:color w:val="auto"/>
        </w:rPr>
      </w:pPr>
      <w:r>
        <w:rPr>
          <w:rFonts w:ascii="Arial" w:cs="Arial" w:eastAsia="Arial" w:hAnsi="Arial"/>
          <w:sz w:val="15"/>
          <w:szCs w:val="15"/>
          <w:b w:val="1"/>
          <w:bCs w:val="1"/>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40" w:lineRule="exact"/>
        <w:rPr>
          <w:sz w:val="20"/>
          <w:szCs w:val="20"/>
          <w:color w:val="auto"/>
        </w:rPr>
      </w:pPr>
    </w:p>
    <w:p>
      <w:pPr>
        <w:ind w:left="1100"/>
        <w:spacing w:after="0" w:line="233" w:lineRule="auto"/>
        <w:rPr>
          <w:sz w:val="20"/>
          <w:szCs w:val="20"/>
          <w:color w:val="auto"/>
        </w:rPr>
      </w:pPr>
      <w:r>
        <w:rPr>
          <w:rFonts w:ascii="Arial" w:cs="Arial" w:eastAsia="Arial" w:hAnsi="Arial"/>
          <w:sz w:val="20"/>
          <w:szCs w:val="20"/>
          <w:b w:val="1"/>
          <w:bCs w:val="1"/>
          <w:color w:val="auto"/>
        </w:rPr>
        <w:t>regulatory authorities may suspend, withdraw or limit approvals of such product, or seek an injunction against its manufacture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regulatory authorities may require additional warnings on the label;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we may be required to create a medication guide outlining the risks of such side effects for distribution to patients or other requirements subject to a REMS;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we may be required to change the way a product is administered or conduct additional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we could be sued and held liable for harm caused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we may decide to remove the product from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we may not be able to achieve or maintain third-party payor coverage and adequate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-90170</wp:posOffset>
            </wp:positionV>
            <wp:extent cx="71120" cy="711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we may be subject to fines, injunctions or the imposition of civil or criminal penalties;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our reputation and physician or patient acceptance of our products may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120"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Lack of awareness or negative public opinion of monoclonal antibody therapies and increased regulatory scrutiny of monoclonal antibody therapies to prevent or treat COVID-19 may adversely impact the development or commercial success of our product candidates.</w:t>
      </w:r>
    </w:p>
    <w:p>
      <w:pPr>
        <w:spacing w:after="0" w:line="13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clinical and commercial success of our monoclonal antibody therapies being developed to prevent or treat COVID-19 will depend in part on public acceptance of the use of monoclonal antibody therapies to prevent or treat COVID-19.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0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More restrictive government regulations or negative public opinion may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106"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approvals.</w:t>
      </w:r>
    </w:p>
    <w:p>
      <w:pPr>
        <w:spacing w:after="0" w:line="130"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47</w:t>
      </w:r>
    </w:p>
    <w:p>
      <w:pPr>
        <w:sectPr>
          <w:pgSz w:w="12240" w:h="15840" w:orient="portrait"/>
          <w:cols w:equalWidth="0" w:num="1">
            <w:col w:w="10080"/>
          </w:cols>
          <w:pgMar w:left="1080" w:top="1089" w:right="1080" w:bottom="157" w:gutter="0" w:footer="0" w:header="0"/>
        </w:sectPr>
      </w:pPr>
    </w:p>
    <w:bookmarkStart w:id="49" w:name="page50"/>
    <w:bookmarkEnd w:id="49"/>
    <w:p>
      <w:pPr>
        <w:jc w:val="both"/>
        <w:spacing w:after="0" w:line="386" w:lineRule="auto"/>
        <w:rPr>
          <w:sz w:val="20"/>
          <w:szCs w:val="20"/>
          <w:color w:val="auto"/>
        </w:rPr>
      </w:pPr>
      <w:r>
        <w:rPr>
          <w:rFonts w:ascii="Arial" w:cs="Arial" w:eastAsia="Arial" w:hAnsi="Arial"/>
          <w:sz w:val="15"/>
          <w:szCs w:val="15"/>
          <w:b w:val="1"/>
          <w:bCs w:val="1"/>
          <w:color w:val="auto"/>
        </w:rPr>
        <w:t>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24"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in vitro analyses examining the neutralizing activity of adintrevimab against the Omicron SARS-CoV-2 BA.1 variant in both authentic and pseudovirus assays, in January 2022 we paused enrollment of new patients in both our EVADE (evaluating adintrevimab for the prevention of COVID-19) and STAMP (evaluating adintrevimab for the treatment of COVID-19) clinical trials to assess dosing strategy and revise our trial protocols in light of the global spread of the Omicron variant and its sublineages; we reported preliminary safety and efficacy data from both trials in March 2022, but as a result of the lack of neutralizing activity against the Omicron BA.2 variant, we paused the submission of an EUA request, and we have closed such trials. Trials may also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10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severity and difficulty of diagnosing the disease under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contraction of the public health crisis caused by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eligibility and exclusion criteria for the trial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size of the patient population and process for identifying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the impact infection prevalence may have on enrollment, as well as the emergence and evolution of SARS-CoV-2 variants, which may impact the prevalent variant of infection for patients at one or more clinical trial sites and adversely impact enrollment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our ability to recruit clinical trial investigators with the appropriate competencies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the design of the trial protocol, including but not limited to the use of a placebo control or active comparator;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-82550</wp:posOffset>
            </wp:positionV>
            <wp:extent cx="71120" cy="711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7"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perceived risks and benefits of the product candidate in the trial, including relating to monoclonal antibody and/or vaccine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availability of competing commercially available therapies and other competing therapeutic candidates’ clinical trials for the disease or condition under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willingness of patients to be enrolled in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ability to obtain and maintain subject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local, national and/or employer COVID-19 vaccine mandates;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efforts to facilitate timely enrollment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52" w:lineRule="auto"/>
        <w:rPr>
          <w:sz w:val="20"/>
          <w:szCs w:val="20"/>
          <w:color w:val="auto"/>
        </w:rPr>
      </w:pPr>
      <w:r>
        <w:rPr>
          <w:rFonts w:ascii="Arial" w:cs="Arial" w:eastAsia="Arial" w:hAnsi="Arial"/>
          <w:sz w:val="19"/>
          <w:szCs w:val="19"/>
          <w:b w:val="1"/>
          <w:bCs w:val="1"/>
          <w:color w:val="auto"/>
        </w:rPr>
        <w:t>potential disruptions caused by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-541655</wp:posOffset>
            </wp:positionV>
            <wp:extent cx="71120" cy="711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patient referral practices of physicians;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ability to monitor patients adequately during and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the risk that subjects enrolled in our clinical trials will drop out of the trials before completion;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proximity and availability of clinical trial sites for prospective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Our inability to enroll, or maintain the enrollment of, a sufficient number of patients for clinical trials would result in significant delays and could require us to abandon one or more clinical trials altogether. Enrollment pauses or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48</w:t>
      </w:r>
    </w:p>
    <w:p>
      <w:pPr>
        <w:sectPr>
          <w:pgSz w:w="12240" w:h="15840" w:orient="portrait"/>
          <w:cols w:equalWidth="0" w:num="1">
            <w:col w:w="10080"/>
          </w:cols>
          <w:pgMar w:left="1080" w:top="1089" w:right="1080" w:bottom="157" w:gutter="0" w:footer="0" w:header="0"/>
        </w:sectPr>
      </w:pPr>
    </w:p>
    <w:bookmarkStart w:id="50" w:name="page51"/>
    <w:bookmarkEnd w:id="50"/>
    <w:p>
      <w:pPr>
        <w:jc w:val="both"/>
        <w:ind w:firstLine="490"/>
        <w:spacing w:after="0" w:line="252" w:lineRule="auto"/>
        <w:rPr>
          <w:sz w:val="20"/>
          <w:szCs w:val="20"/>
          <w:color w:val="auto"/>
        </w:rPr>
      </w:pPr>
      <w:r>
        <w:rPr>
          <w:rFonts w:ascii="Arial" w:cs="Arial" w:eastAsia="Arial" w:hAnsi="Arial"/>
          <w:sz w:val="19"/>
          <w:szCs w:val="19"/>
          <w:b w:val="1"/>
          <w:bCs w:val="1"/>
          <w:color w:val="auto"/>
        </w:rPr>
        <w:t>Breakthrough therapy designation in the U.S. or the equivalent thereof in foreign jurisdictions (where available) for any product candidate may not lead to a faster development or regulatory review or approval process, and it does not increase the likelihood that the product candidate will receive marketing approval.</w:t>
      </w:r>
    </w:p>
    <w:p>
      <w:pPr>
        <w:spacing w:after="0" w:line="12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We may, in the future, apply for breakthrough therapy designation in the U.S., if we determine to pursue a BLA,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10"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Designation as a breakthrough therapy is within the discretion of the FDA. Accordingly, even if we determine to pursue a BLA and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109"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73"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Because we have limited financial and management resources, we must focus on development programs and product candidates that we identify for specific indications. As such, we are currently focused on advancing antibodies into clinical trials for the prevention and treatment of COVID-19 and other infectious diseases.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67"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plan to conduct and may in the future conduct additional clinical trials for our product candidates outside the U.S., and the FDA and similar foreign regulatory authorities may not accept data from such trials conducted in locations outside of their jurisdiction.</w:t>
      </w:r>
    </w:p>
    <w:p>
      <w:pPr>
        <w:spacing w:after="0" w:line="13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plan to conduct and may in the future conduct additional clinical trials for our product candidates outside the U.S. The acceptance of trial data from clinical trials conducted outside the U.S. by the FDA may be subject to certain conditions or may not be accepted at all. For example, in order for the FDA to accept a foreign clinical trial as support for an investigational new drug application or application for marketing approval, the FDA requires the following conditions are met: (i) the trial was conducted in accordance with cGCP standards, and (ii) the FDA is able to validate the data from the trial through an onsite inspection if the FDA deems it necessary.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03"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We may not be successful in our efforts to build a pipeline of additional product candidates through internal efforts or through partnerships for discovery of novel antibody product candidates.</w:t>
      </w:r>
    </w:p>
    <w:p>
      <w:pPr>
        <w:spacing w:after="0" w:line="132"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authorization or approval and achieve market acceptance. Further, even if we obtain authorization or approval for a product candidate for one indication that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49</w:t>
      </w:r>
    </w:p>
    <w:p>
      <w:pPr>
        <w:sectPr>
          <w:pgSz w:w="12240" w:h="15840" w:orient="portrait"/>
          <w:cols w:equalWidth="0" w:num="1">
            <w:col w:w="10080"/>
          </w:cols>
          <w:pgMar w:left="1080" w:top="1089" w:right="1080" w:bottom="157" w:gutter="0" w:footer="0" w:header="0"/>
        </w:sectPr>
      </w:pPr>
    </w:p>
    <w:bookmarkStart w:id="51" w:name="page52"/>
    <w:bookmarkEnd w:id="51"/>
    <w:p>
      <w:pPr>
        <w:jc w:val="both"/>
        <w:spacing w:after="0" w:line="270" w:lineRule="auto"/>
        <w:rPr>
          <w:sz w:val="20"/>
          <w:szCs w:val="20"/>
          <w:color w:val="auto"/>
        </w:rPr>
      </w:pPr>
      <w:r>
        <w:rPr>
          <w:rFonts w:ascii="Arial" w:cs="Arial" w:eastAsia="Arial" w:hAnsi="Arial"/>
          <w:sz w:val="18"/>
          <w:szCs w:val="18"/>
          <w:b w:val="1"/>
          <w:bCs w:val="1"/>
          <w:color w:val="auto"/>
        </w:rPr>
        <w:t>may have potential for new or additional indications, we may determine that those additional indications are not worth pursuing for strategic reasons, including new legislation that may impact our ability to commercialize such compounds for such indications, if approved.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Our business and operations may be adversely affected by the evolving COVID-19 pandemic.</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evolving and constantly changing impact of COVID-19, which was declared a global pandemic by the WHO in March 2020, will directly affect the potential commercial prospects of our product candidates for the prevention and treatment of COVID-19. The severity of the disease and the global pandemic, the availability, administration and acceptance of vaccines, monoclonal antibodies, antiviral agents and other therapies, potential vaccine mandate policies, and the potential development of “herd immunity” by the global population will affect the design and enrollment of our clinical trials, the potential regulatory authorization or approval of our product candidates and the commercialization of our product candidates, if authorized or approved.</w:t>
      </w:r>
    </w:p>
    <w:p>
      <w:pPr>
        <w:spacing w:after="0" w:line="124"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as well as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Additionally, on September 9, 2021, President Biden issued an executive order obligating parties that contract with the federal government to require their employees to be fully vaccinated against COVID-19, with limited exceptions for certain accommodations, and on November 5, 2021 the Department of Labor’s Occupational Safety and Health Administration (“OSHA”) issued an emergency temporary standard (the “ETS”) requiring all private employers with 100 or more workers to mandate COVID-19 vaccination or produce a weekly test for all employees. Although the executive order has been the subject of legal challenges and is currently enjoined nationwide, there can be no assurance that the executive order will not be upheld and enforced or that President Biden will not issue another executive order. Further, while the ETS was withdrawn effective January 26, 2022, OSHA has not withdrawn the ETS as a proposed rule. As a company that is likely to have 100 employees at the time such rule may become a final standard, we would be required to mandate COVID-19 vaccination of our workforce or require our unvaccinated employees to be tested weekly if the proposed rule becomes a final standard or if the executive order is upheld in the courts and we were to contract with the federal government. We or our suppliers may incur increased costs, labor disruptions or employee attrition as a result of these or similar mandates. If we or other companies in our supply chain lose employees, it may be difficult in the current competitive labor market to find replacement employees, and this could have a material adverse effect on our business and results of operations.</w:t>
      </w:r>
    </w:p>
    <w:p>
      <w:pPr>
        <w:spacing w:after="0" w:line="106"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To date, we have experienced some delays in our development activities as a result of the COVID-19 pandemic. In the future, we anticipate there could be additional or even significant disruptions, delays or uncertainties in our development activities as a result of the COVID-19 pandemic, including the ongoing shutdowns in China, as outbreaks occur and progress and some of our CROs, CDMOs and other service providers continue to be impacted. In December 2020, shipment of adintrevimab clinical supply by WuXi Biologics was delayed due to the introduction by the Chinese government of a new procedure for the approval of the export of products for the treatment of COVID-19. However, this type of delay is not anticipated to occur in the future, now that this export procedure has been implemented.</w:t>
      </w:r>
    </w:p>
    <w:p>
      <w:pPr>
        <w:spacing w:after="0" w:line="94"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In addition, we may experience related disruptions in the future that could severely impact our clinical trials, including:</w:t>
      </w:r>
    </w:p>
    <w:p>
      <w:pPr>
        <w:spacing w:after="0" w:line="169"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delays, difficulties or a suspension in clinical site initiation, including difficulties in recruiting clinical site investigators and clinical site 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interruption in clinical trial enrollment due to emergence of variant(s) against which VYD222 or any other product candidate is not anticipated to have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interruptions in our ability to manufacture and deliver drug supply for trials due to capacity constraints or lack of 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interruptions to our ability to supply clinical trial material to clinical trial sites due to supply chain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-82550</wp:posOffset>
            </wp:positionV>
            <wp:extent cx="71120" cy="711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50</w:t>
      </w:r>
    </w:p>
    <w:p>
      <w:pPr>
        <w:sectPr>
          <w:pgSz w:w="12240" w:h="15840" w:orient="portrait"/>
          <w:cols w:equalWidth="0" w:num="1">
            <w:col w:w="10080"/>
          </w:cols>
          <w:pgMar w:left="1080" w:top="1089" w:right="1080" w:bottom="157" w:gutter="0" w:footer="0" w:header="0"/>
        </w:sectPr>
      </w:pPr>
    </w:p>
    <w:bookmarkStart w:id="52" w:name="page53"/>
    <w:bookmarkEnd w:id="52"/>
    <w:p>
      <w:pPr>
        <w:jc w:val="both"/>
        <w:ind w:left="1100"/>
        <w:spacing w:after="0" w:line="281" w:lineRule="auto"/>
        <w:rPr>
          <w:sz w:val="20"/>
          <w:szCs w:val="20"/>
          <w:color w:val="auto"/>
        </w:rPr>
      </w:pPr>
      <w:r>
        <w:rPr>
          <w:rFonts w:ascii="Arial" w:cs="Arial" w:eastAsia="Arial" w:hAnsi="Arial"/>
          <w:sz w:val="18"/>
          <w:szCs w:val="18"/>
          <w:b w:val="1"/>
          <w:bCs w:val="1"/>
          <w:color w:val="auto"/>
        </w:rPr>
        <w:t>diversion of healthcare resources away from the conduct of clinical trials, including the diversion of hospitals serving as our clinical trial sites and hospital staff supporting the conduct of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8" w:lineRule="exact"/>
        <w:rPr>
          <w:sz w:val="20"/>
          <w:szCs w:val="20"/>
          <w:color w:val="auto"/>
        </w:rPr>
      </w:pPr>
    </w:p>
    <w:p>
      <w:pPr>
        <w:jc w:val="both"/>
        <w:ind w:left="1100"/>
        <w:spacing w:after="0" w:line="253" w:lineRule="auto"/>
        <w:rPr>
          <w:sz w:val="20"/>
          <w:szCs w:val="20"/>
          <w:color w:val="auto"/>
        </w:rPr>
      </w:pPr>
      <w:r>
        <w:rPr>
          <w:rFonts w:ascii="Arial" w:cs="Arial" w:eastAsia="Arial" w:hAnsi="Arial"/>
          <w:sz w:val="19"/>
          <w:szCs w:val="19"/>
          <w:b w:val="1"/>
          <w:bCs w:val="1"/>
          <w:color w:val="auto"/>
        </w:rPr>
        <w:t>changes in local regulations (including potential vaccine mandates) as part of a response to the COVID-19 outbreak that may require us to change the ways in which our clinical trials are conducted, which may result in unexpected costs, or to discontinue the clinical trials altogether;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-397510</wp:posOffset>
            </wp:positionV>
            <wp:extent cx="71120" cy="711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-389890</wp:posOffset>
            </wp:positionV>
            <wp:extent cx="71120" cy="711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uncertainty around patient enrollment rates due to unpredictable and variable regional rates of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-90170</wp:posOffset>
            </wp:positionV>
            <wp:extent cx="71120" cy="711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-389890</wp:posOffset>
            </wp:positionV>
            <wp:extent cx="71120" cy="711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309" w:lineRule="auto"/>
        <w:rPr>
          <w:sz w:val="20"/>
          <w:szCs w:val="20"/>
          <w:color w:val="auto"/>
        </w:rPr>
      </w:pPr>
      <w:r>
        <w:rPr>
          <w:rFonts w:ascii="Arial" w:cs="Arial" w:eastAsia="Arial" w:hAnsi="Arial"/>
          <w:sz w:val="17"/>
          <w:szCs w:val="17"/>
          <w:b w:val="1"/>
          <w:bCs w:val="1"/>
          <w:color w:val="auto"/>
        </w:rPr>
        <w:t>delays in necessary interactions with local regulators, ethics committees and other important agencies and contractors due to limitations in employee resources or forced furlough of government employees;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-278130</wp:posOffset>
            </wp:positionV>
            <wp:extent cx="71120" cy="711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9"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refusal of the FDA and other regulatory authorities to accept data from clinical trials in these affected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-68580</wp:posOffset>
            </wp:positionV>
            <wp:extent cx="71120" cy="711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5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 spread of COVID-19, which has caused a broad impact globally, may materially affect us economically. While the potential economic impact brought by, and the duration of, the COVID-19 pandemic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93"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The global COVID-19 pandemic continues to rapidly evolve, particularly with regard to the rapid global spread of the Omicron variant and its sublineages. The extent to which the COVID-19 pandemic impacts our business and operations, including our clinical development and regulatory efforts, will depend on future developments that are highly uncertain and cannot be predicted with confidence as of the date of this Annual Report, such as the ultimate geographic spread of the disease and the neutralizing activity of VYD222, adintrevimab and any other product candidates against the dominant circulating variant(s) at any given time, the duration of the outbreak, the duration and effect of business disruptions and the short-term effects and ultimate effectiveness of the travel restrictions, quarantines, social distancing requirements and business closures in the U.S.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29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addition, to the extent the COVID-19 pandemic adversely affects our business, financial condition and results of operations, it may also have the effect of heightening many of the other risks and uncertainties described in this “Risk Factors” section.</w:t>
      </w:r>
    </w:p>
    <w:p>
      <w:pPr>
        <w:spacing w:after="0" w:line="13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may develop VYD222, adintrevimab and future product candidates for use in combination with other therapies or third-party product candidates, which exposes us to additional regulatory risks.</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We may develop VYD222, adintrevimab and future product candidates for use in combination with one or more currently authorized or approved therapies to prevent or treat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for the prevention and treatment of COVID-19, and in the future the FDA, EMA and comparable foreign regulatory authorities may determine that monotherapy products should not be approved for the prevention or treatment of COVID-19, eliminating our ability to commercialize VYD222, adintrevimab or any other product candidate as a monotherapy treatment for the prevention or treatment of COVID-19.</w:t>
      </w:r>
    </w:p>
    <w:p>
      <w:pPr>
        <w:spacing w:after="0" w:line="96"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We may also evaluate VYD222, adintrevimab or any future product candidate in combination with one or more other third-party product candidates that have not yet been approved for marketing by the FDA, EMA or comparable foreign regulatory authorities. If so, we will not be able to market and sell VYD222, adintrevimab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VYD222,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51</w:t>
      </w:r>
    </w:p>
    <w:p>
      <w:pPr>
        <w:sectPr>
          <w:pgSz w:w="12240" w:h="15840" w:orient="portrait"/>
          <w:cols w:equalWidth="0" w:num="1">
            <w:col w:w="10080"/>
          </w:cols>
          <w:pgMar w:left="1080" w:top="1104" w:right="1080" w:bottom="157" w:gutter="0" w:footer="0" w:header="0"/>
        </w:sectPr>
      </w:pPr>
    </w:p>
    <w:bookmarkStart w:id="53" w:name="page54"/>
    <w:bookmarkEnd w:id="53"/>
    <w:p>
      <w:pPr>
        <w:jc w:val="both"/>
        <w:spacing w:after="0" w:line="234" w:lineRule="auto"/>
        <w:rPr>
          <w:sz w:val="20"/>
          <w:szCs w:val="20"/>
          <w:color w:val="auto"/>
        </w:rPr>
      </w:pPr>
      <w:r>
        <w:rPr>
          <w:rFonts w:ascii="Arial" w:cs="Arial" w:eastAsia="Arial" w:hAnsi="Arial"/>
          <w:sz w:val="20"/>
          <w:szCs w:val="20"/>
          <w:b w:val="1"/>
          <w:bCs w:val="1"/>
          <w:color w:val="auto"/>
        </w:rPr>
        <w:t>adintrevimab or any product candidate we develop, we may be unable to obtain approval of or market any such product candidate.</w:t>
      </w:r>
    </w:p>
    <w:p>
      <w:pPr>
        <w:spacing w:after="0" w:line="13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Even if our product candidates obtain regulatory approval, they may be negatively impacted by future development or regulatory difficulties.</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will be subject to continued compliance with cGMP and cGCP requirements for any clinical trials that we conduct post-approval. If we or any of the third parties on which we rely fail to meet those requirements, the FDA or comparable regulatory authorities outside the U.S. could initiate enforcement action.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U.S. becomes aware of new safety information, it can impose additional restrictions on how the product is marketed or may seek to withdraw marketing approval altogether.</w:t>
      </w:r>
    </w:p>
    <w:p>
      <w:pPr>
        <w:spacing w:after="0" w:line="96"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The United Kingdom’s withdrawal from the European Union may adversely impact our ability to obtain regulatory approvals of our product candidates in the European Union and United Kingdom, result in restrictions or imposition of taxes and duties for importing our product candidates into the European Union and United Kingdom and require us to incur additional expenses in order to develop, manufacture and commercialize our product candidates in the European Union and United Kingdom.</w:t>
      </w:r>
    </w:p>
    <w:p>
      <w:pPr>
        <w:spacing w:after="0" w:line="134"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(the “Transition Period”) during which European Union rules continued to apply. A trade and cooperation agreement (the “Trade Cooperation Agreement”) that outlines the post-Transition Period trading relationship between the United Kingdom and the European Union was agreed to in December 2020 and was formally entered into on May 1, 2021.</w:t>
      </w:r>
    </w:p>
    <w:p>
      <w:pPr>
        <w:spacing w:after="0" w:line="108" w:lineRule="exact"/>
        <w:rPr>
          <w:sz w:val="20"/>
          <w:szCs w:val="20"/>
          <w:color w:val="auto"/>
        </w:rPr>
      </w:pPr>
    </w:p>
    <w:p>
      <w:pPr>
        <w:jc w:val="both"/>
        <w:ind w:firstLine="490"/>
        <w:spacing w:after="0" w:line="322" w:lineRule="auto"/>
        <w:rPr>
          <w:sz w:val="20"/>
          <w:szCs w:val="20"/>
          <w:color w:val="auto"/>
        </w:rPr>
      </w:pPr>
      <w:r>
        <w:rPr>
          <w:rFonts w:ascii="Arial" w:cs="Arial" w:eastAsia="Arial" w:hAnsi="Arial"/>
          <w:sz w:val="15"/>
          <w:szCs w:val="15"/>
          <w:b w:val="1"/>
          <w:bCs w:val="1"/>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development, manufacture, importation, approval and commercialization of our product candidates in the United Kingdom. For example, Great Britain (England, Scotland and Wales) is no longer covered by the centralized procedures for obtaining European Union-wide marketing authorizations from the European Commission, and a separate marketing authorization is required to market our product candidates in Great Britain. Northern Ireland, however, continues to be covered by the marketing authorizations granted by the European Commission, but this is expected to change so that Northern Ireland would be subject to the same MHRA authorization procedures as Great Britain if the Windsor Framework announced by the United Kingdom government on February 27, 2023 is approved. All of these changes could increase our costs and otherwise adversely affect our business. Any delay in obtaining, or an inability to obtain, any marketing approvals, as a result of Brexit or otherwise, would delay or prevent us from commercializing our product candidates in the United Kingdom and limit our ability to generate revenue and achieve and sustain profitability. The Annex to the Trade and Cooperation Agreement further provides a framework for the recognition of cGMP inspections and for the exchange and acceptance of official cGMP documents. The regime does not, however, extended to procedures such as batch release certification. Among the changes that have occurred are that Great Britain (England, Scotland and Wales) is treated as a “third country,” a country that is not a member of the European Union and whose citizens do not enjoy the European Union right to free movement. Northern Ireland continues to follow many aspects of the European Union regulatory rules, particularly in relation to trade in goods. As part of the Trade and Cooperation Agreement, the European Union and the United Kingdom recognize cGMP inspections carried out by the other party and the acceptance of official cGMP documents issued by the other party. The Trade and Cooperation Agreement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 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 While the Trade and Cooperation Agreement provides for the tariff-free trade of medicinal products between the United Kingdom and the European Union, there are additional non-tariff costs to such trade that did not exist prior to the end of the post-Brexit Transition Period. Further, should the United Kingdom diverge from the European Union from a regulatory perspective in relation to medicinal products, tariffs could be put into place in the future. We could therefore, both now and in the future, face significant additional expenses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52</w:t>
      </w:r>
    </w:p>
    <w:p>
      <w:pPr>
        <w:sectPr>
          <w:pgSz w:w="12240" w:h="15840" w:orient="portrait"/>
          <w:cols w:equalWidth="0" w:num="1">
            <w:col w:w="10080"/>
          </w:cols>
          <w:pgMar w:left="1080" w:top="1089" w:right="1080" w:bottom="157" w:gutter="0" w:footer="0" w:header="0"/>
        </w:sectPr>
      </w:pPr>
    </w:p>
    <w:bookmarkStart w:id="54" w:name="page55"/>
    <w:bookmarkEnd w:id="54"/>
    <w:p>
      <w:pPr>
        <w:jc w:val="both"/>
        <w:spacing w:after="0" w:line="288" w:lineRule="auto"/>
        <w:rPr>
          <w:sz w:val="20"/>
          <w:szCs w:val="20"/>
          <w:color w:val="auto"/>
        </w:rPr>
      </w:pPr>
      <w:r>
        <w:rPr>
          <w:rFonts w:ascii="Arial" w:cs="Arial" w:eastAsia="Arial" w:hAnsi="Arial"/>
          <w:sz w:val="17"/>
          <w:szCs w:val="17"/>
          <w:b w:val="1"/>
          <w:bCs w:val="1"/>
          <w:color w:val="auto"/>
        </w:rPr>
        <w:t>(when compared to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Manufacturing of our Product Candidates</w:t>
      </w:r>
    </w:p>
    <w:p>
      <w:pPr>
        <w:spacing w:after="0" w:line="131"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Monoclonal antibody therapies are complex and difficult to manufacture, and we rely on contract manufacturers for access to capacity. We could experience manufacturing problems, may be unable to access desired manufacturing capacity within desired timeframes, or may be unable to access raw materials due to global supply chain shortages or otherwise, that result in delays in the development or commercialization of our product candidates or otherwise harm our business.</w:t>
      </w:r>
    </w:p>
    <w:p>
      <w:pPr>
        <w:spacing w:after="0" w:line="9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manufacture of monoclonal antibody and other protein-based therapies are technically complex and necessitate substantial expertise and capital investment. Production difficulties caused by unforeseen events may delay the availability of material for our clinical trials or commercialization efforts.</w:t>
      </w:r>
    </w:p>
    <w:p>
      <w:pPr>
        <w:spacing w:after="0" w:line="130"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other foreign or state regulatory authorities. If we or our manufacturers were to fail to comply with the FDA, EMA or other foreign or state regulatory authorities,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96"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 our product candidates could result in unanticipated or unfavorable effects in our manufacturing processes or product quality or timelines, resulting in delays.</w:t>
      </w:r>
    </w:p>
    <w:p>
      <w:pPr>
        <w:spacing w:after="0" w:line="300"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Any delay, failure or inability to manufacture or test on a timely basis can impact the timelines for our clinical trials or our commercialization plans. Such delay, failure or inability to manufacture or test can result from:</w:t>
      </w:r>
    </w:p>
    <w:p>
      <w:pPr>
        <w:spacing w:after="0" w:line="108" w:lineRule="exact"/>
        <w:rPr>
          <w:sz w:val="20"/>
          <w:szCs w:val="20"/>
          <w:color w:val="auto"/>
        </w:rPr>
      </w:pPr>
    </w:p>
    <w:p>
      <w:pPr>
        <w:jc w:val="both"/>
        <w:ind w:left="1100"/>
        <w:spacing w:after="0" w:line="253" w:lineRule="auto"/>
        <w:rPr>
          <w:sz w:val="20"/>
          <w:szCs w:val="20"/>
          <w:color w:val="auto"/>
        </w:rPr>
      </w:pPr>
      <w:r>
        <w:rPr>
          <w:rFonts w:ascii="Arial" w:cs="Arial" w:eastAsia="Arial" w:hAnsi="Arial"/>
          <w:sz w:val="19"/>
          <w:szCs w:val="19"/>
          <w:b w:val="1"/>
          <w:bCs w:val="1"/>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-690245</wp:posOffset>
            </wp:positionV>
            <wp:extent cx="71120" cy="711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1100"/>
        <w:spacing w:after="0" w:line="271" w:lineRule="auto"/>
        <w:rPr>
          <w:sz w:val="20"/>
          <w:szCs w:val="20"/>
          <w:color w:val="auto"/>
        </w:rPr>
      </w:pPr>
      <w:r>
        <w:rPr>
          <w:rFonts w:ascii="Arial" w:cs="Arial" w:eastAsia="Arial" w:hAnsi="Arial"/>
          <w:sz w:val="18"/>
          <w:szCs w:val="18"/>
          <w:b w:val="1"/>
          <w:bCs w:val="1"/>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-552450</wp:posOffset>
            </wp:positionV>
            <wp:extent cx="71120" cy="711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9"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b w:val="1"/>
          <w:bCs w:val="1"/>
          <w:color w:val="auto"/>
        </w:rPr>
        <w:t>inability to obtain manufacturing or testing slots within desired timeframes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-491490</wp:posOffset>
            </wp:positionV>
            <wp:extent cx="71120" cy="711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3" w:lineRule="exact"/>
        <w:rPr>
          <w:sz w:val="20"/>
          <w:szCs w:val="20"/>
          <w:color w:val="auto"/>
        </w:rPr>
      </w:pPr>
    </w:p>
    <w:p>
      <w:pPr>
        <w:ind w:left="1100" w:right="440"/>
        <w:spacing w:after="0" w:line="447" w:lineRule="auto"/>
        <w:rPr>
          <w:sz w:val="20"/>
          <w:szCs w:val="20"/>
          <w:color w:val="auto"/>
        </w:rPr>
      </w:pPr>
      <w:r>
        <w:rPr>
          <w:rFonts w:ascii="Arial" w:cs="Arial" w:eastAsia="Arial" w:hAnsi="Arial"/>
          <w:sz w:val="17"/>
          <w:szCs w:val="17"/>
          <w:b w:val="1"/>
          <w:bCs w:val="1"/>
          <w:color w:val="auto"/>
        </w:rPr>
        <w:t>unfavorable FDA, EMA or other foreign or state regulatory inspection of the manufacturing or testing site; inability to procure raw materials and reagents due to global supply chain shortages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-421005</wp:posOffset>
            </wp:positionV>
            <wp:extent cx="71120" cy="711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6">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-204470</wp:posOffset>
            </wp:positionV>
            <wp:extent cx="71120" cy="711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53</w:t>
      </w:r>
    </w:p>
    <w:p>
      <w:pPr>
        <w:sectPr>
          <w:pgSz w:w="12240" w:h="15840" w:orient="portrait"/>
          <w:cols w:equalWidth="0" w:num="1">
            <w:col w:w="10080"/>
          </w:cols>
          <w:pgMar w:left="1080" w:top="1089" w:right="1080" w:bottom="157" w:gutter="0" w:footer="0" w:header="0"/>
        </w:sectPr>
      </w:pPr>
    </w:p>
    <w:bookmarkStart w:id="55" w:name="page56"/>
    <w:bookmarkEnd w:id="55"/>
    <w:p>
      <w:pPr>
        <w:ind w:left="1100"/>
        <w:spacing w:after="0"/>
        <w:rPr>
          <w:sz w:val="20"/>
          <w:szCs w:val="20"/>
          <w:color w:val="auto"/>
        </w:rPr>
      </w:pPr>
      <w:r>
        <w:rPr>
          <w:rFonts w:ascii="Arial" w:cs="Arial" w:eastAsia="Arial" w:hAnsi="Arial"/>
          <w:sz w:val="20"/>
          <w:szCs w:val="20"/>
          <w:b w:val="1"/>
          <w:bCs w:val="1"/>
          <w:color w:val="auto"/>
        </w:rPr>
        <w:t>loss, depletion or performance degradation of the cell line starting material;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1" w:lineRule="exact"/>
        <w:rPr>
          <w:sz w:val="20"/>
          <w:szCs w:val="20"/>
          <w:color w:val="auto"/>
        </w:rPr>
      </w:pPr>
    </w:p>
    <w:p>
      <w:pPr>
        <w:ind w:left="1100"/>
        <w:spacing w:after="0" w:line="222" w:lineRule="auto"/>
        <w:rPr>
          <w:sz w:val="20"/>
          <w:szCs w:val="20"/>
          <w:color w:val="auto"/>
        </w:rPr>
      </w:pPr>
      <w:r>
        <w:rPr>
          <w:rFonts w:ascii="Arial" w:cs="Arial" w:eastAsia="Arial" w:hAnsi="Arial"/>
          <w:sz w:val="20"/>
          <w:szCs w:val="20"/>
          <w:b w:val="1"/>
          <w:bCs w:val="1"/>
          <w:color w:val="auto"/>
        </w:rPr>
        <w:t>loss of or close -down of any manufacturing facility used in the manufacture of our product candidates, or the inability to find alternative manufacturing capability in a timely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-229235</wp:posOffset>
            </wp:positionV>
            <wp:extent cx="71120" cy="711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0" w:lineRule="exact"/>
        <w:rPr>
          <w:sz w:val="20"/>
          <w:szCs w:val="20"/>
          <w:color w:val="auto"/>
        </w:rPr>
      </w:pPr>
    </w:p>
    <w:p>
      <w:pPr>
        <w:jc w:val="both"/>
        <w:ind w:firstLine="490"/>
        <w:spacing w:after="0" w:line="244" w:lineRule="auto"/>
        <w:rPr>
          <w:sz w:val="20"/>
          <w:szCs w:val="20"/>
          <w:color w:val="auto"/>
        </w:rPr>
      </w:pPr>
      <w:r>
        <w:rPr>
          <w:rFonts w:ascii="Arial" w:cs="Arial" w:eastAsia="Arial" w:hAnsi="Arial"/>
          <w:sz w:val="18"/>
          <w:szCs w:val="18"/>
          <w:b w:val="1"/>
          <w:b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106"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5"/>
          <w:szCs w:val="15"/>
          <w:b w:val="1"/>
          <w:bCs w:val="1"/>
          <w:color w:val="auto"/>
        </w:rPr>
        <w:t>All entities involved in the preparation of therapeutics for clinical trials or commercial sale, including our existing contract manufacturers and testing facilities, labeling, packaging and storage facilities, and distributors, are subject to extensive regulation. Components of a finished therapeutic product approved for commercial sale or used in clinical trials must be manufactured, tested, and stored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EUA,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authorization of an EUA or approval of a BLA or MAA) if the facilities or quality systems of our or any of our CDMOs do not pass such audit or inspections. Certain of our CDMO’s facilities have not yet been inspected by regulatory authorities. If any of our CDMO’s facilities do not pass a pre-approval or other facility inspection, FDA or European Commission approval (or authorization under an EUA) of the products will not be granted.</w:t>
      </w:r>
    </w:p>
    <w:p>
      <w:pPr>
        <w:spacing w:after="0" w:line="277"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7"/>
          <w:szCs w:val="17"/>
          <w:b w:val="1"/>
          <w:bCs w:val="1"/>
          <w:color w:val="auto"/>
        </w:rPr>
        <w:t>The regulatory authorities also may, at any time following approval of a product for sale, inspect or audit us or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other regulatory authorities can impose regulatory sanctions, including, among other things, refusal to approve a pending application or to issue a positive opinion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98"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17"/>
          <w:szCs w:val="17"/>
          <w:b w:val="1"/>
          <w:bCs w:val="1"/>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11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depend on sole-source third-party suppliers for materials that are necessary for the conduct of preclinical studies and manufacture and testing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105"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7"/>
          <w:szCs w:val="17"/>
          <w:b w:val="1"/>
          <w:bCs w:val="1"/>
          <w:color w:val="auto"/>
        </w:rPr>
        <w:t>Manufacturing and testing our product candidates require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Biologics as the procurer of the raw materials used in the manufacture of our product candidates, including certain single-source purification resins and cell culture media, which increases the risk of delays in production. In addition, to date, we have relied on WuXi Biologics as our only CDMO. The loss of this CDMO or its failure to supply us with material to support our commercial development program on a timely basis could impair our ability to develop our product candidates or otherwise delay the development process, which could adversely affect our business, financial condition and results of operations.</w:t>
      </w:r>
    </w:p>
    <w:p>
      <w:pPr>
        <w:spacing w:after="0" w:line="98" w:lineRule="exact"/>
        <w:rPr>
          <w:sz w:val="20"/>
          <w:szCs w:val="20"/>
          <w:color w:val="auto"/>
        </w:rPr>
      </w:pPr>
    </w:p>
    <w:p>
      <w:pPr>
        <w:jc w:val="both"/>
        <w:ind w:firstLine="490"/>
        <w:spacing w:after="0" w:line="352" w:lineRule="auto"/>
        <w:rPr>
          <w:sz w:val="20"/>
          <w:szCs w:val="20"/>
          <w:color w:val="auto"/>
        </w:rPr>
      </w:pPr>
      <w:r>
        <w:rPr>
          <w:rFonts w:ascii="Arial" w:cs="Arial" w:eastAsia="Arial" w:hAnsi="Arial"/>
          <w:sz w:val="15"/>
          <w:szCs w:val="15"/>
          <w:b w:val="1"/>
          <w:bCs w:val="1"/>
          <w:color w:val="auto"/>
        </w:rPr>
        <w:t>Some of our CDMO’s raw material suppliers may not have the capacity to support clinical and commercial products manufactured under cGMP by biopharmaceutical firms or may otherwise be ill-equipped to support our needs. We also do not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54</w:t>
      </w:r>
    </w:p>
    <w:p>
      <w:pPr>
        <w:sectPr>
          <w:pgSz w:w="12240" w:h="15840" w:orient="portrait"/>
          <w:cols w:equalWidth="0" w:num="1">
            <w:col w:w="10080"/>
          </w:cols>
          <w:pgMar w:left="1080" w:top="1074" w:right="1080" w:bottom="157" w:gutter="0" w:footer="0" w:header="0"/>
        </w:sectPr>
      </w:pPr>
    </w:p>
    <w:bookmarkStart w:id="56" w:name="page57"/>
    <w:bookmarkEnd w:id="56"/>
    <w:p>
      <w:pPr>
        <w:jc w:val="both"/>
        <w:spacing w:after="0" w:line="269" w:lineRule="auto"/>
        <w:rPr>
          <w:sz w:val="20"/>
          <w:szCs w:val="20"/>
          <w:color w:val="auto"/>
        </w:rPr>
      </w:pPr>
      <w:r>
        <w:rPr>
          <w:rFonts w:ascii="Arial" w:cs="Arial" w:eastAsia="Arial" w:hAnsi="Arial"/>
          <w:sz w:val="17"/>
          <w:szCs w:val="17"/>
          <w:b w:val="1"/>
          <w:bCs w:val="1"/>
          <w:color w:val="auto"/>
        </w:rPr>
        <w:t>have supply contracts with many of these suppliers directly, and we or our current or future CDMOs may not be able to obtain supply contracts with them on acceptable terms or at all. Accordingly, we or our current or future CDMOs may experience delays in receiving key raw materials and equipment to support clinical or commercial manufacturing.</w:t>
      </w:r>
    </w:p>
    <w:p>
      <w:pPr>
        <w:spacing w:after="0" w:line="84" w:lineRule="exact"/>
        <w:rPr>
          <w:sz w:val="20"/>
          <w:szCs w:val="20"/>
          <w:color w:val="auto"/>
        </w:rPr>
      </w:pPr>
    </w:p>
    <w:p>
      <w:pPr>
        <w:jc w:val="both"/>
        <w:ind w:firstLine="490"/>
        <w:spacing w:after="0" w:line="294" w:lineRule="auto"/>
        <w:rPr>
          <w:sz w:val="20"/>
          <w:szCs w:val="20"/>
          <w:color w:val="auto"/>
        </w:rPr>
      </w:pPr>
      <w:r>
        <w:rPr>
          <w:rFonts w:ascii="Arial" w:cs="Arial" w:eastAsia="Arial" w:hAnsi="Arial"/>
          <w:sz w:val="15"/>
          <w:szCs w:val="15"/>
          <w:b w:val="1"/>
          <w:bCs w:val="1"/>
          <w:color w:val="auto"/>
        </w:rPr>
        <w:t>For some of these specialty materials, we and our current or future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key suppliers or manufacturers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99"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13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Given the nature of monoclonal antibody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Changes in methods of product candidate manufacturing or formulation may result in additional costs or delay.</w:t>
      </w:r>
    </w:p>
    <w:p>
      <w:pPr>
        <w:spacing w:after="0" w:line="14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Commercialization of Our Product Candidates</w:t>
      </w:r>
    </w:p>
    <w:p>
      <w:pPr>
        <w:spacing w:after="0" w:line="107" w:lineRule="exact"/>
        <w:rPr>
          <w:sz w:val="20"/>
          <w:szCs w:val="20"/>
          <w:color w:val="auto"/>
        </w:rPr>
      </w:pPr>
    </w:p>
    <w:p>
      <w:pPr>
        <w:jc w:val="both"/>
        <w:ind w:firstLine="490"/>
        <w:spacing w:after="0" w:line="220" w:lineRule="auto"/>
        <w:rPr>
          <w:sz w:val="20"/>
          <w:szCs w:val="20"/>
          <w:color w:val="auto"/>
        </w:rPr>
      </w:pPr>
      <w:r>
        <w:rPr>
          <w:rFonts w:ascii="Arial" w:cs="Arial" w:eastAsia="Arial" w:hAnsi="Arial"/>
          <w:sz w:val="20"/>
          <w:szCs w:val="20"/>
          <w:b w:val="1"/>
          <w:bCs w:val="1"/>
          <w:color w:val="auto"/>
        </w:rPr>
        <w:t>Even if any of our product candidates receive marketing authorization or approval, they may fail to achieve the degree of market acceptance by physicians, patients, third-party payors and others in the medical community necessary for commercial success.</w:t>
      </w:r>
    </w:p>
    <w:p>
      <w:pPr>
        <w:spacing w:after="0" w:line="109" w:lineRule="exact"/>
        <w:rPr>
          <w:sz w:val="20"/>
          <w:szCs w:val="20"/>
          <w:color w:val="auto"/>
        </w:rPr>
      </w:pPr>
    </w:p>
    <w:p>
      <w:pPr>
        <w:jc w:val="both"/>
        <w:ind w:firstLine="490"/>
        <w:spacing w:after="0" w:line="218" w:lineRule="auto"/>
        <w:rPr>
          <w:sz w:val="20"/>
          <w:szCs w:val="20"/>
          <w:color w:val="auto"/>
        </w:rPr>
      </w:pPr>
      <w:r>
        <w:rPr>
          <w:rFonts w:ascii="Arial" w:cs="Arial" w:eastAsia="Arial" w:hAnsi="Arial"/>
          <w:sz w:val="20"/>
          <w:szCs w:val="20"/>
          <w:b w:val="1"/>
          <w:bCs w:val="1"/>
          <w:color w:val="auto"/>
        </w:rPr>
        <w:t>If any of our product candidates receive marketing authorization or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efficacy, safety and potential advantages compared to alternative treatments, including oral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-90170</wp:posOffset>
            </wp:positionV>
            <wp:extent cx="71120" cy="711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our ability to offer our products for sale at competitive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convenience and ease of administration compared to alternative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1" w:lineRule="exact"/>
        <w:rPr>
          <w:sz w:val="20"/>
          <w:szCs w:val="20"/>
          <w:color w:val="auto"/>
        </w:rPr>
      </w:pPr>
    </w:p>
    <w:p>
      <w:pPr>
        <w:jc w:val="both"/>
        <w:ind w:left="1100"/>
        <w:spacing w:after="0" w:line="219" w:lineRule="auto"/>
        <w:rPr>
          <w:sz w:val="20"/>
          <w:szCs w:val="20"/>
          <w:color w:val="auto"/>
        </w:rPr>
      </w:pPr>
      <w:r>
        <w:rPr>
          <w:rFonts w:ascii="Arial" w:cs="Arial" w:eastAsia="Arial" w:hAnsi="Arial"/>
          <w:sz w:val="20"/>
          <w:szCs w:val="20"/>
          <w:b w:val="1"/>
          <w:bCs w:val="1"/>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-358775</wp:posOffset>
            </wp:positionV>
            <wp:extent cx="71120" cy="711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jc w:val="both"/>
        <w:ind w:left="1100"/>
        <w:spacing w:after="0" w:line="222" w:lineRule="auto"/>
        <w:rPr>
          <w:sz w:val="20"/>
          <w:szCs w:val="20"/>
          <w:color w:val="auto"/>
        </w:rPr>
      </w:pPr>
      <w:r>
        <w:rPr>
          <w:rFonts w:ascii="Arial" w:cs="Arial" w:eastAsia="Arial" w:hAnsi="Arial"/>
          <w:sz w:val="20"/>
          <w:szCs w:val="20"/>
          <w:b w:val="1"/>
          <w:bCs w:val="1"/>
          <w:color w:val="auto"/>
        </w:rPr>
        <w:t>the willingness of the target patient population to try new treatments and of physicians to prescribe these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-228600</wp:posOffset>
            </wp:positionV>
            <wp:extent cx="71120" cy="711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55</w:t>
      </w:r>
    </w:p>
    <w:p>
      <w:pPr>
        <w:sectPr>
          <w:pgSz w:w="12240" w:h="15840" w:orient="portrait"/>
          <w:cols w:equalWidth="0" w:num="1">
            <w:col w:w="10080"/>
          </w:cols>
          <w:pgMar w:left="1080" w:top="1070" w:right="1080" w:bottom="157" w:gutter="0" w:footer="0" w:header="0"/>
        </w:sectPr>
      </w:pPr>
    </w:p>
    <w:bookmarkStart w:id="57" w:name="page58"/>
    <w:bookmarkEnd w:id="57"/>
    <w:p>
      <w:pPr>
        <w:ind w:left="1100"/>
        <w:spacing w:after="0"/>
        <w:rPr>
          <w:sz w:val="20"/>
          <w:szCs w:val="20"/>
          <w:color w:val="auto"/>
        </w:rPr>
      </w:pPr>
      <w:r>
        <w:rPr>
          <w:rFonts w:ascii="Arial" w:cs="Arial" w:eastAsia="Arial" w:hAnsi="Arial"/>
          <w:sz w:val="20"/>
          <w:szCs w:val="20"/>
          <w:b w:val="1"/>
          <w:bCs w:val="1"/>
          <w:color w:val="auto"/>
        </w:rPr>
        <w:t>our ability to hire and retain a sales force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1"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strength of marketing and distribution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1" w:lineRule="exact"/>
        <w:rPr>
          <w:sz w:val="20"/>
          <w:szCs w:val="20"/>
          <w:color w:val="auto"/>
        </w:rPr>
      </w:pPr>
    </w:p>
    <w:p>
      <w:pPr>
        <w:ind w:left="1100"/>
        <w:spacing w:after="0" w:line="223" w:lineRule="auto"/>
        <w:rPr>
          <w:sz w:val="20"/>
          <w:szCs w:val="20"/>
          <w:color w:val="auto"/>
        </w:rPr>
      </w:pPr>
      <w:r>
        <w:rPr>
          <w:rFonts w:ascii="Arial" w:cs="Arial" w:eastAsia="Arial" w:hAnsi="Arial"/>
          <w:sz w:val="20"/>
          <w:szCs w:val="20"/>
          <w:b w:val="1"/>
          <w:bCs w:val="1"/>
          <w:color w:val="auto"/>
        </w:rPr>
        <w:t>the availability of third-party coverage and adequate reimbursement for any product candidates, once authorized or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-230505</wp:posOffset>
            </wp:positionV>
            <wp:extent cx="71120" cy="711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prevalence and severity of any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1" w:lineRule="exact"/>
        <w:rPr>
          <w:sz w:val="20"/>
          <w:szCs w:val="20"/>
          <w:color w:val="auto"/>
        </w:rPr>
      </w:pPr>
    </w:p>
    <w:p>
      <w:pPr>
        <w:ind w:left="1100"/>
        <w:spacing w:after="0" w:line="222" w:lineRule="auto"/>
        <w:rPr>
          <w:sz w:val="20"/>
          <w:szCs w:val="20"/>
          <w:color w:val="auto"/>
        </w:rPr>
      </w:pPr>
      <w:r>
        <w:rPr>
          <w:rFonts w:ascii="Arial" w:cs="Arial" w:eastAsia="Arial" w:hAnsi="Arial"/>
          <w:sz w:val="20"/>
          <w:szCs w:val="20"/>
          <w:b w:val="1"/>
          <w:bCs w:val="1"/>
          <w:color w:val="auto"/>
        </w:rPr>
        <w:t>any restrictions on the use of our products together with other medications or requirements that our products be used in combination with other products;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-229235</wp:posOffset>
            </wp:positionV>
            <wp:extent cx="71120" cy="711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ability to be effective against emerging variants as a monotherapy or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7" w:lineRule="exact"/>
        <w:rPr>
          <w:sz w:val="20"/>
          <w:szCs w:val="20"/>
          <w:color w:val="auto"/>
        </w:rPr>
      </w:pPr>
    </w:p>
    <w:p>
      <w:pPr>
        <w:jc w:val="both"/>
        <w:ind w:firstLine="490"/>
        <w:spacing w:after="0" w:line="219" w:lineRule="auto"/>
        <w:rPr>
          <w:sz w:val="20"/>
          <w:szCs w:val="20"/>
          <w:color w:val="auto"/>
        </w:rPr>
      </w:pPr>
      <w:r>
        <w:rPr>
          <w:rFonts w:ascii="Arial" w:cs="Arial" w:eastAsia="Arial" w:hAnsi="Arial"/>
          <w:sz w:val="20"/>
          <w:szCs w:val="20"/>
          <w:b w:val="1"/>
          <w:bCs w:val="1"/>
          <w:color w:val="auto"/>
        </w:rPr>
        <w:t>If we are unable to establish sales, marketing and distribution capabilities for VYD222, adintrevimab or any other product candidate that may receive regulatory authorization or approval, we may not be successful in commercializing those product candidates if and when they are authorized or approved.</w:t>
      </w:r>
    </w:p>
    <w:p>
      <w:pPr>
        <w:spacing w:after="0" w:line="112" w:lineRule="exact"/>
        <w:rPr>
          <w:sz w:val="20"/>
          <w:szCs w:val="20"/>
          <w:color w:val="auto"/>
        </w:rPr>
      </w:pPr>
    </w:p>
    <w:p>
      <w:pPr>
        <w:jc w:val="both"/>
        <w:ind w:firstLine="490"/>
        <w:spacing w:after="0" w:line="258" w:lineRule="auto"/>
        <w:rPr>
          <w:sz w:val="20"/>
          <w:szCs w:val="20"/>
          <w:color w:val="auto"/>
        </w:rPr>
      </w:pPr>
      <w:r>
        <w:rPr>
          <w:rFonts w:ascii="Arial" w:cs="Arial" w:eastAsia="Arial" w:hAnsi="Arial"/>
          <w:sz w:val="17"/>
          <w:szCs w:val="17"/>
          <w:b w:val="1"/>
          <w:bCs w:val="1"/>
          <w:color w:val="auto"/>
        </w:rPr>
        <w:t>We will need to establish a commercial infrastructure to support the anticipated marketing and distribution of our product candidates, which we will need to achieve commercial success for VYD222, adintrevimab or any other product candidate for which we may obtain authorization or marketing approval. There are risks involved with establishing our commercial infrastructure. For example, hiring a contract sales force or recruiting and training a sales force in the future is expensive and time consuming and could delay any product launch. If the commercial launch of a product candidate for which we hire a contract sales force or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0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Factors that may inhibit our efforts to market our products on our own include:</w:t>
      </w:r>
    </w:p>
    <w:p>
      <w:pPr>
        <w:spacing w:after="0" w:line="14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our inability to recruit, train and retain adequate numbers of effective sales and marketing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-90170</wp:posOffset>
            </wp:positionV>
            <wp:extent cx="71120" cy="711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the inability of sales personnel to obtain access to physicians in order to educate physicians about our product candidates, once authorized or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the lack of complementary products to be offered by sales personnel, which may put us at a competitive disadvantage relative to companies with more extensive product lines;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unforeseen costs and expenses associated with creating independent sales, marketing and market access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12"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The affected populations for our product candidates may be smaller than we or third parties currently project, which may affect the addressable markets for our product candidates.</w:t>
      </w:r>
    </w:p>
    <w:p>
      <w:pPr>
        <w:spacing w:after="0" w:line="132"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Our mission is to deliver antibody-based therapies that protect vulnerable people from the consequences of viral threats, beginning with COVID-19. Our projections of the number of people who are candidates to receive COVID-19 preventatives and treatments are estimates based on our knowledge and understanding of this disease. These estimates may prove to be incorrect and new studies may further reduce the estimated incidence or prevalence of this disease. The number of COVID-19 patients in the U.S., the European Union and elsewhere may turn out to be lower than expected, and patients may not be otherwise amenable to treatment with our product candidates or may become increasingly difficult to identify and access, all of which would adversely affect our financial condition, results of operations and prospects. Further, even if we obtain authorization or approval for our product candidates, the FDA or other regulators may limit their authorized or approved indications to more narrow uses or subpopulations within the populations for which we are targeting development of our product candidates.</w:t>
      </w:r>
    </w:p>
    <w:p>
      <w:pPr>
        <w:spacing w:after="0" w:line="108"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A decline, or a widespread perception of a decline, in the spread or severity of the COVID-19 pandemic, including disease due to variants with relative or absolute resistance to other products, or an increase in available alternative therapies for or widespread immunity to COVID-19, could reduce the total addressable market for our product candidates for the prevention and treatment of COVID-19. Similarly, if new SARS-CoV-2 variants are less impacted by our product candidates and their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56</w:t>
      </w:r>
    </w:p>
    <w:p>
      <w:pPr>
        <w:sectPr>
          <w:pgSz w:w="12240" w:h="15840" w:orient="portrait"/>
          <w:cols w:equalWidth="0" w:num="1">
            <w:col w:w="10080"/>
          </w:cols>
          <w:pgMar w:left="1080" w:top="1074" w:right="1080" w:bottom="157" w:gutter="0" w:footer="0" w:header="0"/>
        </w:sectPr>
      </w:pPr>
    </w:p>
    <w:bookmarkStart w:id="58" w:name="page59"/>
    <w:bookmarkEnd w:id="58"/>
    <w:p>
      <w:pPr>
        <w:jc w:val="both"/>
        <w:spacing w:after="0" w:line="312" w:lineRule="auto"/>
        <w:rPr>
          <w:sz w:val="20"/>
          <w:szCs w:val="20"/>
          <w:color w:val="auto"/>
        </w:rPr>
      </w:pPr>
      <w:r>
        <w:rPr>
          <w:rFonts w:ascii="Arial" w:cs="Arial" w:eastAsia="Arial" w:hAnsi="Arial"/>
          <w:sz w:val="17"/>
          <w:szCs w:val="17"/>
          <w:b w:val="1"/>
          <w:bCs w:val="1"/>
          <w:color w:val="auto"/>
        </w:rPr>
        <w:t>mechanism of action than expected and such variants become more prevalent in the ongoing pandemic, the number of patients that we will be able to successfully treat with our product candidates, if authorized or approved, will be decreased.</w:t>
      </w:r>
    </w:p>
    <w:p>
      <w:pPr>
        <w:spacing w:after="0" w:line="70"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total addressable market opportunity for our product candidates will ultimately depend upon a number of factors, including the diagnosis and treatment criteria included on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 party to model the future populations susceptible to and immune from SARS-CoV-2, based on assumptions such as vaccine adoption, efficacy, duration of effect, viral infectiousness and other factors we cannot control. Accordingly, these estimates included in this filing may turn out to be inaccurate. Further, the data and statistical information used in this Annual Report on Form 10-K, and in our other filings with the SEC, including estimates derived from them, may differ from information and estimates made by our competitors or from current or future studies conducted by independent sources.</w:t>
      </w:r>
    </w:p>
    <w:p>
      <w:pPr>
        <w:spacing w:after="0" w:line="99"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Any revenue we are able to generate in the future from product sales will be dependent, in part, upon the size of the market in the U.S. and any other jurisdiction for which we obtain an EUA or similar authorization or obtain regulatory approval and have commercial rights. If the markets or patient subsets that we are targeting are not as significant as we estimate, we may not generate significant revenues from sales of such products, even if approved.</w:t>
      </w:r>
    </w:p>
    <w:p>
      <w:pPr>
        <w:spacing w:after="0" w:line="104"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3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If our product candidates are approved by the FDA, the European Commission or other comparable foreign regulatory authorities, we may only promote or market our products for their specifically approved indications. We will train our marketing and sales force against promoting our products for uses outside of the approved indications for use, known as “off-label uses.” We cannot, however, prevent a physician from using our products off-label’. Furthermore, the use of our products for indications other than those authorized or approved by the FDA, European Commission or other comparable foreign regulatory authorities, may not effectively treat such conditions. Any such off-label use of our products could harm our reputation in the marketplace among physicians and patients. There may also be increased risk of injury to patients if physicians attempt to use our products for uses for which they are not authorized or approved, which could lead to product liability suits that might require significant financial and management resources and that could harm our reputation.</w:t>
      </w:r>
    </w:p>
    <w:p>
      <w:pPr>
        <w:spacing w:after="0" w:line="95"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Advertising and promotion of any product candidate that obtains approval in the U.S. will be heavily scrutinized by the FDA, the FTC, the Department of Justice (the “DOJ”), the Office of Inspector General of HHS, state attorneys general, members of the U.S. Congress, and the public. Additionally, advertising and promotion of any product candidate that obtains approval outside of the U.S.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 information to healthcare practitioners, injunctions, or civil or criminal penalties.</w:t>
      </w:r>
    </w:p>
    <w:p>
      <w:pPr>
        <w:spacing w:after="0" w:line="95"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advertising and promotion of our products in the European Union is subject to European Union Member States’ national laws implementing Directive 2006/114/EC concerning misleading and comparative advertising, and Directive 2005/29/EC on unfair commercial practices, as well as other national legislation of individual European Union Member State governing the advertising and promotion of medical devices. European Union Member States’ legislation may also restrict or impose limitations on our ability to advertise our products directly to the general public. In addition, voluntary European Union and national Codes of Conduct provide guidelines on the advertising and promotion of our products to the general public and may impose limitations on our promotional activities with healthcare professionals. Any actual or alleged failure to comply with promotion requirements may result in fines, warning letters, injunctions, or civil or criminal penalties.</w:t>
      </w:r>
    </w:p>
    <w:p>
      <w:pPr>
        <w:spacing w:after="0" w:line="97"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VYD222, adintrevimab and other monoclonal antibody product candidates may face significant competition from vaccines, antiviral agents and other therapeutics for COVID-19 that are currently available or in development.</w:t>
      </w:r>
    </w:p>
    <w:p>
      <w:pPr>
        <w:spacing w:after="0" w:line="96"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57</w:t>
      </w:r>
    </w:p>
    <w:p>
      <w:pPr>
        <w:sectPr>
          <w:pgSz w:w="12240" w:h="15840" w:orient="portrait"/>
          <w:cols w:equalWidth="0" w:num="1">
            <w:col w:w="10080"/>
          </w:cols>
          <w:pgMar w:left="1080" w:top="1089" w:right="1080" w:bottom="157" w:gutter="0" w:footer="0" w:header="0"/>
        </w:sectPr>
      </w:pPr>
    </w:p>
    <w:bookmarkStart w:id="59" w:name="page60"/>
    <w:bookmarkEnd w:id="59"/>
    <w:p>
      <w:pPr>
        <w:jc w:val="both"/>
        <w:spacing w:after="0" w:line="287" w:lineRule="auto"/>
        <w:rPr>
          <w:sz w:val="20"/>
          <w:szCs w:val="20"/>
          <w:color w:val="auto"/>
        </w:rPr>
      </w:pPr>
      <w:r>
        <w:rPr>
          <w:rFonts w:ascii="Arial" w:cs="Arial" w:eastAsia="Arial" w:hAnsi="Arial"/>
          <w:sz w:val="17"/>
          <w:szCs w:val="17"/>
          <w:b w:val="1"/>
          <w:bCs w:val="1"/>
          <w:color w:val="auto"/>
        </w:rPr>
        <w:t>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at a lower cost or is more successful at commercializing an approved therapeutic, we may not be able to successfully commercialize VYD222, adintrevimab or any other product candidate for the prevention and treatment of symptomatic COVID-19, even if authorized or approved, or compete with other therapeutics or vaccines, which could adversely impact our business and operations.</w:t>
      </w:r>
    </w:p>
    <w:p>
      <w:pPr>
        <w:spacing w:after="0" w:line="94"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U.S. and in foreign countries. Our current and potential future competitors may also have significantly more experience commercializing drugs, particularly monoclonal antibodies and other biological products, that have been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w:t>
      </w:r>
    </w:p>
    <w:p>
      <w:pPr>
        <w:spacing w:after="0" w:line="109"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will face competition from other drugs or from other non-drug products currently authorized, approved or that will be approved in the future for the treatment of diseases we intend to target. Therefore, our ability to compete successfully will depend largely on our ability to:</w:t>
      </w:r>
    </w:p>
    <w:p>
      <w:pPr>
        <w:spacing w:after="0" w:line="13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develop and commercialize drugs that are differentiated from products in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demonstrate through our clinical trials that our product candidates are differentiated from existing and future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right="2940"/>
        <w:spacing w:after="0" w:line="400" w:lineRule="auto"/>
        <w:rPr>
          <w:sz w:val="20"/>
          <w:szCs w:val="20"/>
          <w:color w:val="auto"/>
        </w:rPr>
      </w:pPr>
      <w:r>
        <w:rPr>
          <w:rFonts w:ascii="Arial" w:cs="Arial" w:eastAsia="Arial" w:hAnsi="Arial"/>
          <w:sz w:val="19"/>
          <w:szCs w:val="19"/>
          <w:b w:val="1"/>
          <w:bCs w:val="1"/>
          <w:color w:val="auto"/>
        </w:rPr>
        <w:t>attract qualified scientific, product development and commercial personnel; obtain patent or other proprietary protection for our medicines; obtain required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-652780</wp:posOffset>
            </wp:positionV>
            <wp:extent cx="71120" cy="711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97">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-421005</wp:posOffset>
            </wp:positionV>
            <wp:extent cx="71120" cy="711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98">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-189230</wp:posOffset>
            </wp:positionV>
            <wp:extent cx="71120" cy="711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235" w:lineRule="auto"/>
        <w:rPr>
          <w:sz w:val="20"/>
          <w:szCs w:val="20"/>
          <w:color w:val="auto"/>
        </w:rPr>
      </w:pPr>
      <w:r>
        <w:rPr>
          <w:rFonts w:ascii="Arial" w:cs="Arial" w:eastAsia="Arial" w:hAnsi="Arial"/>
          <w:sz w:val="20"/>
          <w:szCs w:val="20"/>
          <w:b w:val="1"/>
          <w:bCs w:val="1"/>
          <w:color w:val="auto"/>
        </w:rPr>
        <w:t>obtain placement in COVID-19 prevention and treatment guidelines from organizations such as the NIH, the CDC, the WHO and the Infectious Diseases Society of America (the “IDSA”), and equivalent European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-387985</wp:posOffset>
            </wp:positionV>
            <wp:extent cx="71120" cy="711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obtain coverage and adequate reimbursement from, and negotiate competitive pricing with, third-party payors;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successfully collaborate with pharmaceutical companies in the discovery, development and commercialization of new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3" w:lineRule="exact"/>
        <w:rPr>
          <w:sz w:val="20"/>
          <w:szCs w:val="20"/>
          <w:color w:val="auto"/>
        </w:rPr>
      </w:pPr>
    </w:p>
    <w:p>
      <w:pPr>
        <w:jc w:val="both"/>
        <w:ind w:firstLine="490"/>
        <w:spacing w:after="0" w:line="304" w:lineRule="auto"/>
        <w:rPr>
          <w:sz w:val="20"/>
          <w:szCs w:val="20"/>
          <w:color w:val="auto"/>
        </w:rPr>
      </w:pPr>
      <w:r>
        <w:rPr>
          <w:rFonts w:ascii="Arial" w:cs="Arial" w:eastAsia="Arial" w:hAnsi="Arial"/>
          <w:sz w:val="15"/>
          <w:szCs w:val="15"/>
          <w:b w:val="1"/>
          <w:bCs w:val="1"/>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authorized or approved monoclonal antibodies by other companies could impact the anticipated reimbursement structure of our monoclonal antibodies, if authorized or approved, and our business, financial condition, results of operations and prospects.</w:t>
      </w:r>
    </w:p>
    <w:p>
      <w:pPr>
        <w:spacing w:after="0" w:line="64" w:lineRule="exact"/>
        <w:rPr>
          <w:sz w:val="20"/>
          <w:szCs w:val="20"/>
          <w:color w:val="auto"/>
        </w:rPr>
      </w:pPr>
    </w:p>
    <w:p>
      <w:pPr>
        <w:jc w:val="both"/>
        <w:ind w:firstLine="490"/>
        <w:spacing w:after="0" w:line="261" w:lineRule="auto"/>
        <w:rPr>
          <w:sz w:val="20"/>
          <w:szCs w:val="20"/>
          <w:color w:val="auto"/>
        </w:rPr>
      </w:pPr>
      <w:r>
        <w:rPr>
          <w:rFonts w:ascii="Arial" w:cs="Arial" w:eastAsia="Arial" w:hAnsi="Arial"/>
          <w:sz w:val="17"/>
          <w:szCs w:val="17"/>
          <w:b w:val="1"/>
          <w:bCs w:val="1"/>
          <w:color w:val="auto"/>
        </w:rPr>
        <w:t>Additionally, government entities, such as the CDC, NIH, the WHO and non-government professional societies, such as the IDSA and the European Society of Clinical Microbiology and Infectious Diseases (the “ESCMID”) may produce treatment and/or prevention guidelines for COVID-19, including the use of monoclonal antibodies for these indications. However, our monoclonal antibodies, even if authorized or approved, may fail to be added to such guidelines or receive poor positioning within such guidelines, which may instead recommend products of our competitors.</w:t>
      </w:r>
    </w:p>
    <w:p>
      <w:pPr>
        <w:spacing w:after="0" w:line="92" w:lineRule="exact"/>
        <w:rPr>
          <w:sz w:val="20"/>
          <w:szCs w:val="20"/>
          <w:color w:val="auto"/>
        </w:rPr>
      </w:pPr>
    </w:p>
    <w:p>
      <w:pPr>
        <w:jc w:val="both"/>
        <w:ind w:firstLine="490"/>
        <w:spacing w:after="0" w:line="300" w:lineRule="auto"/>
        <w:rPr>
          <w:sz w:val="20"/>
          <w:szCs w:val="20"/>
          <w:color w:val="auto"/>
        </w:rPr>
      </w:pPr>
      <w:r>
        <w:rPr>
          <w:rFonts w:ascii="Arial" w:cs="Arial" w:eastAsia="Arial" w:hAnsi="Arial"/>
          <w:sz w:val="15"/>
          <w:szCs w:val="15"/>
          <w:b w:val="1"/>
          <w:bCs w:val="1"/>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86"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Our COVID-19 product candidates may have to compete against products with APAs from the U. S. federal government.</w:t>
      </w:r>
    </w:p>
    <w:p>
      <w:pPr>
        <w:spacing w:after="0" w:line="113" w:lineRule="exact"/>
        <w:rPr>
          <w:sz w:val="20"/>
          <w:szCs w:val="20"/>
          <w:color w:val="auto"/>
        </w:rPr>
      </w:pPr>
    </w:p>
    <w:p>
      <w:pPr>
        <w:jc w:val="both"/>
        <w:ind w:firstLine="490"/>
        <w:spacing w:after="0" w:line="321" w:lineRule="auto"/>
        <w:rPr>
          <w:sz w:val="20"/>
          <w:szCs w:val="20"/>
          <w:color w:val="auto"/>
        </w:rPr>
      </w:pPr>
      <w:r>
        <w:rPr>
          <w:rFonts w:ascii="Arial" w:cs="Arial" w:eastAsia="Arial" w:hAnsi="Arial"/>
          <w:sz w:val="15"/>
          <w:szCs w:val="15"/>
          <w:b w:val="1"/>
          <w:bCs w:val="1"/>
          <w:color w:val="auto"/>
        </w:rPr>
        <w:t>In an EUA environment where the U.S. federal government contracting procedures generally involve signing an APA with a manufacturer for a specific number of doses at a fixed price, product distribution is overseen by federal and state governments and product is ordered by institutions, prescribed by physicians and administered in a variety of settings. Products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58</w:t>
      </w:r>
    </w:p>
    <w:p>
      <w:pPr>
        <w:sectPr>
          <w:pgSz w:w="12240" w:h="15840" w:orient="portrait"/>
          <w:cols w:equalWidth="0" w:num="1">
            <w:col w:w="10080"/>
          </w:cols>
          <w:pgMar w:left="1080" w:top="1089" w:right="1080" w:bottom="157" w:gutter="0" w:footer="0" w:header="0"/>
        </w:sectPr>
      </w:pPr>
    </w:p>
    <w:bookmarkStart w:id="60" w:name="page61"/>
    <w:bookmarkEnd w:id="60"/>
    <w:p>
      <w:pPr>
        <w:jc w:val="both"/>
        <w:spacing w:after="0" w:line="222" w:lineRule="auto"/>
        <w:rPr>
          <w:sz w:val="20"/>
          <w:szCs w:val="20"/>
          <w:color w:val="auto"/>
        </w:rPr>
      </w:pPr>
      <w:r>
        <w:rPr>
          <w:rFonts w:ascii="Arial" w:cs="Arial" w:eastAsia="Arial" w:hAnsi="Arial"/>
          <w:sz w:val="20"/>
          <w:szCs w:val="20"/>
          <w:b w:val="1"/>
          <w:bCs w:val="1"/>
          <w:color w:val="auto"/>
        </w:rPr>
        <w:t>purchased and supplied under APAs are paid for by the U.S. federal government and are free to the institutions and patients, but patients can be billed for administration costs.</w:t>
      </w:r>
    </w:p>
    <w:p>
      <w:pPr>
        <w:spacing w:after="0" w:line="110" w:lineRule="exact"/>
        <w:rPr>
          <w:sz w:val="20"/>
          <w:szCs w:val="20"/>
          <w:color w:val="auto"/>
        </w:rPr>
      </w:pPr>
    </w:p>
    <w:p>
      <w:pPr>
        <w:jc w:val="both"/>
        <w:ind w:firstLine="490"/>
        <w:spacing w:after="0" w:line="229" w:lineRule="auto"/>
        <w:rPr>
          <w:sz w:val="20"/>
          <w:szCs w:val="20"/>
          <w:color w:val="auto"/>
        </w:rPr>
      </w:pPr>
      <w:r>
        <w:rPr>
          <w:rFonts w:ascii="Arial" w:cs="Arial" w:eastAsia="Arial" w:hAnsi="Arial"/>
          <w:sz w:val="19"/>
          <w:szCs w:val="19"/>
          <w:b w:val="1"/>
          <w:bCs w:val="1"/>
          <w:color w:val="auto"/>
        </w:rPr>
        <w:t>For example, currently, all oral antivirals are made available under APAs. Only Gilead’s intravenous antiviral, remdesivir, which received full FDA approval for treatment of non-hospitalized patients (12 years of age or older) at high risk for COVID-19 progression in January 2022, is available under a standard purchase model where hospitals, clinics, and other institutions purchase product through distributors. In the past, the U.S. federal government also entered into APAs for monoclonal antibodies. However, in August 2022, HHS announced that Eli Lilly’s bebtelovimab would be transitioning from an APA model to a traditional commercial model and since that time, there have been no new APAs signed for any COVID mAbs.</w:t>
      </w:r>
    </w:p>
    <w:p>
      <w:pPr>
        <w:spacing w:after="0" w:line="108" w:lineRule="exact"/>
        <w:rPr>
          <w:sz w:val="20"/>
          <w:szCs w:val="20"/>
          <w:color w:val="auto"/>
        </w:rPr>
      </w:pPr>
    </w:p>
    <w:p>
      <w:pPr>
        <w:jc w:val="both"/>
        <w:ind w:firstLine="490"/>
        <w:spacing w:after="0" w:line="229" w:lineRule="auto"/>
        <w:rPr>
          <w:sz w:val="20"/>
          <w:szCs w:val="20"/>
          <w:color w:val="auto"/>
        </w:rPr>
      </w:pPr>
      <w:r>
        <w:rPr>
          <w:rFonts w:ascii="Arial" w:cs="Arial" w:eastAsia="Arial" w:hAnsi="Arial"/>
          <w:sz w:val="19"/>
          <w:szCs w:val="19"/>
          <w:b w:val="1"/>
          <w:bCs w:val="1"/>
          <w:color w:val="auto"/>
        </w:rPr>
        <w:t>In this environment, there is the potential that the U.S. federal government will have or enter into APAs with our competitors but decide not to enter into a contract with us for the supply of any COVID-19 product for which we might obtain an EUA. U.S. federal government contracts require contractors to meet a substantial number of qualifications, and it is possible that we would not meet some or all of these qualifications, resulting in our inability to secure a federal contract. Additionally, our primary contract manufacturer is based in China. Given existing country-of- origin based restrictions applicable to federal procurement that prohibit, with limited exceptions, procurement of product that originates from China, it is possible that the U.S. federal government could decline to contract with us in light of the manufacturing of the drug substance for our product in China.</w:t>
      </w:r>
    </w:p>
    <w:p>
      <w:pPr>
        <w:spacing w:after="0" w:line="108" w:lineRule="exact"/>
        <w:rPr>
          <w:sz w:val="20"/>
          <w:szCs w:val="20"/>
          <w:color w:val="auto"/>
        </w:rPr>
      </w:pPr>
    </w:p>
    <w:p>
      <w:pPr>
        <w:jc w:val="both"/>
        <w:ind w:firstLine="490"/>
        <w:spacing w:after="0" w:line="223" w:lineRule="auto"/>
        <w:rPr>
          <w:sz w:val="20"/>
          <w:szCs w:val="20"/>
          <w:color w:val="auto"/>
        </w:rPr>
      </w:pPr>
      <w:r>
        <w:rPr>
          <w:rFonts w:ascii="Arial" w:cs="Arial" w:eastAsia="Arial" w:hAnsi="Arial"/>
          <w:sz w:val="20"/>
          <w:szCs w:val="20"/>
          <w:b w:val="1"/>
          <w:bCs w:val="1"/>
          <w:color w:val="auto"/>
        </w:rPr>
        <w:t>If any of our product candidates are authorized under an EUA, but do not receive an APA, utilization of our product may be limited if we are competing against products that are supplied under APAs.</w:t>
      </w:r>
    </w:p>
    <w:p>
      <w:pPr>
        <w:spacing w:after="0" w:line="127"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The success of our product candidates will depend significantly on coverage and adequate reimbursement or the willingness of patients to pay for these therapies.</w:t>
      </w:r>
    </w:p>
    <w:p>
      <w:pPr>
        <w:spacing w:after="0" w:line="113"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7"/>
          <w:szCs w:val="17"/>
          <w:b w:val="1"/>
          <w:bCs w:val="1"/>
          <w:color w:val="auto"/>
        </w:rPr>
        <w:t>We believe our success depends on obtaining and maintaining coverage and adequate reimbursement for our product candidates, including VYD222 and adintrevimab,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CMS, an agency within HHS. CMS decides whether and to what extent products will be covered and reimbursed under Medicare and private payors tend to follow CMS to a substantial degree.</w:t>
      </w:r>
    </w:p>
    <w:p>
      <w:pPr>
        <w:spacing w:after="0" w:line="100"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5"/>
          <w:szCs w:val="15"/>
          <w:b w:val="1"/>
          <w:bCs w:val="1"/>
          <w:color w:val="auto"/>
        </w:rPr>
        <w:t>Third-party payors determine which products and procedures they will cover and establish reimbursement levels. Even if a third -party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68" w:lineRule="exact"/>
        <w:rPr>
          <w:sz w:val="20"/>
          <w:szCs w:val="20"/>
          <w:color w:val="auto"/>
        </w:rPr>
      </w:pPr>
    </w:p>
    <w:p>
      <w:pPr>
        <w:jc w:val="both"/>
        <w:ind w:firstLine="490"/>
        <w:spacing w:after="0" w:line="257" w:lineRule="auto"/>
        <w:rPr>
          <w:sz w:val="20"/>
          <w:szCs w:val="20"/>
          <w:color w:val="auto"/>
        </w:rPr>
      </w:pPr>
      <w:r>
        <w:rPr>
          <w:rFonts w:ascii="Arial" w:cs="Arial" w:eastAsia="Arial" w:hAnsi="Arial"/>
          <w:sz w:val="17"/>
          <w:szCs w:val="17"/>
          <w:b w:val="1"/>
          <w:bCs w:val="1"/>
          <w:color w:val="auto"/>
        </w:rPr>
        <w:t>Reimbursement by a third-party payor may depend upon a number of factors, including the third -party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the IDSA and the ESCMID, may produce treatment and/or prevention guidelines for the prevention and treatment of COVID-19, including guidance regarding the use of monoclonal antibodies in these indications. If VYD222, adintrevimab or any other product candidate fails to be added to these guidelines, or if they receive poor positioning within these guidelines, payors and other customers may be less inclined to add VYD222, adintrevimab or any other product candidate to their formularies, significantly reducing demand for such product candidate, if approved.</w:t>
      </w:r>
    </w:p>
    <w:p>
      <w:pPr>
        <w:spacing w:after="0" w:line="99" w:lineRule="exact"/>
        <w:rPr>
          <w:sz w:val="20"/>
          <w:szCs w:val="20"/>
          <w:color w:val="auto"/>
        </w:rPr>
      </w:pPr>
    </w:p>
    <w:p>
      <w:pPr>
        <w:jc w:val="both"/>
        <w:ind w:firstLine="490"/>
        <w:spacing w:after="0" w:line="299" w:lineRule="auto"/>
        <w:rPr>
          <w:sz w:val="20"/>
          <w:szCs w:val="20"/>
          <w:color w:val="auto"/>
        </w:rPr>
      </w:pPr>
      <w:r>
        <w:rPr>
          <w:rFonts w:ascii="Arial" w:cs="Arial" w:eastAsia="Arial" w:hAnsi="Arial"/>
          <w:sz w:val="15"/>
          <w:szCs w:val="15"/>
          <w:b w:val="1"/>
          <w:bCs w:val="1"/>
          <w:color w:val="auto"/>
        </w:rPr>
        <w:t>Further, increasing efforts by third-party payors in the U.S. and abroad to cap or reduce healthcare costs may cause such organizations to limit both coverage and the level of reimbursement for newly approved products and, as a result, they may not cover or provide adequate payment for our product candidates, if approved.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59</w:t>
      </w:r>
    </w:p>
    <w:p>
      <w:pPr>
        <w:sectPr>
          <w:pgSz w:w="12240" w:h="15840" w:orient="portrait"/>
          <w:cols w:equalWidth="0" w:num="1">
            <w:col w:w="10080"/>
          </w:cols>
          <w:pgMar w:left="1080" w:top="1070" w:right="1080" w:bottom="157" w:gutter="0" w:footer="0" w:header="0"/>
        </w:sectPr>
      </w:pPr>
    </w:p>
    <w:bookmarkStart w:id="61" w:name="page62"/>
    <w:bookmarkEnd w:id="61"/>
    <w:p>
      <w:pPr>
        <w:jc w:val="both"/>
        <w:spacing w:after="0" w:line="242" w:lineRule="auto"/>
        <w:rPr>
          <w:sz w:val="20"/>
          <w:szCs w:val="20"/>
          <w:color w:val="auto"/>
        </w:rPr>
      </w:pPr>
      <w:r>
        <w:rPr>
          <w:rFonts w:ascii="Arial" w:cs="Arial" w:eastAsia="Arial" w:hAnsi="Arial"/>
          <w:sz w:val="18"/>
          <w:szCs w:val="18"/>
          <w:b w:val="1"/>
          <w:bCs w:val="1"/>
          <w:color w:val="auto"/>
        </w:rPr>
        <w: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111"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7"/>
          <w:szCs w:val="17"/>
          <w:b w:val="1"/>
          <w:bCs w:val="1"/>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In many countries in the European Union,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European Union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European Union member states, we may be required to compile additional data comparing the cost-effectiveness of our products to other available therapies. Health Technology Assessment (“HTA”) of medicinal products is becoming an increasingly common part of the pricing and reimbursement procedures in some European Union member states, including those representing the larger markets. The HTA process, which is currently governed by national laws in each European Union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currently varies between European Union member states, although the HTA Regulation which aims to harmonize the clinical benefit assessment of HTA across the European Union will apply beginning on January 12, 2025. If we are unable to obtain, then maintain favorable pricing and reimbursement status in European Union member states that represent significant markets, our anticipated revenue from and growth prospects for our products in the European Union could be negatively affected. Due to the evolving effects of the COVID-19 pandemic, we may anticipate delays by certain European regulatory authorities in their pricing and reimbursement reviews. If we experience setbacks or unforeseen difficulties in obtaining favorable pricing and reimbursement decisions, including as a result of regulatory review delays due to the COVID-19 pandemic, planned launches in the affected European Union member states would be delayed, which could negatively impact anticipated revenue from and growth prospects for VYD222, adintrevimab or any other product candidate.</w:t>
      </w:r>
    </w:p>
    <w:p>
      <w:pPr>
        <w:spacing w:after="0" w:line="100"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18"/>
          <w:szCs w:val="18"/>
          <w:b w:val="1"/>
          <w:bCs w:val="1"/>
          <w:color w:val="auto"/>
        </w:rPr>
        <w:t>There can be no assurance that VYD222, adintrevimab or any other product candidate, if approved for sale in the U.S. or in other countries, will be considered medically reasonable and necessary, that it will be considered cost-effective by third-party payors, that coverage or an adequate level of reimbursement will be available or that reimbursement policies and practices in the U.S. and in foreign countries where our products are sold will not adversely affect our ability to sell our product candidates profitably, if they are approved for sale.</w:t>
      </w:r>
    </w:p>
    <w:p>
      <w:pPr>
        <w:spacing w:after="0" w:line="109" w:lineRule="exact"/>
        <w:rPr>
          <w:sz w:val="20"/>
          <w:szCs w:val="20"/>
          <w:color w:val="auto"/>
        </w:rPr>
      </w:pPr>
    </w:p>
    <w:p>
      <w:pPr>
        <w:jc w:val="both"/>
        <w:ind w:firstLine="490"/>
        <w:spacing w:after="0" w:line="222" w:lineRule="auto"/>
        <w:rPr>
          <w:sz w:val="20"/>
          <w:szCs w:val="20"/>
          <w:color w:val="auto"/>
        </w:rPr>
      </w:pPr>
      <w:r>
        <w:rPr>
          <w:rFonts w:ascii="Arial" w:cs="Arial" w:eastAsia="Arial" w:hAnsi="Arial"/>
          <w:sz w:val="20"/>
          <w:szCs w:val="20"/>
          <w:b w:val="1"/>
          <w:bCs w:val="1"/>
          <w:color w:val="auto"/>
        </w:rPr>
        <w:t>Any product candidates for which we determine to seek approval as biologic products may face biosimilar competition sooner than anticipated.</w:t>
      </w:r>
    </w:p>
    <w:p>
      <w:pPr>
        <w:spacing w:after="0" w:line="107"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7"/>
          <w:szCs w:val="17"/>
          <w:b w:val="1"/>
          <w:bCs w:val="1"/>
          <w:color w:val="auto"/>
        </w:rPr>
        <w:t>In the future, if we determine to pursue and we are successful in achieving regulatory approval to commercialize any biologic product candidate that we develop, such approved product may face competition from biosimilar products. In the U.S., product candidates are regulated by the FDA as biologic products subject to approval under the BLA pathway. 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 year period of exclusivity, another company may still market a competing version of the reference product if the FDA approves a full BLA for the competing product containing the sponsor’s own preclinical data and data from adequate and well -controlled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biological products.</w:t>
      </w:r>
    </w:p>
    <w:p>
      <w:pPr>
        <w:spacing w:after="0" w:line="100"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5"/>
          <w:szCs w:val="15"/>
          <w:b w:val="1"/>
          <w:bCs w:val="1"/>
          <w:color w:val="auto"/>
        </w:rPr>
        <w:t>There is a risk that any of our product candidates approved as a biological product under a BLA, should we determine in the future to pursue such regulatory pathway,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60</w:t>
      </w:r>
    </w:p>
    <w:p>
      <w:pPr>
        <w:sectPr>
          <w:pgSz w:w="12240" w:h="15840" w:orient="portrait"/>
          <w:cols w:equalWidth="0" w:num="1">
            <w:col w:w="10080"/>
          </w:cols>
          <w:pgMar w:left="1080" w:top="1070" w:right="1080" w:bottom="157"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7"/>
          <w:szCs w:val="17"/>
          <w:b w:val="1"/>
          <w:bCs w:val="1"/>
          <w:color w:val="auto"/>
        </w:rPr>
        <w:t>our reference products in a way that is similar to traditional generic substitution for non-biological products is not yet clear, and will depend on a number of marketplace and regulatory factors that are still developing. In the European Union, biosimilars can only be authorized once the period of data exclusivity on our candidate, as ‘reference’ biological medicinal product, has expired. In general, this means that the biological reference medicine must have been authorized for at least eight years before another company can apply for approval of a similar biological product.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112"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Product liability lawsuits against us could cause us to incur substantial liabilities and to limit commercialization of any products that we may develop.</w:t>
      </w:r>
    </w:p>
    <w:p>
      <w:pPr>
        <w:spacing w:after="0" w:line="132"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We face an inherent risk of product liability exposure related to the testing of our product candidates in human clinical trials and will face an even greater risk if we sell any products that we may develop.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European Union member states, national laws provide for strict (no-fault) liability which applies even where damages are caused both by a defect in a product and by the act or omission of a third party. If we cannot successfully defend ourselves against claims that our product candidates or drugs caused injuries, we will incur substantial liabilities. Regardless of merit or eventual outcome, liability claims may result in:</w:t>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decreased demand for any product candidates or drugs that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injury to our reputation and significant negative media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withdrawal of clinical trial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significant costs to defend the related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substantial monetary awards paid to trial participants 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loss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0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exhaustion of any available insurance and our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0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reduced resources of our management to pursue our business strategy;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inability to commercialize any products that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88"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Our business and operations would suffer in the event of computer system failures, cyberattacks or a deficiency in our or our CDMO’s, CROs’, manufacturers’ contractors’, consultants’ or collaborators’ cybersecurity.</w:t>
      </w:r>
    </w:p>
    <w:p>
      <w:pPr>
        <w:spacing w:after="0" w:line="96"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Maintaining the security of our information systems and communication systems is a critical issue for us, and we devote considerable internal and external resources to network security and other security measures to protect our systems and users, but these security measures cannot provide absolute security. Moreover, even security measures that are deemed appropriate, reasonable, and/or in accordance with applicable legal requirements may not be able to protect the information we maintain. The multitude and complexity of our information systems may furthermore make them susceptible to service interruption, breaches of security, disruption of data integrity, inadvertent errors that expose our data or systems, malicious intrusion, or cyberattacks. Despite our efforts, the possibility of these events occurring, and the ever-changing threat landscape, cannot be eliminated entirely and there can be no assurance that any measures we take will prevent cyber-attacks or security breaches that could adversely affect our business.</w:t>
      </w:r>
    </w:p>
    <w:p>
      <w:pPr>
        <w:spacing w:after="0" w:line="92"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Our internal information systems, and those of third parties on which we rely, are also vulnerable to, among other things, computer viruses, malware, natural disasters, terrorism, war, telecommunication and electrical failures, system malfunctions, cyberattacks or cyber-intrusions over the Internet, and phishing attacks. The source of these vulnerabilities may be persons inside or outside our organization. We have in the past and plan to in the future identify defects, errors, or vulnerabilities, which could inadvertently permit access to or exposure of data, including personal information, that we maintain or which third parties maintain on our behalf. The risk of a cybersecurity incident, particularly through cyberattacks or cyber intrusion, including by computer hackers, foreign governments and cyber terrorists, has generally increased as the number, intensity and sophistication of attempted attacks and intrusions from around the world have increased. For example, the ongoing conflict between Russia and Ukraine has led to an increase in cyberattacks on the Ukraine, including its government, companies, institutions and people, as well on the financial and communications infrastructure of other countries, companies and individuals therein. If any such</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61</w:t>
      </w:r>
    </w:p>
    <w:p>
      <w:pPr>
        <w:sectPr>
          <w:pgSz w:w="12240" w:h="15840" w:orient="portrait"/>
          <w:cols w:equalWidth="0" w:num="1">
            <w:col w:w="10080"/>
          </w:cols>
          <w:pgMar w:left="1080" w:top="1070" w:right="1080" w:bottom="157" w:gutter="0" w:footer="0" w:header="0"/>
        </w:sectPr>
      </w:pPr>
    </w:p>
    <w:bookmarkStart w:id="63" w:name="page64"/>
    <w:bookmarkEnd w:id="63"/>
    <w:p>
      <w:pPr>
        <w:jc w:val="both"/>
        <w:spacing w:after="0" w:line="284" w:lineRule="auto"/>
        <w:rPr>
          <w:sz w:val="20"/>
          <w:szCs w:val="20"/>
          <w:color w:val="auto"/>
        </w:rPr>
      </w:pPr>
      <w:r>
        <w:rPr>
          <w:rFonts w:ascii="Arial" w:cs="Arial" w:eastAsia="Arial" w:hAnsi="Arial"/>
          <w:sz w:val="17"/>
          <w:szCs w:val="17"/>
          <w:b w:val="1"/>
          <w:bCs w:val="1"/>
          <w:color w:val="auto"/>
        </w:rPr>
        <w:t>event were to occur in countries in which we operate,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or alteration of clinical trial data from completed or ongoing or planned clinical trials could result in delays in our regulatory approval efforts and significantly increase our costs to recover or reproduce the data. Additionally, such events could lead to an interruption in our supply chain for the manufacturing of clinical and commercial drug substance and drug product, as well as related materials, and could significantly impact development and commercialization timelines and capabilities. If our information systems or a third-party’s information systems on which we rely suffer severe damage, disruption or shutdown and issues are not resolved in a timely manner, we could experience delays in reporting our financial results, and we may lose revenue and profits as a result of our inability to timely manufacture or distribute our products. We continue to implement security measures to bolster our network security and protect our systems, however, such efforts are not guaranteed to prevent such events from occurring.</w:t>
      </w:r>
    </w:p>
    <w:p>
      <w:pPr>
        <w:spacing w:after="0" w:line="10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We cannot ensure that our data protection efforts and our investment in information technology, or the efforts or investments of CDMOs, CROs, consultants or other third parties with which we work, will prevent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information systems, or the information systems of other business partners,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information security failures or cybersecurity incidents attributed to our third-party service providers as they relate to the information we share with them.</w:t>
      </w:r>
    </w:p>
    <w:p>
      <w:pPr>
        <w:spacing w:after="0" w:line="96"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Notifications and follow-up actions related to a data breach or other cybersecurity incident could impact our reputation and cause us to incur significant costs, including significant legal expenses and remediation costs as well as potential regulatory scrutiny. We expect to incur significant costs in an effort to detect and prevent cybersecurity incidents, and we may face increased costs and requirements to expend substantial resources in the event of an actual or perceived cybersecurity incident. However, we cannot guarantee that we will be able to detect or prevent any such cybersecurity incidents, or that we can remediate any such incidents in an effective or timely manner. Our efforts to improve security and protect data from compromise may also identify previously undiscovered cybersecurity incidents. To the extent that any disruption or cybersecurity incident was to result in a loss of or damage to our data or applications, or inappropriate disclosure of confidential or proprietary information or personal data, we could incur material reputational harm, penalties, regulatory scrutiny, liabilities, legal claims, and/or mandated changes in our business practices,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302"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The effects of a cybersecurity incident could be further amplified during the current COVID-19 pandemic. 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a cybersecurity incident, such coverage will cover any indemnification claims against us relating to any cybersecurity incident, such coverage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70"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We are subject to a variety of privacy and data security laws, rules, regulations, policies, industry standards and contractual obligations, and our failure to comply with them could harm our business.</w:t>
      </w:r>
    </w:p>
    <w:p>
      <w:pPr>
        <w:spacing w:after="0" w:line="113"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5"/>
          <w:szCs w:val="15"/>
          <w:b w:val="1"/>
          <w:bCs w:val="1"/>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U.S., numerous federal and state laws and regulations could apply to our</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62</w:t>
      </w:r>
    </w:p>
    <w:p>
      <w:pPr>
        <w:sectPr>
          <w:pgSz w:w="12240" w:h="15840" w:orient="portrait"/>
          <w:cols w:equalWidth="0" w:num="1">
            <w:col w:w="10080"/>
          </w:cols>
          <w:pgMar w:left="1080" w:top="1089" w:right="1080" w:bottom="157" w:gutter="0" w:footer="0" w:header="0"/>
        </w:sectPr>
      </w:pPr>
    </w:p>
    <w:bookmarkStart w:id="64" w:name="page65"/>
    <w:bookmarkEnd w:id="64"/>
    <w:p>
      <w:pPr>
        <w:jc w:val="both"/>
        <w:spacing w:after="0" w:line="256" w:lineRule="auto"/>
        <w:rPr>
          <w:sz w:val="20"/>
          <w:szCs w:val="20"/>
          <w:color w:val="auto"/>
        </w:rPr>
      </w:pPr>
      <w:r>
        <w:rPr>
          <w:rFonts w:ascii="Arial" w:cs="Arial" w:eastAsia="Arial" w:hAnsi="Arial"/>
          <w:sz w:val="17"/>
          <w:szCs w:val="17"/>
          <w:b w:val="1"/>
          <w:bCs w:val="1"/>
          <w:color w:val="auto"/>
        </w:rPr>
        <w:t>operations or the operations of our partners, including state data breach notification laws, state health information privacy laws and federal and state consumer protection laws and regulations, including Section 5 of the Federal Trade Commission Act (“FTC Act”), that govern the collection, use, disclosure and protection of health- 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(“HIPAA”), as amended by the Health Information Technology for Economic and Clinical Health Act, and the regulations promulgated thereunder. HIPAA imposes privacy and security obligations on covered entity health care providers, health plans, and health care clearinghouses, as well as their “business associates” – independent contractors or agents of covered entities that receive or obtain protected health information in connection with providing a service for or on behalf of a covered entity. Depending on the facts and circumstances, we could be subject to significant penalties if we, our affiliates, or our agents knowingly receive individually identifiable health information maintained by a HIPAA-covered entity individually identifiable health information in a manner that is not authorized or permitted by HIPAA.</w:t>
      </w:r>
    </w:p>
    <w:p>
      <w:pPr>
        <w:spacing w:after="0" w:line="102" w:lineRule="exact"/>
        <w:rPr>
          <w:sz w:val="20"/>
          <w:szCs w:val="20"/>
          <w:color w:val="auto"/>
        </w:rPr>
      </w:pPr>
    </w:p>
    <w:p>
      <w:pPr>
        <w:jc w:val="both"/>
        <w:ind w:firstLine="490"/>
        <w:spacing w:after="0" w:line="241" w:lineRule="auto"/>
        <w:rPr>
          <w:sz w:val="20"/>
          <w:szCs w:val="20"/>
          <w:color w:val="auto"/>
        </w:rPr>
      </w:pPr>
      <w:r>
        <w:rPr>
          <w:rFonts w:ascii="Arial" w:cs="Arial" w:eastAsia="Arial" w:hAnsi="Arial"/>
          <w:sz w:val="18"/>
          <w:szCs w:val="18"/>
          <w:b w:val="1"/>
          <w:bCs w:val="1"/>
          <w:color w:val="auto"/>
        </w:rPr>
        <w:t>At the federal level, 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Enforcement by the FTC under the FTC Act can result in civil penalties or enforcement actions.</w:t>
      </w:r>
    </w:p>
    <w:p>
      <w:pPr>
        <w:spacing w:after="0" w:line="113"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7"/>
          <w:szCs w:val="17"/>
          <w:b w:val="1"/>
          <w:bCs w:val="1"/>
          <w:color w:val="auto"/>
        </w:rPr>
        <w:t>In Europe, the GDPR governs the collection, use, disclosure, transfer or other processing of personal data of individuals within the European Economic Area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includes notice and consent requirements which may apply to clinical trial subjects and investigators. In addition, the GDPR increases the scrutiny of transfers of personal data from the EEA to the U.S. and other jurisdictions that the European Commission does not recognize as having “adequate” data protection laws; in July 2020, the Court of Justice of the European Union limited how organizations could lawfully transfer personal data from the EEA to the U.S. by invalidating the EU-U.S. Privacy Shield and imposing further restrictions on the use of standard contractual clauses. The European Commission and the U.S. announced in March 2022 agreement in principle on a new Trans-Atlantic Data Privacy Framework with respect to data transfers to the U.S., and, on December 13, 2022, the European Commission adopted a draft adequacy decision for the EU-U.S. Data Privacy Framework. This draft decision follows the signature of a U.S. Executive Order by President Biden on October 7, 2022, along with the regulations issued by the U.S. Attorney General Merrick Garland. These two instruments implemented into U.S. law the agreement in principle announced by the President of the European Commission and President Biden in March 2022. The draft adequacy decision, which reflects the assessment by the European Commission of the US legal framework has now been published and transmitted to the European Data Protection Board (“EDPB”) for its opinion. The draft decision concludes that the U.S. ensures an adequate level of protection for personal data transferred from the EU to U.S. companies. The GDPR imposes substantial fines for breaches and violations (up to the greater of €20 million or 4% of our annual global turnover) and confers the right for data subjects to lodge complaints with supervisory authorities, seek judicial remedies and obtain compensation for damages resulting from violations of the GDPR.</w:t>
      </w:r>
    </w:p>
    <w:p>
      <w:pPr>
        <w:spacing w:after="0" w:line="106" w:lineRule="exact"/>
        <w:rPr>
          <w:sz w:val="20"/>
          <w:szCs w:val="20"/>
          <w:color w:val="auto"/>
        </w:rPr>
      </w:pPr>
    </w:p>
    <w:p>
      <w:pPr>
        <w:jc w:val="both"/>
        <w:ind w:firstLine="490"/>
        <w:spacing w:after="0" w:line="241" w:lineRule="auto"/>
        <w:rPr>
          <w:sz w:val="20"/>
          <w:szCs w:val="20"/>
          <w:color w:val="auto"/>
        </w:rPr>
      </w:pPr>
      <w:r>
        <w:rPr>
          <w:rFonts w:ascii="Arial" w:cs="Arial" w:eastAsia="Arial" w:hAnsi="Arial"/>
          <w:sz w:val="18"/>
          <w:szCs w:val="18"/>
          <w:b w:val="1"/>
          <w:bCs w:val="1"/>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The relationship between the United Kingdom and the European Union in relation to certain aspects of data protection law remains unclear, which exposes us to further compliance risk. On June 28, 2021, the European Commission formally adopted its adequacy decision finding the United Kingdom to be adequate under the GDPR. Personal data may now flow freely from the EEA to the UK, however, the European Commission may suspend the Adequacy Decision if it considers that the UK no longer provides for an adequate level of data protection.</w:t>
      </w:r>
    </w:p>
    <w:p>
      <w:pPr>
        <w:spacing w:after="0" w:line="112" w:lineRule="exact"/>
        <w:rPr>
          <w:sz w:val="20"/>
          <w:szCs w:val="20"/>
          <w:color w:val="auto"/>
        </w:rPr>
      </w:pPr>
    </w:p>
    <w:p>
      <w:pPr>
        <w:jc w:val="both"/>
        <w:ind w:firstLine="490"/>
        <w:spacing w:after="0" w:line="300" w:lineRule="auto"/>
        <w:rPr>
          <w:sz w:val="20"/>
          <w:szCs w:val="20"/>
          <w:color w:val="auto"/>
        </w:rPr>
      </w:pPr>
      <w:r>
        <w:rPr>
          <w:rFonts w:ascii="Arial" w:cs="Arial" w:eastAsia="Arial" w:hAnsi="Arial"/>
          <w:sz w:val="15"/>
          <w:szCs w:val="15"/>
          <w:b w:val="1"/>
          <w:bCs w:val="1"/>
          <w:color w:val="auto"/>
        </w:rPr>
        <w:t>We have implemented data transfer policies to provide for the transfer of personal information from the EEA or the United Kingdom to the U.S. However, there are certain unsettled legal issues regarding the adequacy of data transfers to the U.S., the resolution of which may adversely affect our ability to process and transfer personal data outside of the EEA or United Kingdom. In October 2022, President Biden issued an executive order to implement EU-U.S. data privacy safeguards. The European Commission is now expected to review the executive order and could propose an adequacy decision concerning the level of personal data protection in the U.S. under which personal data could flow freely from the EEA to the U.S.</w:t>
      </w:r>
    </w:p>
    <w:p>
      <w:pPr>
        <w:spacing w:after="0" w:line="67" w:lineRule="exact"/>
        <w:rPr>
          <w:sz w:val="20"/>
          <w:szCs w:val="20"/>
          <w:color w:val="auto"/>
        </w:rPr>
      </w:pPr>
    </w:p>
    <w:p>
      <w:pPr>
        <w:jc w:val="both"/>
        <w:ind w:firstLine="490"/>
        <w:spacing w:after="0" w:line="304" w:lineRule="auto"/>
        <w:rPr>
          <w:sz w:val="20"/>
          <w:szCs w:val="20"/>
          <w:color w:val="auto"/>
        </w:rPr>
      </w:pPr>
      <w:r>
        <w:rPr>
          <w:rFonts w:ascii="Arial" w:cs="Arial" w:eastAsia="Arial" w:hAnsi="Arial"/>
          <w:sz w:val="15"/>
          <w:szCs w:val="15"/>
          <w:b w:val="1"/>
          <w:bCs w:val="1"/>
          <w:color w:val="auto"/>
        </w:rPr>
        <w:t>Compliance with these and any other applicable privacy and data security laws and regulations is a rigorous and time-intensive process, and we may be required to put in place additional mechanisms ensuring compliance with the new data protection rules. Any failure or perceived failure by us, a company that we acquire, or one of our service providers to comply with laws, regulations, policies, legal or contractual obligations, industry standards or regulatory guidance relating to privacy or data security could result in governmental investigations and enforcement actions, litigation, fines and penalties, exposure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63</w:t>
      </w:r>
    </w:p>
    <w:p>
      <w:pPr>
        <w:sectPr>
          <w:pgSz w:w="12240" w:h="15840" w:orient="portrait"/>
          <w:cols w:equalWidth="0" w:num="1">
            <w:col w:w="10080"/>
          </w:cols>
          <w:pgMar w:left="1080" w:top="1070" w:right="1080" w:bottom="157" w:gutter="0" w:footer="0" w:header="0"/>
        </w:sectPr>
      </w:pPr>
    </w:p>
    <w:bookmarkStart w:id="65" w:name="page66"/>
    <w:bookmarkEnd w:id="65"/>
    <w:p>
      <w:pPr>
        <w:jc w:val="both"/>
        <w:spacing w:after="0" w:line="222" w:lineRule="auto"/>
        <w:rPr>
          <w:sz w:val="20"/>
          <w:szCs w:val="20"/>
          <w:color w:val="auto"/>
        </w:rPr>
      </w:pPr>
      <w:r>
        <w:rPr>
          <w:rFonts w:ascii="Arial" w:cs="Arial" w:eastAsia="Arial" w:hAnsi="Arial"/>
          <w:sz w:val="20"/>
          <w:szCs w:val="20"/>
          <w:b w:val="1"/>
          <w:bCs w:val="1"/>
          <w:color w:val="auto"/>
        </w:rPr>
        <w:t>to indemnification obligations or other liabilities, and adverse publicity, all of which could have an adverse effect on our reputation, as well as our business, financial condition, and results of operations.</w:t>
      </w:r>
    </w:p>
    <w:p>
      <w:pPr>
        <w:spacing w:after="0" w:line="110"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5"/>
          <w:szCs w:val="15"/>
          <w:b w:val="1"/>
          <w:bCs w:val="1"/>
          <w:color w:val="auto"/>
        </w:rPr>
        <w:t>In addition, states are constantly adopting new laws or amending existing laws, requiring attention to frequently changing regulatory requirements. For example, the CCPA took effect on January 1, 2020 and was later amended by the CPRA. The CPRA went into effect on January 1, 2023. The CCPA, as amended, gives California residents expanded rights, including to access, correct and delete their personal information and to opt-out of certain personal information disclosures, including sales of their personal information and use for cross-context behavioral advertising purposes. It also requires covered companies to provide disclosures to California consumers and includes new audit requirements for higher risk data and opt-out rights for certain uses of sensitive data. The CPRA also created a new California data protection agency authorized to issue substantive regulations which could result in increased privacy and information security enforcement. The agency is in the course of drafting and proposing implementing regulations for the CPRA. The lack of certainty regarding the final state of these regulations could result in significant compliance costs. The amended CCPA provides for civil penalties for violations, as well as a private right of action for data breaches that is expected to increase data breach litigation. Although the CCPA currently exempts certain health- related information, including clinical trial data, the amended CCPA may increase our compliance costs and potential liability. Similar state consumer protection laws have passed in other states. Such laws, including those in Colorado, Connecticut, Utah and Virginia, will come into effect this year and have potentially conflicting requirements that would make compliance challenging and present legal risk. In Colorado, the Attorney General’s Office has not yet finalized implementing rules. The lack of certainty regarding the final state of these rules could result in significant compliance costs.</w:t>
      </w:r>
    </w:p>
    <w:p>
      <w:pPr>
        <w:spacing w:after="0" w:line="284"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7"/>
          <w:szCs w:val="17"/>
          <w:b w:val="1"/>
          <w:bCs w:val="1"/>
          <w:color w:val="auto"/>
        </w:rPr>
        <w:t>With the GDPR, CCPA and other state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However, these policies and practices may not be aligned with every applicable legal or regulatory standard immediately, due in part to the rapidly shifting landscape of privacy and data security requirements. A regulatory review or other independent assessment of the privacy program may result in identifying one or more areas of non-compliance.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 The landscape of laws regulating personal data is constantly evolving, and compliance with these laws requires a flexible privacy framework and substantial resources, and compliance efforts will likely be an increasing and substantial cost in the future.</w:t>
      </w:r>
    </w:p>
    <w:p>
      <w:pPr>
        <w:spacing w:after="0" w:line="102" w:lineRule="exact"/>
        <w:rPr>
          <w:sz w:val="20"/>
          <w:szCs w:val="20"/>
          <w:color w:val="auto"/>
        </w:rPr>
      </w:pPr>
    </w:p>
    <w:p>
      <w:pPr>
        <w:jc w:val="both"/>
        <w:ind w:firstLine="490"/>
        <w:spacing w:after="0" w:line="282" w:lineRule="auto"/>
        <w:rPr>
          <w:sz w:val="20"/>
          <w:szCs w:val="20"/>
          <w:color w:val="auto"/>
        </w:rPr>
      </w:pPr>
      <w:r>
        <w:rPr>
          <w:rFonts w:ascii="Arial" w:cs="Arial" w:eastAsia="Arial" w:hAnsi="Arial"/>
          <w:sz w:val="17"/>
          <w:szCs w:val="17"/>
          <w:b w:val="1"/>
          <w:b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73" w:lineRule="exact"/>
        <w:rPr>
          <w:sz w:val="20"/>
          <w:szCs w:val="20"/>
          <w:color w:val="auto"/>
        </w:rPr>
      </w:pPr>
    </w:p>
    <w:p>
      <w:pPr>
        <w:jc w:val="both"/>
        <w:ind w:firstLine="490"/>
        <w:spacing w:after="0" w:line="295" w:lineRule="auto"/>
        <w:rPr>
          <w:sz w:val="20"/>
          <w:szCs w:val="20"/>
          <w:color w:val="auto"/>
        </w:rPr>
      </w:pPr>
      <w:r>
        <w:rPr>
          <w:rFonts w:ascii="Arial" w:cs="Arial" w:eastAsia="Arial" w:hAnsi="Arial"/>
          <w:sz w:val="15"/>
          <w:szCs w:val="15"/>
          <w:b w:val="1"/>
          <w:bCs w:val="1"/>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283" w:lineRule="exact"/>
        <w:rPr>
          <w:sz w:val="20"/>
          <w:szCs w:val="20"/>
          <w:color w:val="auto"/>
        </w:rPr>
      </w:pPr>
    </w:p>
    <w:p>
      <w:pPr>
        <w:jc w:val="both"/>
        <w:ind w:firstLine="490"/>
        <w:spacing w:after="0" w:line="241" w:lineRule="auto"/>
        <w:rPr>
          <w:sz w:val="20"/>
          <w:szCs w:val="20"/>
          <w:color w:val="auto"/>
        </w:rPr>
      </w:pPr>
      <w:r>
        <w:rPr>
          <w:rFonts w:ascii="Arial" w:cs="Arial" w:eastAsia="Arial" w:hAnsi="Arial"/>
          <w:sz w:val="18"/>
          <w:szCs w:val="18"/>
          <w:b w:val="1"/>
          <w:bCs w:val="1"/>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64</w:t>
      </w:r>
    </w:p>
    <w:p>
      <w:pPr>
        <w:sectPr>
          <w:pgSz w:w="12240" w:h="15840" w:orient="portrait"/>
          <w:cols w:equalWidth="0" w:num="1">
            <w:col w:w="10080"/>
          </w:cols>
          <w:pgMar w:left="1080" w:top="1070" w:right="1080" w:bottom="157"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Risks Related to Our Dependence on Third Parties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123"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have engaged CROs and other third parties to conduct our planned preclinical studies or clinical trials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COVID-19 pandemic, including due to travel or quarantine policies, heightened exposure of CRO or clinical site or other vendor staff who are healthcare providers to COVID-19 or prioritization of resources toward the pandemic.</w:t>
      </w:r>
    </w:p>
    <w:p>
      <w:pPr>
        <w:spacing w:after="0" w:line="100"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addition, any third parties conducting our clinical trials or monitoring and managing our data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or not made available to us or regulatory authorities, due to the failure to adhere to our clinical protocols, regulatory requirements, contractual obligations or for other reasons, our clinical trials may be extended, delayed or terminated, the strength of our clinical data package may be limited,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10"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cGCPs,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cGCP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01"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We also are required to register certain clinical trials and post the results of certain completed clinical trials on a government-sponsored database, such as ClinicalTrials.gov, within specified timeframes. This remains our obligation regardless of whether we have contracted any third party to assist and failure to do so can result in fines, adverse publicity and civil and criminal sanctions.</w:t>
      </w:r>
    </w:p>
    <w:p>
      <w:pPr>
        <w:spacing w:after="0" w:line="133"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65</w:t>
      </w:r>
    </w:p>
    <w:p>
      <w:pPr>
        <w:sectPr>
          <w:pgSz w:w="12240" w:h="15840" w:orient="portrait"/>
          <w:cols w:equalWidth="0" w:num="1">
            <w:col w:w="10080"/>
          </w:cols>
          <w:pgMar w:left="1080" w:top="1079" w:right="1080" w:bottom="157" w:gutter="0" w:footer="0" w:header="0"/>
        </w:sectPr>
      </w:pPr>
    </w:p>
    <w:bookmarkStart w:id="67" w:name="page68"/>
    <w:bookmarkEnd w:id="67"/>
    <w:p>
      <w:pPr>
        <w:jc w:val="both"/>
        <w:ind w:firstLine="490"/>
        <w:spacing w:after="0" w:line="296" w:lineRule="auto"/>
        <w:rPr>
          <w:sz w:val="20"/>
          <w:szCs w:val="20"/>
          <w:color w:val="auto"/>
        </w:rPr>
      </w:pPr>
      <w:r>
        <w:rPr>
          <w:rFonts w:ascii="Arial" w:cs="Arial" w:eastAsia="Arial" w:hAnsi="Arial"/>
          <w:sz w:val="17"/>
          <w:szCs w:val="17"/>
          <w:b w:val="1"/>
          <w:bCs w:val="1"/>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86"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intend to rely on third parties to manufacture, test, label, package and store clinical and commercial supplies of our product candidates.</w:t>
      </w:r>
    </w:p>
    <w:p>
      <w:pPr>
        <w:spacing w:after="0" w:line="132"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We are currently manufacturing, testing, labeling, packaging and storing our product candidates in partnership with CDMOs. We do not own or operate any facilities for product manufacturing, labeling, packaging, storage and distribution or testing. We are dependent on third parties to manufacture, label, package, store, and distribute the clinical and commercial supplies of our current and any future product candidates. We have established a relationship with WuXi Biologics to manufacture certain product candidates for supply under an EUA (if authorized) or BLA or MAA (if approved).</w:t>
      </w:r>
    </w:p>
    <w:p>
      <w:pPr>
        <w:spacing w:after="0" w:line="9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facilities used by our contract manufacturers and contract testing labs to manufacture and test our product candidates may be inspected by the FDA after we submit our EUA or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 regulatory authorities,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develop, obtain regulatory approval for or market our product candidates, if approved.</w:t>
      </w:r>
    </w:p>
    <w:p>
      <w:pPr>
        <w:spacing w:after="0" w:line="96"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We also intend to rely on third-party manufacturers to supply us with sufficient quantities of our product candidates to be used, if approved, for commercialization. If we are not able to meet market demand for any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8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We engaged WuXi Biologics for development and generation of the production cell line starting material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120"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addition, we currently rely on WuXi Biologics’ China-based facilities for clinical supply and commercial supply, if authorized or approved.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109"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Further, our reliance on third parties for manufacturing, testing, labeling, packaging and storing our product candidates entails risks to which we would not be subject if we manufactured, tested, labeled, packaged and stored our product candidates ourselves, including:</w:t>
      </w:r>
    </w:p>
    <w:p>
      <w:pPr>
        <w:spacing w:after="0" w:line="13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inability to access sufficient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inability of our third-party manufacturers to execute our manufacturing procedures and other logistical support requirements appropriately;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inability to negotiate additional manufacturing agreements with third parties under commercially reasonable terms,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breach, termination or nonrenewal of manufacturing agreements with third parties in a manner or at a time that is costly or damaging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lack of ownership of the intellectual property rights in any improvements made by our third-party manufacturers in the manufacturing process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66</w:t>
      </w:r>
    </w:p>
    <w:p>
      <w:pPr>
        <w:sectPr>
          <w:pgSz w:w="12240" w:h="15840" w:orient="portrait"/>
          <w:cols w:equalWidth="0" w:num="1">
            <w:col w:w="10080"/>
          </w:cols>
          <w:pgMar w:left="1080" w:top="1089" w:right="1080" w:bottom="157" w:gutter="0" w:footer="0" w:header="0"/>
        </w:sectPr>
      </w:pPr>
    </w:p>
    <w:bookmarkStart w:id="68" w:name="page69"/>
    <w:bookmarkEnd w:id="68"/>
    <w:p>
      <w:pPr>
        <w:ind w:left="1100"/>
        <w:spacing w:after="0" w:line="234" w:lineRule="auto"/>
        <w:rPr>
          <w:sz w:val="20"/>
          <w:szCs w:val="20"/>
          <w:color w:val="auto"/>
        </w:rPr>
      </w:pPr>
      <w:r>
        <w:rPr>
          <w:rFonts w:ascii="Arial" w:cs="Arial" w:eastAsia="Arial" w:hAnsi="Arial"/>
          <w:sz w:val="20"/>
          <w:szCs w:val="20"/>
          <w:b w:val="1"/>
          <w:bCs w:val="1"/>
          <w:color w:val="auto"/>
        </w:rPr>
        <w:t>a third-party manufacturer may gain knowledge from working with us that could be used to supply one of our competitors with a product that competes with ours;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line="254" w:lineRule="auto"/>
        <w:rPr>
          <w:sz w:val="20"/>
          <w:szCs w:val="20"/>
          <w:color w:val="auto"/>
        </w:rPr>
      </w:pPr>
      <w:r>
        <w:rPr>
          <w:rFonts w:ascii="Arial" w:cs="Arial" w:eastAsia="Arial" w:hAnsi="Arial"/>
          <w:sz w:val="19"/>
          <w:szCs w:val="19"/>
          <w:b w:val="1"/>
          <w:bCs w:val="1"/>
          <w:color w:val="auto"/>
        </w:rPr>
        <w:t>disruptions to operations of our third-party manufacturers or suppliers by conditions unrelated to our business or operations, including the bankruptcy of the manufacturer or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-252730</wp:posOffset>
            </wp:positionV>
            <wp:extent cx="71120" cy="711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8"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could be lengthy and we could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94"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Any of these events could lead to clinical trial delays or failure to obtain regulatory approval or impact our ability to successfully commercialize our product candidates, if authorized under an EUA or approved. Some of these events could be the basis for FDA action, including injunction, request for recall, seizure or total or partial suspension of production.</w:t>
      </w:r>
    </w:p>
    <w:p>
      <w:pPr>
        <w:spacing w:after="0" w:line="86"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In July 2021, we entered into a license agreement with Biocon to combat COVID-19 in Southern Asia. Under the license agreement, we will provide Biocon materials and know-how to manufacture and commercialize an antibody treatment based on adintrevimab in India and select emerging markets. Biocon’s ability to successfully manufacture in those territories may be restricted by foreign regulatory requirements.</w:t>
      </w:r>
    </w:p>
    <w:p>
      <w:pPr>
        <w:spacing w:after="0" w:line="120"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We may seek collaborations with third parties for the discovery, development or commercialization of our product candidates. If those collaborations are not successful, we may not be able to capitalize on the market potential of these product candidates.</w:t>
      </w:r>
    </w:p>
    <w:p>
      <w:pPr>
        <w:spacing w:after="0" w:line="133"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We may seek third-party collaborators for the discovery, development and commercialization of our product candidates, including for the commercialization of any of our product candidates that are approved for marketing outside the U.S.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Collaborations involving our product candidates would pose the following risks to us:</w:t>
      </w:r>
    </w:p>
    <w:p>
      <w:pPr>
        <w:spacing w:after="0" w:line="145"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collaborators have significant discretion in determining the efforts and resources that they will apply to these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collaborators may not perform their obligations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71" w:lineRule="auto"/>
        <w:rPr>
          <w:sz w:val="20"/>
          <w:szCs w:val="20"/>
          <w:color w:val="auto"/>
        </w:rPr>
      </w:pPr>
      <w:r>
        <w:rPr>
          <w:rFonts w:ascii="Arial" w:cs="Arial" w:eastAsia="Arial" w:hAnsi="Arial"/>
          <w:sz w:val="18"/>
          <w:szCs w:val="18"/>
          <w:b w:val="1"/>
          <w:bCs w:val="1"/>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-552450</wp:posOffset>
            </wp:positionV>
            <wp:extent cx="71120" cy="711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9"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351" w:lineRule="auto"/>
        <w:rPr>
          <w:sz w:val="20"/>
          <w:szCs w:val="20"/>
          <w:color w:val="auto"/>
        </w:rPr>
      </w:pPr>
      <w:r>
        <w:rPr>
          <w:rFonts w:ascii="Arial" w:cs="Arial" w:eastAsia="Arial" w:hAnsi="Arial"/>
          <w:sz w:val="15"/>
          <w:szCs w:val="15"/>
          <w:b w:val="1"/>
          <w:bCs w:val="1"/>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-439420</wp:posOffset>
            </wp:positionV>
            <wp:extent cx="71120" cy="711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we could grant exclusive rights to our collaborators that would prevent us from collaborating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49"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312" w:lineRule="auto"/>
        <w:rPr>
          <w:sz w:val="20"/>
          <w:szCs w:val="20"/>
          <w:color w:val="auto"/>
        </w:rPr>
      </w:pPr>
      <w:r>
        <w:rPr>
          <w:rFonts w:ascii="Arial" w:cs="Arial" w:eastAsia="Arial" w:hAnsi="Arial"/>
          <w:sz w:val="17"/>
          <w:szCs w:val="17"/>
          <w:b w:val="1"/>
          <w:bCs w:val="1"/>
          <w:color w:val="auto"/>
        </w:rPr>
        <w:t>a collaborator with marketing and distribution rights to one or more of our product candidates that achieve regulatory approval may not commit sufficient resources to the marketing and distribution of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-281305</wp:posOffset>
            </wp:positionV>
            <wp:extent cx="71120" cy="711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67</w:t>
      </w:r>
    </w:p>
    <w:p>
      <w:pPr>
        <w:sectPr>
          <w:pgSz w:w="12240" w:h="15840" w:orient="portrait"/>
          <w:cols w:equalWidth="0" w:num="1">
            <w:col w:w="10080"/>
          </w:cols>
          <w:pgMar w:left="1080" w:top="1104" w:right="1080" w:bottom="157" w:gutter="0" w:footer="0" w:header="0"/>
        </w:sectPr>
      </w:pPr>
    </w:p>
    <w:bookmarkStart w:id="69" w:name="page70"/>
    <w:bookmarkEnd w:id="69"/>
    <w:p>
      <w:pPr>
        <w:jc w:val="both"/>
        <w:ind w:left="1100"/>
        <w:spacing w:after="0" w:line="341" w:lineRule="auto"/>
        <w:rPr>
          <w:sz w:val="20"/>
          <w:szCs w:val="20"/>
          <w:color w:val="auto"/>
        </w:rPr>
      </w:pPr>
      <w:r>
        <w:rPr>
          <w:rFonts w:ascii="Arial" w:cs="Arial" w:eastAsia="Arial" w:hAnsi="Arial"/>
          <w:sz w:val="15"/>
          <w:szCs w:val="15"/>
          <w:b w:val="1"/>
          <w:bCs w:val="1"/>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-581025</wp:posOffset>
            </wp:positionV>
            <wp:extent cx="71120" cy="711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53" w:lineRule="exact"/>
        <w:rPr>
          <w:sz w:val="20"/>
          <w:szCs w:val="20"/>
          <w:color w:val="auto"/>
        </w:rPr>
      </w:pPr>
    </w:p>
    <w:p>
      <w:pPr>
        <w:jc w:val="both"/>
        <w:ind w:left="1100"/>
        <w:spacing w:after="0" w:line="253" w:lineRule="auto"/>
        <w:rPr>
          <w:sz w:val="20"/>
          <w:szCs w:val="20"/>
          <w:color w:val="auto"/>
        </w:rPr>
      </w:pPr>
      <w:r>
        <w:rPr>
          <w:rFonts w:ascii="Arial" w:cs="Arial" w:eastAsia="Arial" w:hAnsi="Arial"/>
          <w:sz w:val="19"/>
          <w:szCs w:val="19"/>
          <w:b w:val="1"/>
          <w:bCs w:val="1"/>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-397510</wp:posOffset>
            </wp:positionV>
            <wp:extent cx="71120" cy="711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collaborators may infringe the intellectual property rights of third parties, which may expose us to litigation and potential liability;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firstLine="490"/>
        <w:spacing w:after="0" w:line="351" w:lineRule="auto"/>
        <w:rPr>
          <w:sz w:val="20"/>
          <w:szCs w:val="20"/>
          <w:color w:val="auto"/>
        </w:rPr>
      </w:pPr>
      <w:r>
        <w:rPr>
          <w:rFonts w:ascii="Arial" w:cs="Arial" w:eastAsia="Arial" w:hAnsi="Arial"/>
          <w:sz w:val="15"/>
          <w:szCs w:val="15"/>
          <w:b w:val="1"/>
          <w:bCs w:val="1"/>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52"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European Commission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303"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68</w:t>
      </w:r>
    </w:p>
    <w:p>
      <w:pPr>
        <w:sectPr>
          <w:pgSz w:w="12240" w:h="15840" w:orient="portrait"/>
          <w:cols w:equalWidth="0" w:num="1">
            <w:col w:w="10080"/>
          </w:cols>
          <w:pgMar w:left="1080" w:top="1104" w:right="1080" w:bottom="157" w:gutter="0" w:footer="0" w:header="0"/>
        </w:sectPr>
      </w:pPr>
    </w:p>
    <w:bookmarkStart w:id="70" w:name="page71"/>
    <w:bookmarkEnd w:id="70"/>
    <w:p>
      <w:pPr>
        <w:jc w:val="both"/>
        <w:ind w:firstLine="490"/>
        <w:spacing w:after="0" w:line="235" w:lineRule="auto"/>
        <w:rPr>
          <w:sz w:val="20"/>
          <w:szCs w:val="20"/>
          <w:color w:val="auto"/>
        </w:rPr>
      </w:pPr>
      <w:r>
        <w:rPr>
          <w:rFonts w:ascii="Arial" w:cs="Arial" w:eastAsia="Arial" w:hAnsi="Arial"/>
          <w:sz w:val="20"/>
          <w:szCs w:val="20"/>
          <w:b w:val="1"/>
          <w:b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133" w:lineRule="exact"/>
        <w:rPr>
          <w:sz w:val="20"/>
          <w:szCs w:val="20"/>
          <w:color w:val="auto"/>
        </w:rPr>
      </w:pPr>
    </w:p>
    <w:p>
      <w:pPr>
        <w:jc w:val="both"/>
        <w:ind w:firstLine="490"/>
        <w:spacing w:after="0" w:line="323" w:lineRule="auto"/>
        <w:rPr>
          <w:sz w:val="20"/>
          <w:szCs w:val="20"/>
          <w:color w:val="auto"/>
        </w:rPr>
      </w:pPr>
      <w:r>
        <w:rPr>
          <w:rFonts w:ascii="Arial" w:cs="Arial" w:eastAsia="Arial" w:hAnsi="Arial"/>
          <w:sz w:val="15"/>
          <w:szCs w:val="15"/>
          <w:b w:val="1"/>
          <w:bCs w:val="1"/>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Intellectual Property</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135" w:lineRule="exact"/>
        <w:rPr>
          <w:sz w:val="20"/>
          <w:szCs w:val="20"/>
          <w:color w:val="auto"/>
        </w:rPr>
      </w:pPr>
    </w:p>
    <w:p>
      <w:pPr>
        <w:jc w:val="both"/>
        <w:ind w:firstLine="490"/>
        <w:spacing w:after="0" w:line="283" w:lineRule="auto"/>
        <w:rPr>
          <w:sz w:val="20"/>
          <w:szCs w:val="20"/>
          <w:color w:val="auto"/>
        </w:rPr>
      </w:pPr>
      <w:r>
        <w:rPr>
          <w:rFonts w:ascii="Arial" w:cs="Arial" w:eastAsia="Arial" w:hAnsi="Arial"/>
          <w:sz w:val="17"/>
          <w:szCs w:val="17"/>
          <w:b w:val="1"/>
          <w:bCs w:val="1"/>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three issued U.S. patents with claims directed to adintrevimab, ADG10, and methods of use of adintrevimab, alone or in combination with ADG10 (an antibody-based product candidate previously considered for potential use in combination with adintrevimab for the treatment and prevention of COVID-19), respectively.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108"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U.S. and most other countries are confidential for a period of time after filing, we cannot be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69</w:t>
      </w:r>
    </w:p>
    <w:p>
      <w:pPr>
        <w:sectPr>
          <w:pgSz w:w="12240" w:h="15840" w:orient="portrait"/>
          <w:cols w:equalWidth="0" w:num="1">
            <w:col w:w="10080"/>
          </w:cols>
          <w:pgMar w:left="1080" w:top="1089" w:right="1080" w:bottom="157" w:gutter="0" w:footer="0" w:header="0"/>
        </w:sectPr>
      </w:pPr>
    </w:p>
    <w:bookmarkStart w:id="71" w:name="page72"/>
    <w:bookmarkEnd w:id="71"/>
    <w:p>
      <w:pPr>
        <w:jc w:val="both"/>
        <w:spacing w:after="0" w:line="286" w:lineRule="auto"/>
        <w:rPr>
          <w:sz w:val="20"/>
          <w:szCs w:val="20"/>
          <w:color w:val="auto"/>
        </w:rPr>
      </w:pPr>
      <w:r>
        <w:rPr>
          <w:rFonts w:ascii="Arial" w:cs="Arial" w:eastAsia="Arial" w:hAnsi="Arial"/>
          <w:sz w:val="17"/>
          <w:szCs w:val="17"/>
          <w:b w:val="1"/>
          <w:bCs w:val="1"/>
          <w:color w:val="auto"/>
        </w:rPr>
        <w:t>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9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issuance of a patent is not conclusive as to its inventorship, scope, validity or enforceability, and our owned and licensed patents may be challenged in courts or patent offices in the U.S.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124"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98"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If we are unable to protect the confidentiality of trade secrets, our business and competitive position would be harmed.</w:t>
      </w:r>
    </w:p>
    <w:p>
      <w:pPr>
        <w:spacing w:after="0" w:line="178"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In addition to the protection provided by our patent estate, we rely on trade secret protection and confidentiality agreements to protect proprietary scientific, business and technical information and know-how that is not or may not be patentable or that we or our partner(s) elect not to patent. Whether proprietary information, data and processes were developed internally, through collaboration partnering, or licensed from one or more third parties, we seek to protect them, in part, by confidentiality agreements and invention assignment agreements with our employees, consultants, scientific advisors, contractors and partners. Although these agreements are designed to protect proprietary information, we cannot be certain that our trade secrets and other confidential proprietary information will not be disclosed or that competitors will not otherwise gain access to trade secrets or independently develop substantially equivalent information and techniques. Although we generally require all of our employees to assign their inventions to us, and all of our employees, consultants, advisors and any third parties who have access to proprietary know-how, information or technology to enter into confidentiality agreements, we cannot provide any assurances that all such agreements have been duly executed with all third parties who may have helped to develop our intellectual property or who had access to proprietary information, or that our agreements will not be breached. If any of the parties to these confidentiality agreements breaches or violates the terms of such agreements, we may not have adequate remedies for any such breach or violation, and we could lose trade secrets as a result.</w:t>
      </w:r>
    </w:p>
    <w:p>
      <w:pPr>
        <w:spacing w:after="0" w:line="302"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U.S. The enforceability of confidentiality agreements may vary from jurisdiction to jurisdiction. As a result, we may encounter significant problems in protecting and defending our intellectual property both in the U.S. and abroad. Additionally, if the steps taken to maintain our trade secrets are deemed inadequate, we may have insufficient recourse against third parties for misappropriating the trade secret.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70</w:t>
      </w:r>
    </w:p>
    <w:p>
      <w:pPr>
        <w:sectPr>
          <w:pgSz w:w="12240" w:h="15840" w:orient="portrait"/>
          <w:cols w:equalWidth="0" w:num="1">
            <w:col w:w="10080"/>
          </w:cols>
          <w:pgMar w:left="1080" w:top="1089" w:right="1080" w:bottom="157" w:gutter="0" w:footer="0" w:header="0"/>
        </w:sectPr>
      </w:pPr>
    </w:p>
    <w:bookmarkStart w:id="72" w:name="page73"/>
    <w:bookmarkEnd w:id="72"/>
    <w:p>
      <w:pPr>
        <w:jc w:val="both"/>
        <w:ind w:firstLine="490"/>
        <w:spacing w:after="0" w:line="285" w:lineRule="auto"/>
        <w:rPr>
          <w:sz w:val="20"/>
          <w:szCs w:val="20"/>
          <w:color w:val="auto"/>
        </w:rPr>
      </w:pPr>
      <w:r>
        <w:rPr>
          <w:rFonts w:ascii="Arial" w:cs="Arial" w:eastAsia="Arial" w:hAnsi="Arial"/>
          <w:sz w:val="17"/>
          <w:szCs w:val="17"/>
          <w:b w:val="1"/>
          <w:bCs w:val="1"/>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96"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We also seek to preserve the integrity and confidentiality of our data and trade secrets by maintaining physical security of our premises and physical and electronic security of our information technology systems.</w:t>
      </w:r>
    </w:p>
    <w:p>
      <w:pPr>
        <w:spacing w:after="0" w:line="118"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Monitoring unauthorized uses and disclosures is difficult, and we do not know whether the steps we have taken to protect our proprietary technologies will be effective.</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While we have confidence in these individuals, organizations and systems, our agreements or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98"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materially harmed.</w:t>
      </w:r>
    </w:p>
    <w:p>
      <w:pPr>
        <w:spacing w:after="0" w:line="102"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Patents have a limited lifespan. In the U.S.,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200" w:lineRule="exact"/>
        <w:rPr>
          <w:sz w:val="20"/>
          <w:szCs w:val="20"/>
          <w:color w:val="auto"/>
        </w:rPr>
      </w:pPr>
    </w:p>
    <w:p>
      <w:pPr>
        <w:spacing w:after="0" w:line="332"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We are a party to an assignment and license agreement, a collaboration agreement and a platform transfer agreement with Adimab, pursuant to which we are obligated to make payments upon achievement of milestone events and royalties. If these agreements are terminated, our business and prospects will be materially and adversely affected.</w:t>
      </w:r>
    </w:p>
    <w:p>
      <w:pPr>
        <w:spacing w:after="0" w:line="76" w:lineRule="exact"/>
        <w:rPr>
          <w:sz w:val="20"/>
          <w:szCs w:val="20"/>
          <w:color w:val="auto"/>
        </w:rPr>
      </w:pPr>
    </w:p>
    <w:p>
      <w:pPr>
        <w:jc w:val="both"/>
        <w:ind w:firstLine="490"/>
        <w:spacing w:after="0" w:line="320" w:lineRule="auto"/>
        <w:rPr>
          <w:sz w:val="20"/>
          <w:szCs w:val="20"/>
          <w:color w:val="auto"/>
        </w:rPr>
      </w:pPr>
      <w:r>
        <w:rPr>
          <w:rFonts w:ascii="Arial" w:cs="Arial" w:eastAsia="Arial" w:hAnsi="Arial"/>
          <w:sz w:val="15"/>
          <w:szCs w:val="15"/>
          <w:b w:val="1"/>
          <w:bCs w:val="1"/>
          <w:color w:val="auto"/>
        </w:rPr>
        <w:t>We are party to the Adimab Assignment Agreement with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granted us a non-exclusive, worldwide, sublicensable license under Adimab’s antibody discovery and optimization platform technology to research, develop, make, use, and sell coronavirus antibodies and products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71</w:t>
      </w:r>
    </w:p>
    <w:p>
      <w:pPr>
        <w:sectPr>
          <w:pgSz w:w="12240" w:h="15840" w:orient="portrait"/>
          <w:cols w:equalWidth="0" w:num="1">
            <w:col w:w="10080"/>
          </w:cols>
          <w:pgMar w:left="1080" w:top="1089" w:right="1080" w:bottom="157" w:gutter="0" w:footer="0" w:header="0"/>
        </w:sectPr>
      </w:pPr>
    </w:p>
    <w:bookmarkStart w:id="73" w:name="page74"/>
    <w:bookmarkEnd w:id="73"/>
    <w:p>
      <w:pPr>
        <w:jc w:val="both"/>
        <w:spacing w:after="0" w:line="303" w:lineRule="auto"/>
        <w:rPr>
          <w:sz w:val="20"/>
          <w:szCs w:val="20"/>
          <w:color w:val="auto"/>
        </w:rPr>
      </w:pPr>
      <w:r>
        <w:rPr>
          <w:rFonts w:ascii="Arial" w:cs="Arial" w:eastAsia="Arial" w:hAnsi="Arial"/>
          <w:sz w:val="15"/>
          <w:szCs w:val="15"/>
          <w:b w:val="1"/>
          <w:bCs w:val="1"/>
          <w:color w:val="auto"/>
        </w:rPr>
        <w:t>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w:t>
      </w:r>
    </w:p>
    <w:p>
      <w:pPr>
        <w:spacing w:after="0" w:line="3" w:lineRule="exact"/>
        <w:rPr>
          <w:sz w:val="20"/>
          <w:szCs w:val="20"/>
          <w:color w:val="auto"/>
        </w:rPr>
      </w:pPr>
    </w:p>
    <w:p>
      <w:pPr>
        <w:jc w:val="both"/>
        <w:spacing w:after="0" w:line="260" w:lineRule="auto"/>
        <w:tabs>
          <w:tab w:leader="none" w:pos="14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w:t>
      </w:r>
    </w:p>
    <w:p>
      <w:pPr>
        <w:spacing w:after="0" w:line="102" w:lineRule="exact"/>
        <w:rPr>
          <w:sz w:val="20"/>
          <w:szCs w:val="20"/>
          <w:color w:val="auto"/>
        </w:rPr>
      </w:pPr>
    </w:p>
    <w:p>
      <w:pPr>
        <w:jc w:val="both"/>
        <w:ind w:firstLine="490"/>
        <w:spacing w:after="0" w:line="307" w:lineRule="auto"/>
        <w:rPr>
          <w:sz w:val="20"/>
          <w:szCs w:val="20"/>
          <w:color w:val="auto"/>
        </w:rPr>
      </w:pPr>
      <w:r>
        <w:rPr>
          <w:rFonts w:ascii="Arial" w:cs="Arial" w:eastAsia="Arial" w:hAnsi="Arial"/>
          <w:sz w:val="15"/>
          <w:szCs w:val="15"/>
          <w:b w:val="1"/>
          <w:bCs w:val="1"/>
          <w:color w:val="auto"/>
        </w:rPr>
        <w:t>We are also party to the Adimab Collaboration Agreement with Adimab for the discovery and optimization of proprietary antibodies as potential therapeutic product candidates. Under the Adimab Collaboration Agreement, we will collaborate with Adimab on research programs for a specified number of targets selected by us within a specified time period. Under the Adimab Collaboration Agreement, Adimab granted us a worldwide, non-exclusive license to certain of its platform patents and technology and antibody patents to perform our responsibilities during the Evaluation Term. In addition,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us, Adimab will assign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 We are obligated to use commercially reasonable efforts to develop, seek marketing approval for, and commercialize one product that contains an antibody discovered in each optioned research program. This agreement additionally contains obligations that require us to make payments in the event certain milestone events are achieved and royalty payments on net sales of our products, if approved, on a product -by-product and country-by-country basis, for a period ending on the later of 12 years after the first commercial sale of such product in such country or the expiration of the last valid claim of any patent claiming composition of matter or method of making or using any antibody identified or optimized under the Adimab Collaboration Agreement in such country. In September 2022, we exercised an option under the Adimab Collaboration Agreement.</w:t>
      </w:r>
    </w:p>
    <w:p>
      <w:pPr>
        <w:spacing w:after="0" w:line="200" w:lineRule="exact"/>
        <w:rPr>
          <w:sz w:val="20"/>
          <w:szCs w:val="20"/>
          <w:color w:val="auto"/>
        </w:rPr>
      </w:pPr>
    </w:p>
    <w:p>
      <w:pPr>
        <w:spacing w:after="0" w:line="319"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8"/>
          <w:szCs w:val="18"/>
          <w:b w:val="1"/>
          <w:bCs w:val="1"/>
          <w:color w:val="auto"/>
        </w:rPr>
        <w:t>We are also party to the Adimab Platform Transfer Agreement with Adimab under which we were granted the right under certain intellectual property of Adimab to practice certain elements of Adimab’s platform technology, including B- 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will be transferred to us in accordance with the terms of the Adimab Platform Transfer Agreement.</w:t>
      </w:r>
    </w:p>
    <w:p>
      <w:pPr>
        <w:spacing w:after="0" w:line="109" w:lineRule="exact"/>
        <w:rPr>
          <w:sz w:val="20"/>
          <w:szCs w:val="20"/>
          <w:color w:val="auto"/>
        </w:rPr>
      </w:pPr>
    </w:p>
    <w:p>
      <w:pPr>
        <w:jc w:val="both"/>
        <w:ind w:firstLine="490"/>
        <w:spacing w:after="0" w:line="313" w:lineRule="auto"/>
        <w:rPr>
          <w:sz w:val="20"/>
          <w:szCs w:val="20"/>
          <w:color w:val="auto"/>
        </w:rPr>
      </w:pPr>
      <w:r>
        <w:rPr>
          <w:rFonts w:ascii="Arial" w:cs="Arial" w:eastAsia="Arial" w:hAnsi="Arial"/>
          <w:sz w:val="15"/>
          <w:szCs w:val="15"/>
          <w:b w:val="1"/>
          <w:bCs w:val="1"/>
          <w:color w:val="auto"/>
        </w:rPr>
        <w:t>During the first four years of the Adimab Platform Transfer Agreement, we owe a fixed annual fee to Adimab, which will allow us to receive material improvements to the platform technology, including materially improved antibody optimization libraries, updates that provide new functionality to the platform, and software upgrades. After such time, we have the option to receive additional material improvements to the platform technology from Adimab, subject to a commercially reasonable fee to be negotiated by the parties. This agreement also contains obligations that require us to make payments to Adimab in the event certain specified development and regulatory milestone events are achieved and royalty payments on a product-by-product and country-by-country basis, for a period ending on the later of 12 years after the first commercial sale of such product in such country or the expiration of last valid claim of a program antibody patent for covering the program antibody contained under the Adimab Platform Transfer Agreement in such product in such country.</w:t>
      </w:r>
    </w:p>
    <w:p>
      <w:pPr>
        <w:spacing w:after="0" w:line="288"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7"/>
          <w:szCs w:val="17"/>
          <w:b w:val="1"/>
          <w:bCs w:val="1"/>
          <w:color w:val="auto"/>
        </w:rPr>
        <w:t>Our business is reliant upon the intellectual property rights assigned and licensed to us under the Adimab Assignment Agreement, the Adimab Collaboration Agreement and the Adimab Platform Transfer Agreement. If we materially breach the Adimab Assignment Agreement, the Adimab Collaboration Agreement or the Adimab Platform Transfer Agreement, our licenses under the Adimab Assignment Agreement, the Adimab Collaboration Agreement and the Adimab Platform Transfer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the Adimab Collaboration Agreement or the Adimab Platform Transfer Agreement is terminated as a result of our breach or otherwise, our business and prospects will be materially and adversely affected.</w:t>
      </w:r>
    </w:p>
    <w:p>
      <w:pPr>
        <w:spacing w:after="0" w:line="109"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72</w:t>
      </w:r>
    </w:p>
    <w:p>
      <w:pPr>
        <w:sectPr>
          <w:pgSz w:w="12240" w:h="15840" w:orient="portrait"/>
          <w:cols w:equalWidth="0" w:num="1">
            <w:col w:w="10080"/>
          </w:cols>
          <w:pgMar w:left="1080" w:top="1080" w:right="1080" w:bottom="157" w:gutter="0" w:footer="0" w:header="0"/>
        </w:sectPr>
      </w:pPr>
    </w:p>
    <w:bookmarkStart w:id="74" w:name="page75"/>
    <w:bookmarkEnd w:id="74"/>
    <w:p>
      <w:pPr>
        <w:jc w:val="both"/>
        <w:ind w:firstLine="490"/>
        <w:spacing w:after="0" w:line="271" w:lineRule="auto"/>
        <w:rPr>
          <w:sz w:val="20"/>
          <w:szCs w:val="20"/>
          <w:color w:val="auto"/>
        </w:rPr>
      </w:pPr>
      <w:r>
        <w:rPr>
          <w:rFonts w:ascii="Arial" w:cs="Arial" w:eastAsia="Arial" w:hAnsi="Arial"/>
          <w:sz w:val="17"/>
          <w:szCs w:val="17"/>
          <w:b w:val="1"/>
          <w:bCs w:val="1"/>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Our current and future collaborations and licenses could subject us to a number of risks, including:</w:t>
      </w:r>
    </w:p>
    <w:p>
      <w:pPr>
        <w:spacing w:after="0" w:line="133"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we may be required to undertake the expenditure of substantial operational, financial and management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-68580</wp:posOffset>
            </wp:positionV>
            <wp:extent cx="71120" cy="711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60" w:lineRule="exact"/>
        <w:rPr>
          <w:sz w:val="20"/>
          <w:szCs w:val="20"/>
          <w:color w:val="auto"/>
        </w:rPr>
      </w:pPr>
    </w:p>
    <w:p>
      <w:pPr>
        <w:jc w:val="both"/>
        <w:ind w:left="1100"/>
        <w:spacing w:after="0"/>
        <w:rPr>
          <w:sz w:val="20"/>
          <w:szCs w:val="20"/>
          <w:color w:val="auto"/>
        </w:rPr>
      </w:pPr>
      <w:r>
        <w:rPr>
          <w:rFonts w:ascii="Arial" w:cs="Arial" w:eastAsia="Arial" w:hAnsi="Arial"/>
          <w:sz w:val="19"/>
          <w:szCs w:val="19"/>
          <w:b w:val="1"/>
          <w:bCs w:val="1"/>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-791210</wp:posOffset>
            </wp:positionV>
            <wp:extent cx="71120" cy="711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1100"/>
        <w:spacing w:after="0" w:line="228" w:lineRule="auto"/>
        <w:rPr>
          <w:sz w:val="20"/>
          <w:szCs w:val="20"/>
          <w:color w:val="auto"/>
        </w:rPr>
      </w:pPr>
      <w:r>
        <w:rPr>
          <w:rFonts w:ascii="Arial" w:cs="Arial" w:eastAsia="Arial" w:hAnsi="Arial"/>
          <w:sz w:val="20"/>
          <w:szCs w:val="20"/>
          <w:b w:val="1"/>
          <w:bCs w:val="1"/>
          <w:color w:val="auto"/>
        </w:rPr>
        <w:t>we may be required to issue equity securities that would dilute our stockholders’ percentage ownership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-236220</wp:posOffset>
            </wp:positionV>
            <wp:extent cx="71120" cy="711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we may be required to assume substantial actual or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1100"/>
        <w:spacing w:after="0" w:line="228" w:lineRule="auto"/>
        <w:rPr>
          <w:sz w:val="20"/>
          <w:szCs w:val="20"/>
          <w:color w:val="auto"/>
        </w:rPr>
      </w:pPr>
      <w:r>
        <w:rPr>
          <w:rFonts w:ascii="Arial" w:cs="Arial" w:eastAsia="Arial" w:hAnsi="Arial"/>
          <w:sz w:val="20"/>
          <w:szCs w:val="20"/>
          <w:b w:val="1"/>
          <w:bCs w:val="1"/>
          <w:color w:val="auto"/>
        </w:rPr>
        <w:t>we may not be able to control the amount and timing of resources that our strategic collaborators devote to the development or commercialization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-236220</wp:posOffset>
            </wp:positionV>
            <wp:extent cx="71120" cy="711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jc w:val="both"/>
        <w:ind w:left="1100"/>
        <w:spacing w:after="0" w:line="256" w:lineRule="auto"/>
        <w:rPr>
          <w:sz w:val="20"/>
          <w:szCs w:val="20"/>
          <w:color w:val="auto"/>
        </w:rPr>
      </w:pPr>
      <w:r>
        <w:rPr>
          <w:rFonts w:ascii="Arial" w:cs="Arial" w:eastAsia="Arial" w:hAnsi="Arial"/>
          <w:sz w:val="18"/>
          <w:szCs w:val="18"/>
          <w:b w:val="1"/>
          <w:bCs w:val="1"/>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-800100</wp:posOffset>
            </wp:positionV>
            <wp:extent cx="71120" cy="711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73</w:t>
      </w:r>
    </w:p>
    <w:p>
      <w:pPr>
        <w:sectPr>
          <w:pgSz w:w="12240" w:h="15840" w:orient="portrait"/>
          <w:cols w:equalWidth="0" w:num="1">
            <w:col w:w="10080"/>
          </w:cols>
          <w:pgMar w:left="1080" w:top="1080" w:right="1080" w:bottom="157" w:gutter="0" w:footer="0" w:header="0"/>
        </w:sectPr>
      </w:pPr>
    </w:p>
    <w:bookmarkStart w:id="75" w:name="page76"/>
    <w:bookmarkEnd w:id="75"/>
    <w:p>
      <w:pPr>
        <w:jc w:val="both"/>
        <w:ind w:left="1100"/>
        <w:spacing w:after="0" w:line="228" w:lineRule="auto"/>
        <w:rPr>
          <w:sz w:val="20"/>
          <w:szCs w:val="20"/>
          <w:color w:val="auto"/>
        </w:rPr>
      </w:pPr>
      <w:r>
        <w:rPr>
          <w:rFonts w:ascii="Arial" w:cs="Arial" w:eastAsia="Arial" w:hAnsi="Arial"/>
          <w:sz w:val="20"/>
          <w:szCs w:val="20"/>
          <w:b w:val="1"/>
          <w:bCs w:val="1"/>
          <w:color w:val="auto"/>
        </w:rPr>
        <w:t>strategic collaborators may select indications or design clinical trials in a way that may be less successful than if we were doing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-236220</wp:posOffset>
            </wp:positionV>
            <wp:extent cx="71120" cy="711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jc w:val="both"/>
        <w:ind w:left="1100"/>
        <w:spacing w:after="0" w:line="228" w:lineRule="auto"/>
        <w:rPr>
          <w:sz w:val="20"/>
          <w:szCs w:val="20"/>
          <w:color w:val="auto"/>
        </w:rPr>
      </w:pPr>
      <w:r>
        <w:rPr>
          <w:rFonts w:ascii="Arial" w:cs="Arial" w:eastAsia="Arial" w:hAnsi="Arial"/>
          <w:sz w:val="20"/>
          <w:szCs w:val="20"/>
          <w:b w:val="1"/>
          <w:bCs w:val="1"/>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-375285</wp:posOffset>
            </wp:positionV>
            <wp:extent cx="71120" cy="711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jc w:val="both"/>
        <w:ind w:left="1100"/>
        <w:spacing w:after="0" w:line="297" w:lineRule="auto"/>
        <w:rPr>
          <w:sz w:val="20"/>
          <w:szCs w:val="20"/>
          <w:color w:val="auto"/>
        </w:rPr>
      </w:pPr>
      <w:r>
        <w:rPr>
          <w:rFonts w:ascii="Arial" w:cs="Arial" w:eastAsia="Arial" w:hAnsi="Arial"/>
          <w:sz w:val="17"/>
          <w:szCs w:val="17"/>
          <w:b w:val="1"/>
          <w:bCs w:val="1"/>
          <w:color w:val="auto"/>
        </w:rPr>
        <w:t>strategic collaborators may not pursue further development and commercialization of products resulting from the strategic collaboration arrangement or may elect to discontinue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-266065</wp:posOffset>
            </wp:positionV>
            <wp:extent cx="71120" cy="711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7" w:lineRule="exact"/>
        <w:rPr>
          <w:sz w:val="20"/>
          <w:szCs w:val="20"/>
          <w:color w:val="auto"/>
        </w:rPr>
      </w:pPr>
    </w:p>
    <w:p>
      <w:pPr>
        <w:jc w:val="both"/>
        <w:ind w:left="1100"/>
        <w:spacing w:after="0" w:line="228" w:lineRule="auto"/>
        <w:rPr>
          <w:sz w:val="20"/>
          <w:szCs w:val="20"/>
          <w:color w:val="auto"/>
        </w:rPr>
      </w:pPr>
      <w:r>
        <w:rPr>
          <w:rFonts w:ascii="Arial" w:cs="Arial" w:eastAsia="Arial" w:hAnsi="Arial"/>
          <w:sz w:val="20"/>
          <w:szCs w:val="20"/>
          <w:b w:val="1"/>
          <w:bCs w:val="1"/>
          <w:color w:val="auto"/>
        </w:rPr>
        <w:t>strategic collaborators may not commit adequate resources to the marketing and distribution of our product candidates, limiting our potential revenue from these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-236220</wp:posOffset>
            </wp:positionV>
            <wp:extent cx="71120" cy="711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jc w:val="both"/>
        <w:ind w:left="1100"/>
        <w:spacing w:after="0" w:line="260" w:lineRule="auto"/>
        <w:rPr>
          <w:sz w:val="20"/>
          <w:szCs w:val="20"/>
          <w:color w:val="auto"/>
        </w:rPr>
      </w:pPr>
      <w:r>
        <w:rPr>
          <w:rFonts w:ascii="Arial" w:cs="Arial" w:eastAsia="Arial" w:hAnsi="Arial"/>
          <w:sz w:val="18"/>
          <w:szCs w:val="18"/>
          <w:b w:val="1"/>
          <w:bCs w:val="1"/>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-386080</wp:posOffset>
            </wp:positionV>
            <wp:extent cx="71120" cy="711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strategic collaborators may experience financial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1100"/>
        <w:spacing w:after="0" w:line="228" w:lineRule="auto"/>
        <w:rPr>
          <w:sz w:val="20"/>
          <w:szCs w:val="20"/>
          <w:color w:val="auto"/>
        </w:rPr>
      </w:pPr>
      <w:r>
        <w:rPr>
          <w:rFonts w:ascii="Arial" w:cs="Arial" w:eastAsia="Arial" w:hAnsi="Arial"/>
          <w:sz w:val="20"/>
          <w:szCs w:val="20"/>
          <w:b w:val="1"/>
          <w:bCs w:val="1"/>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-374650</wp:posOffset>
            </wp:positionV>
            <wp:extent cx="71120" cy="711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jc w:val="both"/>
        <w:ind w:left="1100"/>
        <w:spacing w:after="0" w:line="297" w:lineRule="auto"/>
        <w:rPr>
          <w:sz w:val="20"/>
          <w:szCs w:val="20"/>
          <w:color w:val="auto"/>
        </w:rPr>
      </w:pPr>
      <w:r>
        <w:rPr>
          <w:rFonts w:ascii="Arial" w:cs="Arial" w:eastAsia="Arial" w:hAnsi="Arial"/>
          <w:sz w:val="17"/>
          <w:szCs w:val="17"/>
          <w:b w:val="1"/>
          <w:bCs w:val="1"/>
          <w:color w:val="auto"/>
        </w:rPr>
        <w:t>business combinations or significant changes in a strategic collaborator’s business strategy may adversely affect a strategic collaborator’s willingness or ability to complete its obligations under any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-266065</wp:posOffset>
            </wp:positionV>
            <wp:extent cx="71120" cy="711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0" w:lineRule="exact"/>
        <w:rPr>
          <w:sz w:val="20"/>
          <w:szCs w:val="20"/>
          <w:color w:val="auto"/>
        </w:rPr>
      </w:pPr>
    </w:p>
    <w:p>
      <w:pPr>
        <w:jc w:val="both"/>
        <w:ind w:left="1100"/>
        <w:spacing w:after="0"/>
        <w:rPr>
          <w:sz w:val="20"/>
          <w:szCs w:val="20"/>
          <w:color w:val="auto"/>
        </w:rPr>
      </w:pPr>
      <w:r>
        <w:rPr>
          <w:rFonts w:ascii="Arial" w:cs="Arial" w:eastAsia="Arial" w:hAnsi="Arial"/>
          <w:sz w:val="19"/>
          <w:szCs w:val="19"/>
          <w:b w:val="1"/>
          <w:bCs w:val="1"/>
          <w:color w:val="auto"/>
        </w:rPr>
        <w:t>strategic collaborators could decide to move forward with a competing product candidate developed either independently or in collaboration with others, including our competitors;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-236220</wp:posOffset>
            </wp:positionV>
            <wp:extent cx="71120" cy="711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jc w:val="both"/>
        <w:ind w:left="1100"/>
        <w:spacing w:after="0" w:line="228" w:lineRule="auto"/>
        <w:rPr>
          <w:sz w:val="20"/>
          <w:szCs w:val="20"/>
          <w:color w:val="auto"/>
        </w:rPr>
      </w:pPr>
      <w:r>
        <w:rPr>
          <w:rFonts w:ascii="Arial" w:cs="Arial" w:eastAsia="Arial" w:hAnsi="Arial"/>
          <w:sz w:val="20"/>
          <w:szCs w:val="20"/>
          <w:b w:val="1"/>
          <w:bCs w:val="1"/>
          <w:color w:val="auto"/>
        </w:rPr>
        <w:t>strategic collaborators could terminate the arrangement or allow it to expire, which would delay the development and may increase the cost of developing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-236220</wp:posOffset>
            </wp:positionV>
            <wp:extent cx="71120" cy="711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9"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9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93"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93"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96"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w:t>
      </w:r>
    </w:p>
    <w:p>
      <w:pPr>
        <w:spacing w:after="0" w:line="108"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For example, on September 16, 2011, the Leahy-Smith America Invents Act (the “Leahy-Smith Act”) was signed into law. The Leahy-Smith Act included a number of significant changes to U.S.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74</w:t>
      </w:r>
    </w:p>
    <w:p>
      <w:pPr>
        <w:sectPr>
          <w:pgSz w:w="12240" w:h="15840" w:orient="portrait"/>
          <w:cols w:equalWidth="0" w:num="1">
            <w:col w:w="10080"/>
          </w:cols>
          <w:pgMar w:left="1080" w:top="1094" w:right="1080" w:bottom="157" w:gutter="0" w:footer="0" w:header="0"/>
        </w:sectPr>
      </w:pPr>
    </w:p>
    <w:bookmarkStart w:id="76" w:name="page77"/>
    <w:bookmarkEnd w:id="76"/>
    <w:p>
      <w:pPr>
        <w:jc w:val="both"/>
        <w:spacing w:after="0" w:line="284" w:lineRule="auto"/>
        <w:rPr>
          <w:sz w:val="20"/>
          <w:szCs w:val="20"/>
          <w:color w:val="auto"/>
        </w:rPr>
      </w:pPr>
      <w:r>
        <w:rPr>
          <w:rFonts w:ascii="Arial" w:cs="Arial" w:eastAsia="Arial" w:hAnsi="Arial"/>
          <w:sz w:val="17"/>
          <w:szCs w:val="17"/>
          <w:b w:val="1"/>
          <w:bCs w:val="1"/>
          <w:color w:val="auto"/>
        </w:rPr>
        <w:t>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00"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U.S. As a result, we may encounter significant problems in protecting and defending our intellectual property both in the U.S.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U.S. and other countries may materially diminish the value of our intellectual property or narrow the scope of our patent protection.</w:t>
      </w:r>
    </w:p>
    <w:p>
      <w:pPr>
        <w:spacing w:after="0" w:line="96"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85"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69"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306"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75</w:t>
      </w:r>
    </w:p>
    <w:p>
      <w:pPr>
        <w:sectPr>
          <w:pgSz w:w="12240" w:h="15840" w:orient="portrait"/>
          <w:cols w:equalWidth="0" w:num="1">
            <w:col w:w="10080"/>
          </w:cols>
          <w:pgMar w:left="1080" w:top="1089" w:right="1080" w:bottom="157" w:gutter="0" w:footer="0" w:header="0"/>
        </w:sectPr>
      </w:pPr>
    </w:p>
    <w:bookmarkStart w:id="77" w:name="page78"/>
    <w:bookmarkEnd w:id="77"/>
    <w:p>
      <w:pPr>
        <w:jc w:val="both"/>
        <w:spacing w:after="0" w:line="324" w:lineRule="auto"/>
        <w:rPr>
          <w:sz w:val="20"/>
          <w:szCs w:val="20"/>
          <w:color w:val="auto"/>
        </w:rPr>
      </w:pPr>
      <w:r>
        <w:rPr>
          <w:rFonts w:ascii="Arial" w:cs="Arial" w:eastAsia="Arial" w:hAnsi="Arial"/>
          <w:sz w:val="15"/>
          <w:szCs w:val="15"/>
          <w:b w:val="1"/>
          <w:bCs w:val="1"/>
          <w:color w:val="auto"/>
        </w:rPr>
        <w:t>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200" w:lineRule="exact"/>
        <w:rPr>
          <w:sz w:val="20"/>
          <w:szCs w:val="20"/>
          <w:color w:val="auto"/>
        </w:rPr>
      </w:pPr>
    </w:p>
    <w:p>
      <w:pPr>
        <w:spacing w:after="0" w:line="337"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6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18"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 For example, WuXi Biologics has provided only high-level information to us identifying the general nature of the licensed control elements in the expression vector used in the production cell line starting material for adintrevimab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our product candidates, and a third party may claim that our development or commercialization of our product candidates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our product candidates, which may not be feasible on a technical or commercial basis in a timely manner, and we may have to delay or abandon development of our product candidates, which could have a material adverse effect on our business.</w:t>
      </w:r>
    </w:p>
    <w:p>
      <w:pPr>
        <w:spacing w:after="0" w:line="99"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7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may be unsuccessful in licensing or acquiring intellectual property from third parties that may be required to develop and commercialize our product candidates.</w:t>
      </w:r>
    </w:p>
    <w:p>
      <w:pPr>
        <w:spacing w:after="0" w:line="132"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76</w:t>
      </w:r>
    </w:p>
    <w:p>
      <w:pPr>
        <w:sectPr>
          <w:pgSz w:w="12240" w:h="15840" w:orient="portrait"/>
          <w:cols w:equalWidth="0" w:num="1">
            <w:col w:w="10080"/>
          </w:cols>
          <w:pgMar w:left="1080" w:top="1089" w:right="1080" w:bottom="157" w:gutter="0" w:footer="0" w:header="0"/>
        </w:sectPr>
      </w:pPr>
    </w:p>
    <w:bookmarkStart w:id="78" w:name="page79"/>
    <w:bookmarkEnd w:id="78"/>
    <w:p>
      <w:pPr>
        <w:jc w:val="both"/>
        <w:spacing w:after="0" w:line="327" w:lineRule="auto"/>
        <w:rPr>
          <w:sz w:val="20"/>
          <w:szCs w:val="20"/>
          <w:color w:val="auto"/>
        </w:rPr>
      </w:pPr>
      <w:r>
        <w:rPr>
          <w:rFonts w:ascii="Arial" w:cs="Arial" w:eastAsia="Arial" w:hAnsi="Arial"/>
          <w:sz w:val="15"/>
          <w:szCs w:val="15"/>
          <w:b w:val="1"/>
          <w:bCs w:val="1"/>
          <w:color w:val="auto"/>
        </w:rPr>
        <w:t>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30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Third parties may initiate legal proceedings alleging that we are infringing, misappropriating or otherwise violating their intellectual property rights, the outcome of which would be uncertain.</w:t>
      </w:r>
    </w:p>
    <w:p>
      <w:pPr>
        <w:spacing w:after="0" w:line="13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inter partes reviews, and reexamination proceedings before the USPTO or oppositions and other comparable proceedings in foreign jurisdictions. Numerous U.S.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p>
    <w:p>
      <w:pPr>
        <w:spacing w:after="0" w:line="92"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We cannot provide any assurance that our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product candidates, including oppositions, interference proceedings, reexaminations, post-grant review, inter partes review, or derivation proceedings before the USPTO in the U.S.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VYD222, adintrevimab or any future product candidates. In order to successfully challenge the validity of any U.S. patents asserted against us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299"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While we may decide to initiate proceedings to challenge the validity of these or other patents in the future, we may be unsuccessful, and courts or patent offices in the U.S.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03"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77</w:t>
      </w:r>
    </w:p>
    <w:p>
      <w:pPr>
        <w:sectPr>
          <w:pgSz w:w="12240" w:h="15840" w:orient="portrait"/>
          <w:cols w:equalWidth="0" w:num="1">
            <w:col w:w="10080"/>
          </w:cols>
          <w:pgMar w:left="1080" w:top="1089" w:right="1080" w:bottom="157" w:gutter="0" w:footer="0" w:header="0"/>
        </w:sectPr>
      </w:pPr>
    </w:p>
    <w:bookmarkStart w:id="79" w:name="page80"/>
    <w:bookmarkEnd w:id="79"/>
    <w:p>
      <w:pPr>
        <w:jc w:val="both"/>
        <w:spacing w:after="0" w:line="285" w:lineRule="auto"/>
        <w:rPr>
          <w:sz w:val="20"/>
          <w:szCs w:val="20"/>
          <w:color w:val="auto"/>
        </w:rPr>
      </w:pPr>
      <w:r>
        <w:rPr>
          <w:rFonts w:ascii="Arial" w:cs="Arial" w:eastAsia="Arial" w:hAnsi="Arial"/>
          <w:sz w:val="17"/>
          <w:szCs w:val="17"/>
          <w:b w:val="1"/>
          <w:bCs w:val="1"/>
          <w:color w:val="auto"/>
        </w:rPr>
        <w:t>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96"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103"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We may be subject to claims that our employees, consultants, or independent contractors have wrongfully used or disclosed confidential information of third parties.</w:t>
      </w:r>
    </w:p>
    <w:p>
      <w:pPr>
        <w:spacing w:after="0" w:line="132"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7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may be subject to claims challenging the inventorship or ownership of our future patents and other intellectual property.</w:t>
      </w:r>
    </w:p>
    <w:p>
      <w:pPr>
        <w:spacing w:after="0" w:line="130"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Reliance on third parties requires us to share our trade secrets, which increases the possibility that a competitor will discover them or that our trade secrets will be misappropriated or disclosed.</w:t>
      </w:r>
    </w:p>
    <w:p>
      <w:pPr>
        <w:spacing w:after="0" w:line="132" w:lineRule="exact"/>
        <w:rPr>
          <w:sz w:val="20"/>
          <w:szCs w:val="20"/>
          <w:color w:val="auto"/>
        </w:rPr>
      </w:pPr>
    </w:p>
    <w:p>
      <w:pPr>
        <w:jc w:val="both"/>
        <w:ind w:firstLine="490"/>
        <w:spacing w:after="0" w:line="382" w:lineRule="auto"/>
        <w:rPr>
          <w:sz w:val="20"/>
          <w:szCs w:val="20"/>
          <w:color w:val="auto"/>
        </w:rPr>
      </w:pPr>
      <w:r>
        <w:rPr>
          <w:rFonts w:ascii="Arial" w:cs="Arial" w:eastAsia="Arial" w:hAnsi="Arial"/>
          <w:sz w:val="15"/>
          <w:szCs w:val="15"/>
          <w:b w:val="1"/>
          <w:bCs w:val="1"/>
          <w:color w:val="auto"/>
        </w:rPr>
        <w:t>We rely on third parties to manufacture our product candidates, and we collaborate with additional third parties for the development of such product candidates. We therefore must, at times, share trade secrets with them. We may also conduct joint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78</w:t>
      </w:r>
    </w:p>
    <w:p>
      <w:pPr>
        <w:sectPr>
          <w:pgSz w:w="12240" w:h="15840" w:orient="portrait"/>
          <w:cols w:equalWidth="0" w:num="1">
            <w:col w:w="10080"/>
          </w:cols>
          <w:pgMar w:left="1080" w:top="1089" w:right="1080" w:bottom="157" w:gutter="0" w:footer="0" w:header="0"/>
        </w:sectPr>
      </w:pPr>
    </w:p>
    <w:bookmarkStart w:id="80" w:name="page81"/>
    <w:bookmarkEnd w:id="80"/>
    <w:p>
      <w:pPr>
        <w:jc w:val="both"/>
        <w:spacing w:after="0" w:line="328" w:lineRule="auto"/>
        <w:rPr>
          <w:sz w:val="20"/>
          <w:szCs w:val="20"/>
          <w:color w:val="auto"/>
        </w:rPr>
      </w:pPr>
      <w:r>
        <w:rPr>
          <w:rFonts w:ascii="Arial" w:cs="Arial" w:eastAsia="Arial" w:hAnsi="Arial"/>
          <w:sz w:val="15"/>
          <w:szCs w:val="15"/>
          <w:b w:val="1"/>
          <w:bCs w:val="1"/>
          <w:color w:val="auto"/>
        </w:rPr>
        <w:t>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298"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0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may enjoy only limited geographical protection with respect to certain patents and we may not be able to protect our intellectual property rights throughout the world.</w:t>
      </w:r>
    </w:p>
    <w:p>
      <w:pPr>
        <w:spacing w:after="0" w:line="130"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U.S. or Europe. These products may compete with our product candidates, and our future patents or other intellectual property rights may not be effective or sufficient to prevent them from competing. Additionally, unforeseen global events such as the conflict between Russia and Ukraine, and sanctions relating to these events could affect our ability to file, prosecute, and defend patents and patent applications in those jurisdictions.</w:t>
      </w:r>
    </w:p>
    <w:p>
      <w:pPr>
        <w:spacing w:after="0" w:line="97"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Further, legal or regulatory action by various stakeholders or governments could potentially result in us not seeking intellectual property protection for or agreeing not to enforce or being restricted from enforcing intellectual property related to our products. Discussions are ongoing at the World Trade Organization (the “WTO”) regarding the role of intellectual property in the context of the COVID-19 pandemic response. This includes a proposal that would release WTO members from their obligation under the WTO Agreement on Trade Related Aspects of Intellectual Property Rights to grant and enforce various types of intellectual property protection on health products and technology in relation to the treatment of COVID-19.</w:t>
      </w:r>
    </w:p>
    <w:p>
      <w:pPr>
        <w:spacing w:after="0" w:line="68"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9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06" w:lineRule="exact"/>
        <w:rPr>
          <w:sz w:val="20"/>
          <w:szCs w:val="20"/>
          <w:color w:val="auto"/>
        </w:rPr>
      </w:pPr>
    </w:p>
    <w:p>
      <w:pPr>
        <w:jc w:val="both"/>
        <w:ind w:firstLine="490"/>
        <w:spacing w:after="0" w:line="341" w:lineRule="auto"/>
        <w:rPr>
          <w:sz w:val="20"/>
          <w:szCs w:val="20"/>
          <w:color w:val="auto"/>
        </w:rPr>
      </w:pPr>
      <w:r>
        <w:rPr>
          <w:rFonts w:ascii="Arial" w:cs="Arial" w:eastAsia="Arial" w:hAnsi="Arial"/>
          <w:sz w:val="15"/>
          <w:szCs w:val="15"/>
          <w:b w:val="1"/>
          <w:bCs w:val="1"/>
          <w:color w:val="auto"/>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79</w:t>
      </w:r>
    </w:p>
    <w:p>
      <w:pPr>
        <w:sectPr>
          <w:pgSz w:w="12240" w:h="15840" w:orient="portrait"/>
          <w:cols w:equalWidth="0" w:num="1">
            <w:col w:w="10080"/>
          </w:cols>
          <w:pgMar w:left="1080" w:top="1089" w:right="1080" w:bottom="157" w:gutter="0" w:footer="0" w:header="0"/>
        </w:sectPr>
      </w:pPr>
    </w:p>
    <w:bookmarkStart w:id="81" w:name="page82"/>
    <w:bookmarkEnd w:id="81"/>
    <w:p>
      <w:pPr>
        <w:jc w:val="both"/>
        <w:spacing w:after="0" w:line="289" w:lineRule="auto"/>
        <w:rPr>
          <w:sz w:val="20"/>
          <w:szCs w:val="20"/>
          <w:color w:val="auto"/>
        </w:rPr>
      </w:pPr>
      <w:r>
        <w:rPr>
          <w:rFonts w:ascii="Arial" w:cs="Arial" w:eastAsia="Arial" w:hAnsi="Arial"/>
          <w:sz w:val="17"/>
          <w:szCs w:val="17"/>
          <w:b w:val="1"/>
          <w:bCs w:val="1"/>
          <w:color w:val="auto"/>
        </w:rPr>
        <w:t>could make it difficult for us to stop the infringement, misappropriation or other violation of our future patents or marketing of competing products in violation of our proprietary rights generally. For example,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93"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08"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Some countries also have compulsory licensing laws under which a patent owner may be compelled to grant licenses to third parties. As a result, in response to the COVID-19 pandemic, it is possible that certain countries may take steps to facilitate compulsory licenses that permit the distribution of a COVID-19 therapeutic in those countries.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94"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spacing w:after="0" w:line="11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33"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Periodic maintenance fees, renewal fees, annuity fees and various other government fees on patents and/or applications will be due to be paid to the USPTO and various government patent agencies outside of the U.S. over the lifetime of our owned and licensed patents and/or applications and any patent rights we may obtain in the future. Furthermore, the USPTO and various non-U.S.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w:t>
      </w:r>
    </w:p>
    <w:p>
      <w:pPr>
        <w:spacing w:after="0" w:line="30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Any trademarks we have obtained or may obtain may be infringed or otherwise violated, or successfully challenged, resulting in harm to our business.</w:t>
      </w:r>
    </w:p>
    <w:p>
      <w:pPr>
        <w:spacing w:after="0" w:line="132"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We expect to rely on trademarks as one means to distinguish our product candidates, if approved for marketing, from the drugs of our competitors. We also expect to rely on trademarks to protect our company name. Once we select new trademarks and apply to register them, our trademark applications may not be approved. Although we would be given an opportunity to respond to those rejections, we may be unable to overcome such rejections. We currently have trademark applications pending in the U.S. and in certain foreign jurisdictions, but we have no issued trademark registrations in the U.S. Third parties may oppose or attempt to cancel our trademark applications or trademarks, or otherwise challenge our use of the trademarks. If we are found to infringe a third party’s trademark rights, we could be forced to rebrand our company or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U.S. must be approved by the FDA, regardless of whether we have registered it, or applied to register it, as a trademark. The FDA typically conducts a review of proposed product names, including an evaluation of potential for confusion with other product names. If the FDA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80</w:t>
      </w:r>
    </w:p>
    <w:p>
      <w:pPr>
        <w:sectPr>
          <w:pgSz w:w="12240" w:h="15840" w:orient="portrait"/>
          <w:cols w:equalWidth="0" w:num="1">
            <w:col w:w="10080"/>
          </w:cols>
          <w:pgMar w:left="1080" w:top="1089" w:right="1080" w:bottom="157" w:gutter="0" w:footer="0" w:header="0"/>
        </w:sectPr>
      </w:pPr>
    </w:p>
    <w:bookmarkStart w:id="82" w:name="page83"/>
    <w:bookmarkEnd w:id="82"/>
    <w:p>
      <w:pPr>
        <w:jc w:val="both"/>
        <w:spacing w:after="0" w:line="351" w:lineRule="auto"/>
        <w:rPr>
          <w:sz w:val="20"/>
          <w:szCs w:val="20"/>
          <w:color w:val="auto"/>
        </w:rPr>
      </w:pPr>
      <w:r>
        <w:rPr>
          <w:rFonts w:ascii="Arial" w:cs="Arial" w:eastAsia="Arial" w:hAnsi="Arial"/>
          <w:sz w:val="15"/>
          <w:szCs w:val="15"/>
          <w:b w:val="1"/>
          <w:bCs w:val="1"/>
          <w:color w:val="auto"/>
        </w:rPr>
        <w:t>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52"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Intellectual property rights do not necessarily address all potential threats to our competitive advantage.</w:t>
      </w:r>
    </w:p>
    <w:p>
      <w:pPr>
        <w:spacing w:after="0" w:line="132"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7" w:lineRule="exact"/>
        <w:rPr>
          <w:sz w:val="20"/>
          <w:szCs w:val="20"/>
          <w:color w:val="auto"/>
        </w:rPr>
      </w:pPr>
    </w:p>
    <w:p>
      <w:pPr>
        <w:jc w:val="both"/>
        <w:ind w:left="1100"/>
        <w:spacing w:after="0" w:line="251" w:lineRule="auto"/>
        <w:rPr>
          <w:sz w:val="20"/>
          <w:szCs w:val="20"/>
          <w:color w:val="auto"/>
        </w:rPr>
      </w:pPr>
      <w:r>
        <w:rPr>
          <w:rFonts w:ascii="Arial" w:cs="Arial" w:eastAsia="Arial" w:hAnsi="Arial"/>
          <w:sz w:val="19"/>
          <w:szCs w:val="19"/>
          <w:b w:val="1"/>
          <w:bCs w:val="1"/>
          <w:color w:val="auto"/>
        </w:rPr>
        <w:t>others may be able to make products that are similar to or otherwise competitive with our product candidates but that are not covered by the claims of any of our patents, should they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-248920</wp:posOffset>
            </wp:positionV>
            <wp:extent cx="71120" cy="711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an in-license necessary for the manufacture, use, sale, offer for sale or importation of one or more of our product candidates may be terminated by the licensor;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we or our collaborators might not have been the first to make the inventions covered by our future issued patents or our pending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we or our collaborators might not have been the first to file patent applications covering certain of our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-68580</wp:posOffset>
            </wp:positionV>
            <wp:extent cx="71120" cy="711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2" w:lineRule="exact"/>
        <w:rPr>
          <w:sz w:val="20"/>
          <w:szCs w:val="20"/>
          <w:color w:val="auto"/>
        </w:rPr>
      </w:pPr>
    </w:p>
    <w:p>
      <w:pPr>
        <w:jc w:val="both"/>
        <w:ind w:left="1100"/>
        <w:spacing w:after="0" w:line="281" w:lineRule="auto"/>
        <w:rPr>
          <w:sz w:val="20"/>
          <w:szCs w:val="20"/>
          <w:color w:val="auto"/>
        </w:rPr>
      </w:pPr>
      <w:r>
        <w:rPr>
          <w:rFonts w:ascii="Arial" w:cs="Arial" w:eastAsia="Arial" w:hAnsi="Arial"/>
          <w:sz w:val="18"/>
          <w:szCs w:val="18"/>
          <w:b w:val="1"/>
          <w:bCs w:val="1"/>
          <w:color w:val="auto"/>
        </w:rPr>
        <w:t>others may independently develop similar or alternative technologies or duplicate any of our technologies without infringing, misappropriating or otherwise violating our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it is possible that our pending patent applications will not lead to issued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issued patents that we own or in-license may be held invalid or unenforceable as a result of legal challenges by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issued patents that we own or in-license may not provide coverage for all aspects of our product candidates in all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71" w:lineRule="auto"/>
        <w:rPr>
          <w:sz w:val="20"/>
          <w:szCs w:val="20"/>
          <w:color w:val="auto"/>
        </w:rPr>
      </w:pPr>
      <w:r>
        <w:rPr>
          <w:rFonts w:ascii="Arial" w:cs="Arial" w:eastAsia="Arial" w:hAnsi="Arial"/>
          <w:sz w:val="18"/>
          <w:szCs w:val="18"/>
          <w:b w:val="1"/>
          <w:bCs w:val="1"/>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-552450</wp:posOffset>
            </wp:positionV>
            <wp:extent cx="71120" cy="711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8"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we may not develop additional proprietary technologies that are patentable;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patents of others may have an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Should any of these events occur, they could significantly harm our business, results of operations and prospects.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Legal and Regulatory Compliance Matters</w:t>
      </w:r>
    </w:p>
    <w:p>
      <w:pPr>
        <w:spacing w:after="0" w:line="131"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86"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Healthcare providers, including physicians, and third-party payors in the U.S.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90" w:lineRule="exact"/>
        <w:rPr>
          <w:sz w:val="20"/>
          <w:szCs w:val="20"/>
          <w:color w:val="auto"/>
        </w:rPr>
      </w:pPr>
    </w:p>
    <w:p>
      <w:pPr>
        <w:jc w:val="both"/>
        <w:ind w:left="1100"/>
        <w:spacing w:after="0" w:line="298" w:lineRule="auto"/>
        <w:rPr>
          <w:sz w:val="20"/>
          <w:szCs w:val="20"/>
          <w:color w:val="auto"/>
        </w:rPr>
      </w:pPr>
      <w:r>
        <w:rPr>
          <w:rFonts w:ascii="Arial" w:cs="Arial" w:eastAsia="Arial" w:hAnsi="Arial"/>
          <w:sz w:val="15"/>
          <w:szCs w:val="15"/>
          <w:b w:val="1"/>
          <w:bCs w:val="1"/>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-910590</wp:posOffset>
            </wp:positionV>
            <wp:extent cx="71120" cy="711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81</w:t>
      </w:r>
    </w:p>
    <w:p>
      <w:pPr>
        <w:sectPr>
          <w:pgSz w:w="12240" w:h="15840" w:orient="portrait"/>
          <w:cols w:equalWidth="0" w:num="1">
            <w:col w:w="10080"/>
          </w:cols>
          <w:pgMar w:left="1080" w:top="1089" w:right="1080" w:bottom="157" w:gutter="0" w:footer="0" w:header="0"/>
        </w:sectPr>
      </w:pPr>
    </w:p>
    <w:bookmarkStart w:id="83" w:name="page84"/>
    <w:bookmarkEnd w:id="83"/>
    <w:p>
      <w:pPr>
        <w:jc w:val="both"/>
        <w:ind w:left="1100"/>
        <w:spacing w:after="0" w:line="230" w:lineRule="auto"/>
        <w:rPr>
          <w:sz w:val="20"/>
          <w:szCs w:val="20"/>
          <w:color w:val="auto"/>
        </w:rPr>
      </w:pPr>
      <w:r>
        <w:rPr>
          <w:rFonts w:ascii="Arial" w:cs="Arial" w:eastAsia="Arial" w:hAnsi="Arial"/>
          <w:sz w:val="19"/>
          <w:szCs w:val="19"/>
          <w:b w:val="1"/>
          <w:bCs w:val="1"/>
          <w:color w:val="auto"/>
        </w:rPr>
        <w:t>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122" w:lineRule="exact"/>
        <w:rPr>
          <w:sz w:val="20"/>
          <w:szCs w:val="20"/>
          <w:color w:val="auto"/>
        </w:rPr>
      </w:pPr>
    </w:p>
    <w:p>
      <w:pPr>
        <w:jc w:val="both"/>
        <w:ind w:left="1100"/>
        <w:spacing w:after="0" w:line="293" w:lineRule="auto"/>
        <w:rPr>
          <w:sz w:val="20"/>
          <w:szCs w:val="20"/>
          <w:color w:val="auto"/>
        </w:rPr>
      </w:pPr>
      <w:r>
        <w:rPr>
          <w:rFonts w:ascii="Arial" w:cs="Arial" w:eastAsia="Arial" w:hAnsi="Arial"/>
          <w:sz w:val="15"/>
          <w:szCs w:val="15"/>
          <w:b w:val="1"/>
          <w:bCs w:val="1"/>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-1563370</wp:posOffset>
            </wp:positionV>
            <wp:extent cx="71120" cy="711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78" w:lineRule="exact"/>
        <w:rPr>
          <w:sz w:val="20"/>
          <w:szCs w:val="20"/>
          <w:color w:val="auto"/>
        </w:rPr>
      </w:pPr>
    </w:p>
    <w:p>
      <w:pPr>
        <w:jc w:val="both"/>
        <w:ind w:left="1100"/>
        <w:spacing w:after="0" w:line="297" w:lineRule="auto"/>
        <w:rPr>
          <w:sz w:val="20"/>
          <w:szCs w:val="20"/>
          <w:color w:val="auto"/>
        </w:rPr>
      </w:pPr>
      <w:r>
        <w:rPr>
          <w:rFonts w:ascii="Arial" w:cs="Arial" w:eastAsia="Arial" w:hAnsi="Arial"/>
          <w:sz w:val="15"/>
          <w:szCs w:val="15"/>
          <w:b w:val="1"/>
          <w:bCs w:val="1"/>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-1043305</wp:posOffset>
            </wp:positionV>
            <wp:extent cx="71120" cy="711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3" w:lineRule="exact"/>
        <w:rPr>
          <w:sz w:val="20"/>
          <w:szCs w:val="20"/>
          <w:color w:val="auto"/>
        </w:rPr>
      </w:pPr>
    </w:p>
    <w:p>
      <w:pPr>
        <w:jc w:val="both"/>
        <w:ind w:left="1100"/>
        <w:spacing w:after="0" w:line="242" w:lineRule="auto"/>
        <w:rPr>
          <w:sz w:val="20"/>
          <w:szCs w:val="20"/>
          <w:color w:val="auto"/>
        </w:rPr>
      </w:pPr>
      <w:r>
        <w:rPr>
          <w:rFonts w:ascii="Arial" w:cs="Arial" w:eastAsia="Arial" w:hAnsi="Arial"/>
          <w:sz w:val="18"/>
          <w:szCs w:val="18"/>
          <w:b w:val="1"/>
          <w:bCs w:val="1"/>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-886460</wp:posOffset>
            </wp:positionV>
            <wp:extent cx="71120" cy="711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3" w:lineRule="exact"/>
        <w:rPr>
          <w:sz w:val="20"/>
          <w:szCs w:val="20"/>
          <w:color w:val="auto"/>
        </w:rPr>
      </w:pPr>
    </w:p>
    <w:p>
      <w:pPr>
        <w:jc w:val="both"/>
        <w:ind w:left="1100"/>
        <w:spacing w:after="0" w:line="259" w:lineRule="auto"/>
        <w:rPr>
          <w:sz w:val="20"/>
          <w:szCs w:val="20"/>
          <w:color w:val="auto"/>
        </w:rPr>
      </w:pPr>
      <w:r>
        <w:rPr>
          <w:rFonts w:ascii="Arial" w:cs="Arial" w:eastAsia="Arial" w:hAnsi="Arial"/>
          <w:sz w:val="17"/>
          <w:szCs w:val="17"/>
          <w:b w:val="1"/>
          <w:bCs w:val="1"/>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-896620</wp:posOffset>
            </wp:positionV>
            <wp:extent cx="71120" cy="711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7" w:lineRule="exact"/>
        <w:rPr>
          <w:sz w:val="20"/>
          <w:szCs w:val="20"/>
          <w:color w:val="auto"/>
        </w:rPr>
      </w:pPr>
    </w:p>
    <w:p>
      <w:pPr>
        <w:jc w:val="both"/>
        <w:ind w:left="1100"/>
        <w:spacing w:after="0" w:line="288" w:lineRule="auto"/>
        <w:rPr>
          <w:sz w:val="20"/>
          <w:szCs w:val="20"/>
          <w:color w:val="auto"/>
        </w:rPr>
      </w:pPr>
      <w:r>
        <w:rPr>
          <w:rFonts w:ascii="Arial" w:cs="Arial" w:eastAsia="Arial" w:hAnsi="Arial"/>
          <w:sz w:val="17"/>
          <w:szCs w:val="17"/>
          <w:b w:val="1"/>
          <w:bCs w:val="1"/>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-852170</wp:posOffset>
            </wp:positionV>
            <wp:extent cx="71120" cy="711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3"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298"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82</w:t>
      </w:r>
    </w:p>
    <w:p>
      <w:pPr>
        <w:sectPr>
          <w:pgSz w:w="12240" w:h="15840" w:orient="portrait"/>
          <w:cols w:equalWidth="0" w:num="1">
            <w:col w:w="10080"/>
          </w:cols>
          <w:pgMar w:left="1080" w:top="1070" w:right="1080" w:bottom="157" w:gutter="0" w:footer="0" w:header="0"/>
        </w:sectPr>
      </w:pPr>
    </w:p>
    <w:bookmarkStart w:id="84" w:name="page85"/>
    <w:bookmarkEnd w:id="84"/>
    <w:p>
      <w:pPr>
        <w:jc w:val="both"/>
        <w:spacing w:after="0" w:line="270" w:lineRule="auto"/>
        <w:rPr>
          <w:sz w:val="20"/>
          <w:szCs w:val="20"/>
          <w:color w:val="auto"/>
        </w:rPr>
      </w:pPr>
      <w:r>
        <w:rPr>
          <w:rFonts w:ascii="Arial" w:cs="Arial" w:eastAsia="Arial" w:hAnsi="Arial"/>
          <w:sz w:val="18"/>
          <w:szCs w:val="18"/>
          <w:b w:val="1"/>
          <w:bCs w:val="1"/>
          <w:color w:val="auto"/>
        </w:rPr>
        <w:t>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05"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Even if we obtain regulatory authorization or approval for a product candidate, such products will remain subject to ongoing regulatory oversight, which may result in significant additional expense.</w:t>
      </w:r>
    </w:p>
    <w:p>
      <w:pPr>
        <w:spacing w:after="0" w:line="132"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Even if we obtain any regulatory authorization or approval for VYD222, adintrevimab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 product candidate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74"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including any limitations on advertising and promotion for a product authorized under an EUA.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If our product were granted an EUA, there are conditions the FDA imposes on manufacturers as to permissible form and substance and process for regulatory submission of promotional communications, which conditions are subject to change. If an EUA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Furthermore, the FDA may terminate an EUA if safety issues or other concerns about our product, such as loss of neutralizing activity against dominant circulating SARS-CoV-2 variants, arise or if we fail to comply with the conditions of authorization.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306"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We need to monitor adverse events resulting from the use of our products candidates, as do the regulatory authorities, and we file periodic reports with the authorities concerning adverse events. The FDA, the competent authorities of the European Union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variation, suspension or withdrawal of marketing authorization, or suspension of manufacturing, or imposition of financial penalties or other enforcement measures.</w:t>
      </w:r>
    </w:p>
    <w:p>
      <w:pPr>
        <w:spacing w:after="0" w:line="29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If we fail to comply with applicable regulatory requirements following approval of a product candidate, a regulatory authority may:</w:t>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issue an untitled letter or warning letter asserting that we are in violation of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seek an injunction or impose administrative, civil or criminal penalties or monetary fines;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suspend or withdraw regulatory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suspend any ongoing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line="312" w:lineRule="auto"/>
        <w:rPr>
          <w:sz w:val="20"/>
          <w:szCs w:val="20"/>
          <w:color w:val="auto"/>
        </w:rPr>
      </w:pPr>
      <w:r>
        <w:rPr>
          <w:rFonts w:ascii="Arial" w:cs="Arial" w:eastAsia="Arial" w:hAnsi="Arial"/>
          <w:sz w:val="17"/>
          <w:szCs w:val="17"/>
          <w:b w:val="1"/>
          <w:bCs w:val="1"/>
          <w:color w:val="auto"/>
        </w:rPr>
        <w:t>refuse to approve a pending marketing application or supplement to an approved application or comparable foreign marketing application (or any supplements thereto) submitted by us or our strategic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-281305</wp:posOffset>
            </wp:positionV>
            <wp:extent cx="71120" cy="711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83</w:t>
      </w:r>
    </w:p>
    <w:p>
      <w:pPr>
        <w:sectPr>
          <w:pgSz w:w="12240" w:h="15840" w:orient="portrait"/>
          <w:cols w:equalWidth="0" w:num="1">
            <w:col w:w="10080"/>
          </w:cols>
          <w:pgMar w:left="1080" w:top="1089" w:right="1080" w:bottom="157" w:gutter="0" w:footer="0" w:header="0"/>
        </w:sectPr>
      </w:pPr>
    </w:p>
    <w:bookmarkStart w:id="85" w:name="page86"/>
    <w:bookmarkEnd w:id="85"/>
    <w:p>
      <w:pPr>
        <w:ind w:left="1100"/>
        <w:spacing w:after="0"/>
        <w:rPr>
          <w:sz w:val="20"/>
          <w:szCs w:val="20"/>
          <w:color w:val="auto"/>
        </w:rPr>
      </w:pPr>
      <w:r>
        <w:rPr>
          <w:rFonts w:ascii="Arial" w:cs="Arial" w:eastAsia="Arial" w:hAnsi="Arial"/>
          <w:sz w:val="20"/>
          <w:szCs w:val="20"/>
          <w:b w:val="1"/>
          <w:bCs w:val="1"/>
          <w:color w:val="auto"/>
        </w:rPr>
        <w:t>restrict the marketing or manufacturing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seize or detain the drug or otherwise require the withdrawal of the drug from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refuse to permit the import or export of products or product candidates;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refuse to allow us to enter into supply contracts, including government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VYD222, adintrevimab or any future product candidates and harm our business, financial condition, results of operations and prospects.</w:t>
      </w:r>
    </w:p>
    <w:p>
      <w:pPr>
        <w:spacing w:after="0" w:line="131"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Even if we obtain authorization under an EUA or FDA or European Commission approval any of our product candidates in the U.S. or European Union, we may never obtain authorization or approval for or commercialize any of them in any other jurisdiction, which would limit our ability to realize any of their full market potential.</w:t>
      </w:r>
    </w:p>
    <w:p>
      <w:pPr>
        <w:spacing w:after="0" w:line="102"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order to market any products in any particular jurisdiction, we must establish and comply with numerous and varying regulatory requirements on a country-by-country basis regarding safety and efficacy. In addition, in order to distribute VYD222, adintrevimab or any future product candidates, if authorized under an EUA, we will need to secure and maintain required state licenses.</w:t>
      </w:r>
    </w:p>
    <w:p>
      <w:pPr>
        <w:spacing w:after="0" w:line="13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Authorization or approval by the FDA in the U.S. or the European Commission in the European Union does not ensure authorization or approval by regulatory authorities in other countries or jurisdictions. However, the failure to obtain authorization or approval in one jurisdiction may negatively impact our ability to obtain authorization or approval elsewhere. In addition, clinical trials conducted in one country may not be accepted by regulatory authorities in other countries, and regulatory authorization or approval in one country does not guarantee regulatory authorization or approval in any other country.</w:t>
      </w:r>
    </w:p>
    <w:p>
      <w:pPr>
        <w:spacing w:after="0" w:line="124"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Authorization and approval processes vary among countries and can involve additional product testing and validation and additional administrative review periods. Seeking foreign regulatory authorization or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authorized or approved for sale in any jurisdiction, including in international markets, and we do not have experience in obtaining regulatory authorization or approval in international markets. If we fail to comply with regulatory requirements in international markets or to obtain and maintain required authorizations or approvals, or if regulatory authorizations or approvals in international markets are delayed, our target market will be reduced and our ability to realize the full market potential of any product we develop will be unrealized.</w:t>
      </w:r>
    </w:p>
    <w:p>
      <w:pPr>
        <w:spacing w:after="0" w:line="9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Healthcare legislative or regulatory reform measures may have a negative impact on our business and results of operations.</w:t>
      </w:r>
    </w:p>
    <w:p>
      <w:pPr>
        <w:spacing w:after="0" w:line="132"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In the U.S.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95"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There have been executive, judicial and congressional challenges to certain aspects of the ACA and its implementing regulations as well as efforts to modify them or alter their interpretation or implementation. While the U.S. Congress has not passed comprehensive repeal legislation, several bills affecting the implementation of certain taxes under the ACA have been signed into law.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84</w:t>
      </w:r>
    </w:p>
    <w:p>
      <w:pPr>
        <w:sectPr>
          <w:pgSz w:w="12240" w:h="15840" w:orient="portrait"/>
          <w:cols w:equalWidth="0" w:num="1">
            <w:col w:w="10080"/>
          </w:cols>
          <w:pgMar w:left="1080" w:top="1093" w:right="1080" w:bottom="157" w:gutter="0" w:footer="0" w:header="0"/>
        </w:sectPr>
      </w:pPr>
    </w:p>
    <w:bookmarkStart w:id="86" w:name="page87"/>
    <w:bookmarkEnd w:id="86"/>
    <w:p>
      <w:pPr>
        <w:jc w:val="both"/>
        <w:spacing w:after="0" w:line="341" w:lineRule="auto"/>
        <w:rPr>
          <w:sz w:val="20"/>
          <w:szCs w:val="20"/>
          <w:color w:val="auto"/>
        </w:rPr>
      </w:pPr>
      <w:r>
        <w:rPr>
          <w:rFonts w:ascii="Arial" w:cs="Arial" w:eastAsia="Arial" w:hAnsi="Arial"/>
          <w:sz w:val="15"/>
          <w:szCs w:val="15"/>
          <w:b w:val="1"/>
          <w:bCs w:val="1"/>
          <w:color w:val="auto"/>
        </w:rPr>
        <w:t>medical device tax and, effective January 1, 2021, also eliminated the health insurer tax. Additional legislative changes, regulatory changes and judicial challenges related to the ACA remain possible, but the nature and extent of such potential changes or challenges are uncertain at this time. It is unclear how any efforts to modify, or invalidate the ACA, its implementing regulations, or portions thereof, and other reform measures that may be adopted in the future will affect our business.</w:t>
      </w:r>
    </w:p>
    <w:p>
      <w:pPr>
        <w:spacing w:after="0" w:line="59"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and the Infrastructure Investment and Jobs Act, will remain in effect through 2031. Under current legislation, after a brief pause and reduction to 1% due to COVID-19, the actual reduction in Medicare payments will vary from 2% in 2023 to up to 4% in the final fiscal year of this sequester.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or otherwise have an adverse effect on customers for our product candidates, if approved, and, accordingly, our financial operations.</w:t>
      </w:r>
    </w:p>
    <w:p>
      <w:pPr>
        <w:spacing w:after="0" w:line="95"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Additionally,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FDA concurrently released a final rule and guidance in September 2020 providing pathways for states to build and submit importation plans for drugs from Canada. Recently, on August 16, 2022, President Biden signed the Inflation Reduction Act of 2022 into law. The Inflation Reduction Act of 2022, among other things, amends the longstanding “non-interference” clause under Medicare Part D and now permits the U.S. Department of Health and Human Services to negotiate prescription drug prices with companies, subject to a specified cap, for Medicare units of a specified number of certain brand name drugs or biologics without generic or biosimilar competitors each year, with such prices first set to take effect starting in 2026 for such products reimbursed under Medicare Part D and in 2028 for products reimbursed under Medicare Part B. Congress may continue to consider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08"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Any new regulations or guidance, or revisions or reinterpretations of existing regulations or guidance, may impose additional costs or lengthen FDA review times for VYD222, adintrevimab or any other product candidates. We cannot determine how changes in regulations, statutes, policies or interpretations when and if issued, enacted or adopted, may affect our business in the future. Such changes could, among other things, require:</w:t>
      </w:r>
    </w:p>
    <w:p>
      <w:pPr>
        <w:spacing w:after="0" w:line="108"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additional clinical trials to be conducted prior to obtaining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changes to manufacturing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recalls, replacements or discontinuance of one or more of our products, if approved;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additional recordkeeping.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Such changes would likely require substantial time and impose significant costs, or could reduce the potential commercial value of VYD222, adintrevimab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85</w:t>
      </w:r>
    </w:p>
    <w:p>
      <w:pPr>
        <w:sectPr>
          <w:pgSz w:w="12240" w:h="15840" w:orient="portrait"/>
          <w:cols w:equalWidth="0" w:num="1">
            <w:col w:w="10080"/>
          </w:cols>
          <w:pgMar w:left="1080" w:top="1089" w:right="1080" w:bottom="157"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Risks Related to Employee Matters and Managing Our Growth</w:t>
      </w:r>
    </w:p>
    <w:p>
      <w:pPr>
        <w:spacing w:after="0" w:line="1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Our future success depends on our ability to retain key executives and to attract, retain and motivate qualified personnel.</w:t>
      </w:r>
    </w:p>
    <w:p>
      <w:pPr>
        <w:spacing w:after="0" w:line="132"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20"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including our current search for a permanent Chief Financial Officer, may be difficult and may take an extended period of time because of the limited number of individuals in our industry with the breadth of skills and experience required to successfully develop, gain regulatory authorization or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99"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96"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Adimab is currently our largest stockholder and beneficially owns approximately 24.3% of the voting power of our outstanding common stock according to a Schedule 13D filed by Adimab on June 24, 2022, which reported ownership as of June 22, 2022.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94"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Furthermore, certain of our directors, officers and key employees may have actual or potential conflicts of interest with us because of their positions or affiliations with Adimab or their beneficial ownership of equity in Adimab. Terrance McGuire, a member of the board of directors of Adimab, serves on our board of directors and retains his position and affiliation with Adimab.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w:t>
      </w:r>
    </w:p>
    <w:p>
      <w:pPr>
        <w:spacing w:after="0" w:line="6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may expand our clinical development and regulatory capabilities and potentially implement sales, marketing and distribution capabilities, and as a result, we may encounter difficulties in managing our growth, which could disrupt our operations.</w:t>
      </w:r>
    </w:p>
    <w:p>
      <w:pPr>
        <w:spacing w:after="0" w:line="133"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Depending on our development progresses, we may experience growth in the number of our employees and the scope of our operations, particularly in the areas of research and discovery, clinical product development, regulatory affairs, manufacturing and, if any of our product candidates receives marketing approval, sales, marketing and distribution. To manage our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86</w:t>
      </w:r>
    </w:p>
    <w:p>
      <w:pPr>
        <w:sectPr>
          <w:pgSz w:w="12240" w:h="15840" w:orient="portrait"/>
          <w:cols w:equalWidth="0" w:num="1">
            <w:col w:w="10080"/>
          </w:cols>
          <w:pgMar w:left="1080" w:top="1079" w:right="1080" w:bottom="157" w:gutter="0" w:footer="0" w:header="0"/>
        </w:sectPr>
      </w:pPr>
    </w:p>
    <w:bookmarkStart w:id="88" w:name="page89"/>
    <w:bookmarkEnd w:id="88"/>
    <w:p>
      <w:pPr>
        <w:jc w:val="both"/>
        <w:ind w:firstLine="490"/>
        <w:spacing w:after="0" w:line="235" w:lineRule="auto"/>
        <w:rPr>
          <w:sz w:val="20"/>
          <w:szCs w:val="20"/>
          <w:color w:val="auto"/>
        </w:rPr>
      </w:pPr>
      <w:r>
        <w:rPr>
          <w:rFonts w:ascii="Arial" w:cs="Arial" w:eastAsia="Arial" w:hAnsi="Arial"/>
          <w:sz w:val="20"/>
          <w:szCs w:val="20"/>
          <w:b w:val="1"/>
          <w:bCs w:val="1"/>
          <w:color w:val="auto"/>
        </w:rPr>
        <w:t>Our employees, independent contractors, consultants, collaborators, principal investigators, CROs, CDMOs, suppliers and vendors may engage in misconduct or other improper activities, including non-compliance with regulatory standards and requirements.</w:t>
      </w:r>
    </w:p>
    <w:p>
      <w:pPr>
        <w:spacing w:after="0" w:line="133" w:lineRule="exact"/>
        <w:rPr>
          <w:sz w:val="20"/>
          <w:szCs w:val="20"/>
          <w:color w:val="auto"/>
        </w:rPr>
      </w:pPr>
    </w:p>
    <w:p>
      <w:pPr>
        <w:jc w:val="both"/>
        <w:ind w:firstLine="490"/>
        <w:spacing w:after="0" w:line="323" w:lineRule="auto"/>
        <w:rPr>
          <w:sz w:val="20"/>
          <w:szCs w:val="20"/>
          <w:color w:val="auto"/>
        </w:rPr>
      </w:pPr>
      <w:r>
        <w:rPr>
          <w:rFonts w:ascii="Arial" w:cs="Arial" w:eastAsia="Arial" w:hAnsi="Arial"/>
          <w:sz w:val="15"/>
          <w:szCs w:val="15"/>
          <w:b w:val="1"/>
          <w:bCs w:val="1"/>
          <w:color w:val="auto"/>
        </w:rPr>
        <w:t>We are exposed to the risk that our employees, independent contractors, consultants, collaborators, principal investigators, CROs, suppliers and vendors may engage in misconduct, including intentional, reckless and/or negligent conduct that violates civil, criminal or administrative laws or regulations, including fraudulent conduct or other illegal activity. Misconduct by these parties could include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 and Our Status as a Public Company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An active trading market for our common stock may not continue to be developed or sustained.</w:t>
      </w:r>
    </w:p>
    <w:p>
      <w:pPr>
        <w:spacing w:after="0" w:line="129"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Prior to the IPO, there was no public market for our common stock. Although our common stock is listed on the Nasdaq Global Market, an active trading market for our common stock may not continue to develop or be sustained, it may be difficult for you to sell shares at an attractive price or at all.</w:t>
      </w:r>
    </w:p>
    <w:p>
      <w:pPr>
        <w:spacing w:after="0" w:line="13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trading price of the shares of our common stock has been and may continue to be volatile, and purchasers of our common stock could incur substantial losses.</w:t>
      </w:r>
    </w:p>
    <w:p>
      <w:pPr>
        <w:spacing w:after="0" w:line="132"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Our stock price may be volatile. Since the IPO and through March 16, 2023, our common stock has traded at prices ranging from $1.42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07" w:lineRule="exact"/>
        <w:rPr>
          <w:sz w:val="20"/>
          <w:szCs w:val="20"/>
          <w:color w:val="auto"/>
        </w:rPr>
      </w:pPr>
    </w:p>
    <w:p>
      <w:pPr>
        <w:jc w:val="both"/>
        <w:ind w:left="1100"/>
        <w:spacing w:after="0" w:line="278" w:lineRule="auto"/>
        <w:rPr>
          <w:sz w:val="20"/>
          <w:szCs w:val="20"/>
          <w:color w:val="auto"/>
        </w:rPr>
      </w:pPr>
      <w:r>
        <w:rPr>
          <w:rFonts w:ascii="Arial" w:cs="Arial" w:eastAsia="Arial" w:hAnsi="Arial"/>
          <w:sz w:val="18"/>
          <w:szCs w:val="18"/>
          <w:b w:val="1"/>
          <w:bCs w:val="1"/>
          <w:color w:val="auto"/>
        </w:rPr>
        <w:t>the timing, progress and results of our clinical trials or the commencement, enrollment or results of any future clinical trials we may conduct, or changes in the development status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-263525</wp:posOffset>
            </wp:positionV>
            <wp:extent cx="71120" cy="711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3" w:lineRule="exact"/>
        <w:rPr>
          <w:sz w:val="20"/>
          <w:szCs w:val="20"/>
          <w:color w:val="auto"/>
        </w:rPr>
      </w:pPr>
    </w:p>
    <w:p>
      <w:pPr>
        <w:jc w:val="both"/>
        <w:ind w:left="1100"/>
        <w:spacing w:after="0" w:line="253" w:lineRule="auto"/>
        <w:rPr>
          <w:sz w:val="20"/>
          <w:szCs w:val="20"/>
          <w:color w:val="auto"/>
        </w:rPr>
      </w:pPr>
      <w:r>
        <w:rPr>
          <w:rFonts w:ascii="Arial" w:cs="Arial" w:eastAsia="Arial" w:hAnsi="Arial"/>
          <w:sz w:val="19"/>
          <w:szCs w:val="19"/>
          <w:b w:val="1"/>
          <w:bCs w:val="1"/>
          <w:color w:val="auto"/>
        </w:rPr>
        <w:t>any delay in our regulatory filings for VYD222, adintrevimab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-543560</wp:posOffset>
            </wp:positionV>
            <wp:extent cx="71120" cy="711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delays in or termination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adverse regulatory decisions, including failure to receive regulatory authorization or approval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unanticipated serious safety concerns related to the use of VYD222, adintrevimab or any other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-68580</wp:posOffset>
            </wp:positionV>
            <wp:extent cx="71120" cy="711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changes in financial estimates by us or by any equity research analysts who might cover our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-90170</wp:posOffset>
            </wp:positionV>
            <wp:extent cx="71120" cy="711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conditions or trends in 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changes in the market valuations of similar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87</w:t>
      </w:r>
    </w:p>
    <w:p>
      <w:pPr>
        <w:sectPr>
          <w:pgSz w:w="12240" w:h="15840" w:orient="portrait"/>
          <w:cols w:equalWidth="0" w:num="1">
            <w:col w:w="10080"/>
          </w:cols>
          <w:pgMar w:left="1080" w:top="1089" w:right="1080" w:bottom="157" w:gutter="0" w:footer="0" w:header="0"/>
        </w:sectPr>
      </w:pPr>
    </w:p>
    <w:bookmarkStart w:id="89" w:name="page90"/>
    <w:bookmarkEnd w:id="89"/>
    <w:p>
      <w:pPr>
        <w:ind w:left="1100"/>
        <w:spacing w:after="0" w:line="234" w:lineRule="auto"/>
        <w:rPr>
          <w:sz w:val="20"/>
          <w:szCs w:val="20"/>
          <w:color w:val="auto"/>
        </w:rPr>
      </w:pPr>
      <w:r>
        <w:rPr>
          <w:rFonts w:ascii="Arial" w:cs="Arial" w:eastAsia="Arial" w:hAnsi="Arial"/>
          <w:sz w:val="20"/>
          <w:szCs w:val="20"/>
          <w:b w:val="1"/>
          <w:bCs w:val="1"/>
          <w:color w:val="auto"/>
        </w:rPr>
        <w:t>announcements by our competitors of new product candidates or technologies, or the results of clinical trials or regulatory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stock market price and volume fluctuations of comparable companies and, in particular, those that operate in the biopharmaceutical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publication of research reports about us or our industry or positive or negative recommendations or withdrawal of research coverage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announcements by us or our competitors of significant acquisitions, strategic partnerships or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our relationships with our collaborators;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announcements of investigations or regulatory scrutiny of our operations or lawsuits filed against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-90170</wp:posOffset>
            </wp:positionV>
            <wp:extent cx="71120" cy="711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investors’ general perception of our company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recruitment or departure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overall performance of the equity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trading volume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disputes or other developments relating to proprietary rights, including patents, litigation matters and our ability to obtain patent protection for our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significant lawsuits, including patent or stockholder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changes in the structure of healthcare payment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general political and economic conditions;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9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other events or factors, many of which are beyond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stock market in general, and the Nasdaq Global Market and biotechnology companies in particular, have experienced extreme price and volume fluctuations, including as a result of the COVID-19 pandemic, the ongoing conflict between Russia and Ukraine, increases in inflation rates and disruptions to global supply chain, that have often been unrelated or disproportionate to the prospects of the issuer and which have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300"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For example, 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 We believe that we have strong defenses and intend to vigorously defend against this action. However, whether or not the claim is successful, litigation is often expensive and can divert management’s attention and resources from other business concerns, which could adversely affect our business. We may be the target of similar litigation in the future.</w:t>
      </w:r>
    </w:p>
    <w:p>
      <w:pPr>
        <w:spacing w:after="0" w:line="299"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We previously identified a material weakness in our internal control over financial reporting, we may identify additional material weaknesses in the future that may cause us to fail to meet our reporting obligations or result in material misstatements of our financial statements. If we fail to remediate any such weaknesses, or if we otherwise fail to establish and maintain effective control over financial reporting, our ability to accurately and timely report our financial results could be adversely affected, which may adversely affect our business.</w:t>
      </w:r>
    </w:p>
    <w:p>
      <w:pPr>
        <w:spacing w:after="0" w:line="123" w:lineRule="exact"/>
        <w:rPr>
          <w:sz w:val="20"/>
          <w:szCs w:val="20"/>
          <w:color w:val="auto"/>
        </w:rPr>
      </w:pPr>
    </w:p>
    <w:p>
      <w:pPr>
        <w:jc w:val="both"/>
        <w:ind w:firstLine="539"/>
        <w:spacing w:after="0" w:line="271" w:lineRule="auto"/>
        <w:rPr>
          <w:sz w:val="20"/>
          <w:szCs w:val="20"/>
          <w:color w:val="auto"/>
        </w:rPr>
      </w:pPr>
      <w:r>
        <w:rPr>
          <w:rFonts w:ascii="Arial" w:cs="Arial" w:eastAsia="Arial" w:hAnsi="Arial"/>
          <w:sz w:val="18"/>
          <w:szCs w:val="18"/>
          <w:b w:val="1"/>
          <w:bCs w:val="1"/>
          <w:color w:val="auto"/>
        </w:rPr>
        <w:t>In connection with the preparation of our financial statements for the quarter ended March 31, 2021, we identified a material weakness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88</w:t>
      </w:r>
    </w:p>
    <w:p>
      <w:pPr>
        <w:sectPr>
          <w:pgSz w:w="12240" w:h="15840" w:orient="portrait"/>
          <w:cols w:equalWidth="0" w:num="1">
            <w:col w:w="10080"/>
          </w:cols>
          <w:pgMar w:left="1080" w:top="1104" w:right="1080" w:bottom="157" w:gutter="0" w:footer="0" w:header="0"/>
        </w:sectPr>
      </w:pPr>
    </w:p>
    <w:bookmarkStart w:id="90" w:name="page91"/>
    <w:bookmarkEnd w:id="90"/>
    <w:p>
      <w:pPr>
        <w:jc w:val="both"/>
        <w:ind w:firstLine="490"/>
        <w:spacing w:after="0" w:line="285" w:lineRule="auto"/>
        <w:rPr>
          <w:sz w:val="20"/>
          <w:szCs w:val="20"/>
          <w:color w:val="auto"/>
        </w:rPr>
      </w:pPr>
      <w:r>
        <w:rPr>
          <w:rFonts w:ascii="Arial" w:cs="Arial" w:eastAsia="Arial" w:hAnsi="Arial"/>
          <w:sz w:val="17"/>
          <w:szCs w:val="17"/>
          <w:b w:val="1"/>
          <w:bCs w:val="1"/>
          <w:color w:val="auto"/>
        </w:rPr>
        <w:t>The material weakness identified related to a lack of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financial consolidated financial statements for that quarter. We subsequently designed and implemented controls to remediate the material weakness, including strengthening and formalizing our documentation of policies and further evolving our accounting processes and post-closing review procedures related to the completeness and accuracy of research and development expenses, prepaid expenses, accounts payable and accrued expenses of our contract manufacturing agreements, and our management concluded that we remediated the material weakness as of December 31, 2021.</w:t>
      </w:r>
    </w:p>
    <w:p>
      <w:pPr>
        <w:spacing w:after="0" w:line="98"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satisfies our reporting obligations. If we are unable to meet the demands that have been placed upon us as a public company, including the requirements of the Sarbanes-Oxley Act of 2002 (the “Sarbanes-Oxley Act”), and we may be unable to accurately report our financial results, or report them within the timeframes required by law or stock exchange regulations.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(“Nasdaq”), the SEC or other regulatory authorities. All these possibilities could increase our operating costs and harm our business.</w:t>
      </w:r>
    </w:p>
    <w:p>
      <w:pPr>
        <w:spacing w:after="0" w:line="29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If equity research analysts do not publish research or reports, or publish unfavorable research or reports, about us, our business or our market, our stock price and trading volume could decline.</w:t>
      </w:r>
    </w:p>
    <w:p>
      <w:pPr>
        <w:spacing w:after="0" w:line="130"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trading market for our common stock is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6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A significant portion of our total outstanding shares are available for immediate resale. This could cause the market price of our common stock to drop significantly, even if our business is doing well.</w:t>
      </w:r>
    </w:p>
    <w:p>
      <w:pPr>
        <w:spacing w:after="0" w:line="13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2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addition, we have filed registration statements on Form S-8 under the Securities Act of 1933, as amended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122"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Additionally, several of our large stockholders,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118"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33"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There are provisions in our amended and restated certificate of incorporation and amended and restated bylaws that may make it difficult for a third party to acquire, or attempt to acquire, control of our company, even if a change of control was considered favorable by you and other stockholders. For example, our board of directors has the authority to issue up to</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89</w:t>
      </w:r>
    </w:p>
    <w:p>
      <w:pPr>
        <w:sectPr>
          <w:pgSz w:w="12240" w:h="15840" w:orient="portrait"/>
          <w:cols w:equalWidth="0" w:num="1">
            <w:col w:w="10080"/>
          </w:cols>
          <w:pgMar w:left="1080" w:top="1089" w:right="1080" w:bottom="157" w:gutter="0" w:footer="0" w:header="0"/>
        </w:sectPr>
      </w:pPr>
    </w:p>
    <w:bookmarkStart w:id="91" w:name="page92"/>
    <w:bookmarkEnd w:id="91"/>
    <w:p>
      <w:pPr>
        <w:jc w:val="both"/>
        <w:spacing w:after="0" w:line="252" w:lineRule="auto"/>
        <w:rPr>
          <w:sz w:val="20"/>
          <w:szCs w:val="20"/>
          <w:color w:val="auto"/>
        </w:rPr>
      </w:pPr>
      <w:r>
        <w:rPr>
          <w:rFonts w:ascii="Arial" w:cs="Arial" w:eastAsia="Arial" w:hAnsi="Arial"/>
          <w:sz w:val="19"/>
          <w:szCs w:val="19"/>
          <w:b w:val="1"/>
          <w:bCs w:val="1"/>
          <w:color w:val="auto"/>
        </w:rPr>
        <w:t>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Our charter documents also contain other provisions that could have an anti-takeover effect, including:</w:t>
      </w:r>
    </w:p>
    <w:p>
      <w:pPr>
        <w:spacing w:after="0" w:line="136" w:lineRule="exact"/>
        <w:rPr>
          <w:sz w:val="20"/>
          <w:szCs w:val="20"/>
          <w:color w:val="auto"/>
        </w:rPr>
      </w:pPr>
    </w:p>
    <w:p>
      <w:pPr>
        <w:ind w:left="1960"/>
        <w:spacing w:after="0"/>
        <w:rPr>
          <w:sz w:val="20"/>
          <w:szCs w:val="20"/>
          <w:color w:val="auto"/>
        </w:rPr>
      </w:pPr>
      <w:r>
        <w:rPr>
          <w:rFonts w:ascii="Arial" w:cs="Arial" w:eastAsia="Arial" w:hAnsi="Arial"/>
          <w:sz w:val="20"/>
          <w:szCs w:val="20"/>
          <w:b w:val="1"/>
          <w:bCs w:val="1"/>
          <w:color w:val="auto"/>
        </w:rPr>
        <w:t>only one of our three classes of directors are elected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-98425</wp:posOffset>
            </wp:positionV>
            <wp:extent cx="71120" cy="711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43" w:lineRule="exact"/>
        <w:rPr>
          <w:sz w:val="20"/>
          <w:szCs w:val="20"/>
          <w:color w:val="auto"/>
        </w:rPr>
      </w:pPr>
    </w:p>
    <w:p>
      <w:pPr>
        <w:ind w:left="1100" w:firstLine="479"/>
        <w:spacing w:after="0" w:line="252" w:lineRule="auto"/>
        <w:rPr>
          <w:sz w:val="20"/>
          <w:szCs w:val="20"/>
          <w:color w:val="auto"/>
        </w:rPr>
      </w:pPr>
      <w:r>
        <w:rPr>
          <w:sz w:val="1"/>
          <w:szCs w:val="1"/>
          <w:color w:val="auto"/>
        </w:rPr>
        <w:drawing>
          <wp:inline distT="0" distB="0" distL="0" distR="0">
            <wp:extent cx="71120" cy="7112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1">
                      <a:extLst>
                        <a:ext uri="{28A0092B-C50C-407E-A947-70E740481C1C}"/>
                      </a:extLst>
                    </a:blip>
                    <a:srcRect/>
                    <a:stretch>
                      <a:fillRect/>
                    </a:stretch>
                  </pic:blipFill>
                  <pic:spPr bwMode="auto">
                    <a:xfrm>
                      <a:off x="0" y="0"/>
                      <a:ext cx="71120" cy="71120"/>
                    </a:xfrm>
                    <a:prstGeom prst="rect">
                      <a:avLst/>
                    </a:prstGeom>
                    <a:noFill/>
                    <a:ln>
                      <a:noFill/>
                    </a:ln>
                  </pic:spPr>
                </pic:pic>
              </a:graphicData>
            </a:graphic>
          </wp:inline>
        </w:drawing>
      </w:r>
      <w:r>
        <w:rPr>
          <w:rFonts w:ascii="Arial" w:cs="Arial" w:eastAsia="Arial" w:hAnsi="Arial"/>
          <w:sz w:val="20"/>
          <w:szCs w:val="20"/>
          <w:b w:val="1"/>
          <w:bCs w:val="1"/>
          <w:color w:val="auto"/>
        </w:rPr>
        <w:t xml:space="preserve"> stockholders are not entitled to remove one or more directors other than by a 66</w:t>
      </w:r>
      <w:r>
        <w:rPr>
          <w:rFonts w:ascii="Arial" w:cs="Arial" w:eastAsia="Arial" w:hAnsi="Arial"/>
          <w:sz w:val="25"/>
          <w:szCs w:val="25"/>
          <w:b w:val="1"/>
          <w:bCs w:val="1"/>
          <w:color w:val="auto"/>
          <w:vertAlign w:val="superscript"/>
        </w:rPr>
        <w:t>2</w:t>
      </w:r>
      <w:r>
        <w:rPr>
          <w:rFonts w:ascii="Arial" w:cs="Arial" w:eastAsia="Arial" w:hAnsi="Arial"/>
          <w:sz w:val="20"/>
          <w:szCs w:val="20"/>
          <w:b w:val="1"/>
          <w:bCs w:val="1"/>
          <w:color w:val="auto"/>
        </w:rPr>
        <w:t>/</w:t>
      </w:r>
      <w:r>
        <w:rPr>
          <w:rFonts w:ascii="Arial" w:cs="Arial" w:eastAsia="Arial" w:hAnsi="Arial"/>
          <w:sz w:val="25"/>
          <w:szCs w:val="25"/>
          <w:b w:val="1"/>
          <w:bCs w:val="1"/>
          <w:color w:val="auto"/>
          <w:vertAlign w:val="subscript"/>
        </w:rPr>
        <w:t>3</w:t>
      </w:r>
      <w:r>
        <w:rPr>
          <w:rFonts w:ascii="Arial" w:cs="Arial" w:eastAsia="Arial" w:hAnsi="Arial"/>
          <w:sz w:val="20"/>
          <w:szCs w:val="20"/>
          <w:b w:val="1"/>
          <w:bCs w:val="1"/>
          <w:color w:val="auto"/>
        </w:rPr>
        <w:t>% vote and only for cause;</w:t>
      </w:r>
    </w:p>
    <w:p>
      <w:pPr>
        <w:spacing w:after="0" w:line="132" w:lineRule="exact"/>
        <w:rPr>
          <w:sz w:val="20"/>
          <w:szCs w:val="20"/>
          <w:color w:val="auto"/>
        </w:rPr>
      </w:pPr>
    </w:p>
    <w:p>
      <w:pPr>
        <w:ind w:left="1960" w:right="2900"/>
        <w:spacing w:after="0" w:line="507" w:lineRule="auto"/>
        <w:rPr>
          <w:sz w:val="20"/>
          <w:szCs w:val="20"/>
          <w:color w:val="auto"/>
        </w:rPr>
      </w:pPr>
      <w:r>
        <w:rPr>
          <w:rFonts w:ascii="Arial" w:cs="Arial" w:eastAsia="Arial" w:hAnsi="Arial"/>
          <w:sz w:val="15"/>
          <w:szCs w:val="15"/>
          <w:b w:val="1"/>
          <w:bCs w:val="1"/>
          <w:color w:val="auto"/>
        </w:rPr>
        <w:t>stockholders are not permitted to take actions by written consent; stockholders cannot call a special meeting of stockholders;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-421640</wp:posOffset>
            </wp:positionV>
            <wp:extent cx="71120" cy="711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-189865</wp:posOffset>
            </wp:positionV>
            <wp:extent cx="71120" cy="711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1100" w:firstLine="479"/>
        <w:spacing w:after="0" w:line="234" w:lineRule="auto"/>
        <w:rPr>
          <w:sz w:val="20"/>
          <w:szCs w:val="20"/>
          <w:color w:val="auto"/>
        </w:rPr>
      </w:pPr>
      <w:r>
        <w:rPr>
          <w:sz w:val="1"/>
          <w:szCs w:val="1"/>
          <w:color w:val="auto"/>
        </w:rPr>
        <w:drawing>
          <wp:inline distT="0" distB="0" distL="0" distR="0">
            <wp:extent cx="71120" cy="7112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4">
                      <a:extLst>
                        <a:ext uri="{28A0092B-C50C-407E-A947-70E740481C1C}"/>
                      </a:extLst>
                    </a:blip>
                    <a:srcRect/>
                    <a:stretch>
                      <a:fillRect/>
                    </a:stretch>
                  </pic:blipFill>
                  <pic:spPr bwMode="auto">
                    <a:xfrm>
                      <a:off x="0" y="0"/>
                      <a:ext cx="71120" cy="71120"/>
                    </a:xfrm>
                    <a:prstGeom prst="rect">
                      <a:avLst/>
                    </a:prstGeom>
                    <a:noFill/>
                    <a:ln>
                      <a:noFill/>
                    </a:ln>
                  </pic:spPr>
                </pic:pic>
              </a:graphicData>
            </a:graphic>
          </wp:inline>
        </w:drawing>
      </w:r>
      <w:r>
        <w:rPr>
          <w:rFonts w:ascii="Arial" w:cs="Arial" w:eastAsia="Arial" w:hAnsi="Arial"/>
          <w:sz w:val="20"/>
          <w:szCs w:val="20"/>
          <w:b w:val="1"/>
          <w:bCs w:val="1"/>
          <w:color w:val="auto"/>
        </w:rPr>
        <w:t xml:space="preserve"> stockholders must give advance notice to nominate directors or submit proposals for consideration at stockholder meetings.</w:t>
      </w:r>
    </w:p>
    <w:p>
      <w:pPr>
        <w:spacing w:after="0" w:line="130"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9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Concentration of ownership of our common stock among our existing executive officers, directors and principal stockholders may prevent new investors from influencing significant corporate decisions.</w:t>
      </w:r>
    </w:p>
    <w:p>
      <w:pPr>
        <w:spacing w:after="0" w:line="132"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Our executive officers, directors and current beneficial owners of five percent or more of our common stock and their respective affiliates beneficially own a majority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56"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Some of these persons or entities may have interests different than yours. For example, because many of these have held their shares for a longer period, they may be more interested in selling our company to an acquirer than other investors, or they may want us to pursue strategies that deviate from the interests of other stockholders.</w:t>
      </w:r>
    </w:p>
    <w:p>
      <w:pPr>
        <w:spacing w:after="0" w:line="10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are an “emerging growth company,” and the reduced disclosure requirements applicable to emerging growth companies may make our common stock less attractive to investors.</w:t>
      </w:r>
    </w:p>
    <w:p>
      <w:pPr>
        <w:spacing w:after="0" w:line="130"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are an “emerging growth company,” within the meaning of the Securities Act, as modified by the Jumpstart Our Business Startups Act of 2012, as amended (the “JOBS Act”), and may remain an emerging growth company until the last day of the fiscal year following the fifth anniversary of the completion of the IPO. However, if certain events occur prior to the end of such five-year period, including if we become a “large accelerated filer,” our annual gross revenues are$1.235 billion or more or we issue more than $1.0 billion of non-convertible debt in the previous three-year period, we will cease to be an emerging growth company prior to the end of such five-year period. For so long as we remain an emerging growth company, we are permitted and intend to take advantage of exemptions from certain disclosure requirements that are applicable to other public companies that are not emerging growth companies. These exemptions include:</w:t>
      </w:r>
    </w:p>
    <w:p>
      <w:pPr>
        <w:spacing w:after="0" w:line="112" w:lineRule="exact"/>
        <w:rPr>
          <w:sz w:val="20"/>
          <w:szCs w:val="20"/>
          <w:color w:val="auto"/>
        </w:rPr>
      </w:pPr>
    </w:p>
    <w:p>
      <w:pPr>
        <w:jc w:val="both"/>
        <w:ind w:left="1100"/>
        <w:spacing w:after="0" w:line="253" w:lineRule="auto"/>
        <w:rPr>
          <w:sz w:val="20"/>
          <w:szCs w:val="20"/>
          <w:color w:val="auto"/>
        </w:rPr>
      </w:pPr>
      <w:r>
        <w:rPr>
          <w:rFonts w:ascii="Arial" w:cs="Arial" w:eastAsia="Arial" w:hAnsi="Arial"/>
          <w:sz w:val="19"/>
          <w:szCs w:val="19"/>
          <w:b w:val="1"/>
          <w:bCs w:val="1"/>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-397510</wp:posOffset>
            </wp:positionV>
            <wp:extent cx="71120" cy="711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an exemption from compliance with the auditor attestation requirement in the assessment of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reduced disclosure obligations regarding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81" w:lineRule="auto"/>
        <w:rPr>
          <w:sz w:val="20"/>
          <w:szCs w:val="20"/>
          <w:color w:val="auto"/>
        </w:rPr>
      </w:pPr>
      <w:r>
        <w:rPr>
          <w:rFonts w:ascii="Arial" w:cs="Arial" w:eastAsia="Arial" w:hAnsi="Arial"/>
          <w:sz w:val="18"/>
          <w:szCs w:val="18"/>
          <w:b w:val="1"/>
          <w:bCs w:val="1"/>
          <w:color w:val="auto"/>
        </w:rPr>
        <w:t>exemptions from the requirements of holding a non-binding advisory vote on executive compensation and stockholder approval of any golden parachute payments not previously approved;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0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1" w:lineRule="exact"/>
        <w:rPr>
          <w:sz w:val="20"/>
          <w:szCs w:val="20"/>
          <w:color w:val="auto"/>
        </w:rPr>
      </w:pPr>
    </w:p>
    <w:p>
      <w:pPr>
        <w:jc w:val="both"/>
        <w:ind w:left="1100"/>
        <w:spacing w:after="0" w:line="309" w:lineRule="auto"/>
        <w:rPr>
          <w:sz w:val="20"/>
          <w:szCs w:val="20"/>
          <w:color w:val="auto"/>
        </w:rPr>
      </w:pPr>
      <w:r>
        <w:rPr>
          <w:rFonts w:ascii="Arial" w:cs="Arial" w:eastAsia="Arial" w:hAnsi="Arial"/>
          <w:sz w:val="17"/>
          <w:szCs w:val="17"/>
          <w:b w:val="1"/>
          <w:bCs w:val="1"/>
          <w:color w:val="auto"/>
        </w:rPr>
        <w:t>an exemption from compliance with the requirements of the Public Company Accounting Oversight Board regarding the communication of critical audit matters in the auditor’s report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-278130</wp:posOffset>
            </wp:positionV>
            <wp:extent cx="71120" cy="711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0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90</w:t>
      </w:r>
    </w:p>
    <w:p>
      <w:pPr>
        <w:sectPr>
          <w:pgSz w:w="12240" w:h="15840" w:orient="portrait"/>
          <w:cols w:equalWidth="0" w:num="1">
            <w:col w:w="10080"/>
          </w:cols>
          <w:pgMar w:left="1080" w:top="1089" w:right="1080" w:bottom="157" w:gutter="0" w:footer="0" w:header="0"/>
        </w:sectPr>
      </w:pPr>
    </w:p>
    <w:bookmarkStart w:id="92" w:name="page93"/>
    <w:bookmarkEnd w:id="92"/>
    <w:p>
      <w:pPr>
        <w:jc w:val="both"/>
        <w:ind w:firstLine="490"/>
        <w:spacing w:after="0" w:line="269" w:lineRule="auto"/>
        <w:rPr>
          <w:sz w:val="20"/>
          <w:szCs w:val="20"/>
          <w:color w:val="auto"/>
        </w:rPr>
      </w:pPr>
      <w:r>
        <w:rPr>
          <w:rFonts w:ascii="Arial" w:cs="Arial" w:eastAsia="Arial" w:hAnsi="Arial"/>
          <w:sz w:val="18"/>
          <w:szCs w:val="18"/>
          <w:b w:val="1"/>
          <w:bCs w:val="1"/>
          <w:color w:val="auto"/>
        </w:rPr>
        <w:t>As a result, our shareholders may not have access to certain information they may deem important. We cannot predict whether investors will find our common stock less attractive because we will rely on these exemptions. If some investors find our common stock less attractive as a result of our reliance on these exemptions,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106"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We are a “smaller reporting company” and the reduced disclosure requirements applicable to smaller reporting companies may make our common stock less attractive to investors.</w:t>
      </w:r>
    </w:p>
    <w:p>
      <w:pPr>
        <w:spacing w:after="0" w:line="132"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We are a “smaller reporting company” as defined in Item 10(f)(1) of Regulation S-K, and will remain a smaller reporting company until the last day of the fiscal year in which the market value of our common stock held by non-affiliates exceeds $250 million as of the end of that year’s second fiscal quarter, or our annual revenues exceeded $100 million during such completed fiscal year and the market value of our common stock held by non-affiliates exceeds $700 million as of the end of that year’s second fiscal quarter.</w:t>
      </w:r>
    </w:p>
    <w:p>
      <w:pPr>
        <w:spacing w:after="0" w:line="118"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 of the Sarbanes-Oxley Act.</w:t>
      </w:r>
    </w:p>
    <w:p>
      <w:pPr>
        <w:spacing w:after="0" w:line="118"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rely on these exemptions. If some investors find our common stock less attractive as a result, there may be a less active trading market for our common stock and our stock prices may be more volatile.</w:t>
      </w:r>
    </w:p>
    <w:p>
      <w:pPr>
        <w:spacing w:after="0" w:line="58"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We have broad discretion in the use of our cash, cash equivalents and marketable securities, including the net proceeds from our IPO.</w:t>
      </w:r>
    </w:p>
    <w:p>
      <w:pPr>
        <w:spacing w:after="0" w:line="130"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We have broad discretion over the use of our cash, cash equivalents marketable securities, including the net proceeds from the IPO. You may not agree with our decisions, and our use of the proceeds may not yield any return on your investment. Our failure to apply our cash, cash equivalents and marketable securities effectively could compromise our ability to pursue our growth strategy and we might not be able to yield a significant return, if any, on our investment of our cash, cash equivalents and marketable securities. You will not have the opportunity to influence our decisions on how to use our cash, cash equivalents and marketable securities.</w:t>
      </w:r>
    </w:p>
    <w:p>
      <w:pPr>
        <w:spacing w:after="0" w:line="103"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96"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88"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Our amended and restated certificate of incorporation provides that the Court of Chancery of the State of Delaware and the federal district courts of the U.S.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33" w:lineRule="exact"/>
        <w:rPr>
          <w:sz w:val="20"/>
          <w:szCs w:val="20"/>
          <w:color w:val="auto"/>
        </w:rPr>
      </w:pPr>
    </w:p>
    <w:p>
      <w:pPr>
        <w:jc w:val="both"/>
        <w:ind w:firstLine="490"/>
        <w:spacing w:after="0" w:line="309" w:lineRule="auto"/>
        <w:rPr>
          <w:sz w:val="20"/>
          <w:szCs w:val="20"/>
          <w:color w:val="auto"/>
        </w:rPr>
      </w:pPr>
      <w:r>
        <w:rPr>
          <w:rFonts w:ascii="Arial" w:cs="Arial" w:eastAsia="Arial" w:hAnsi="Arial"/>
          <w:sz w:val="17"/>
          <w:szCs w:val="17"/>
          <w:b w:val="1"/>
          <w:bCs w:val="1"/>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7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any derivative action or proceeding brought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any action asserting a breach of fiduciary duty;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line="281" w:lineRule="auto"/>
        <w:rPr>
          <w:sz w:val="20"/>
          <w:szCs w:val="20"/>
          <w:color w:val="auto"/>
        </w:rPr>
      </w:pPr>
      <w:r>
        <w:rPr>
          <w:rFonts w:ascii="Arial" w:cs="Arial" w:eastAsia="Arial" w:hAnsi="Arial"/>
          <w:sz w:val="18"/>
          <w:szCs w:val="18"/>
          <w:b w:val="1"/>
          <w:bCs w:val="1"/>
          <w:color w:val="auto"/>
        </w:rPr>
        <w:t>any action asserting a claim against us arising under the Delaware General Corporation Law (the “DGCL”), our amended and restated certificate of incorporation, or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1" w:lineRule="exact"/>
        <w:rPr>
          <w:sz w:val="20"/>
          <w:szCs w:val="20"/>
          <w:color w:val="auto"/>
        </w:rPr>
      </w:pPr>
    </w:p>
    <w:p>
      <w:pPr>
        <w:ind w:left="1100"/>
        <w:spacing w:after="0" w:line="233" w:lineRule="auto"/>
        <w:rPr>
          <w:sz w:val="20"/>
          <w:szCs w:val="20"/>
          <w:color w:val="auto"/>
        </w:rPr>
      </w:pPr>
      <w:r>
        <w:rPr>
          <w:rFonts w:ascii="Arial" w:cs="Arial" w:eastAsia="Arial" w:hAnsi="Arial"/>
          <w:sz w:val="20"/>
          <w:szCs w:val="20"/>
          <w:b w:val="1"/>
          <w:bCs w:val="1"/>
          <w:color w:val="auto"/>
        </w:rPr>
        <w:t>any action seeking to interpret, apply, enforce or determine the validity of our amended and restated certificate of incorporation or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any action to which the DGCL confers jurisdiction on the Court of Chancery of the State of Delaware;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-82550</wp:posOffset>
            </wp:positionV>
            <wp:extent cx="71120" cy="711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91</w:t>
      </w:r>
    </w:p>
    <w:p>
      <w:pPr>
        <w:sectPr>
          <w:pgSz w:w="12240" w:h="15840" w:orient="portrait"/>
          <w:cols w:equalWidth="0" w:num="1">
            <w:col w:w="10080"/>
          </w:cols>
          <w:pgMar w:left="1080" w:top="1089" w:right="1080" w:bottom="157" w:gutter="0" w:footer="0" w:header="0"/>
        </w:sectPr>
      </w:pPr>
    </w:p>
    <w:bookmarkStart w:id="93" w:name="page94"/>
    <w:bookmarkEnd w:id="93"/>
    <w:p>
      <w:pPr>
        <w:ind w:left="1100"/>
        <w:spacing w:after="0"/>
        <w:rPr>
          <w:sz w:val="20"/>
          <w:szCs w:val="20"/>
          <w:color w:val="auto"/>
        </w:rPr>
      </w:pPr>
      <w:r>
        <w:rPr>
          <w:rFonts w:ascii="Arial" w:cs="Arial" w:eastAsia="Arial" w:hAnsi="Arial"/>
          <w:sz w:val="20"/>
          <w:szCs w:val="20"/>
          <w:b w:val="1"/>
          <w:bCs w:val="1"/>
          <w:color w:val="auto"/>
        </w:rPr>
        <w:t>any action asserting a claim against us that is governed by the internal-affairs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2"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5"/>
          <w:szCs w:val="15"/>
          <w:b w:val="1"/>
          <w:bCs w:val="1"/>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284"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7"/>
          <w:szCs w:val="17"/>
          <w:b w:val="1"/>
          <w:bCs w:val="1"/>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Risk Factors</w:t>
      </w:r>
    </w:p>
    <w:p>
      <w:pPr>
        <w:spacing w:after="0" w:line="109"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19"/>
          <w:szCs w:val="19"/>
          <w:b w:val="1"/>
          <w:bCs w:val="1"/>
          <w:color w:val="auto"/>
        </w:rPr>
        <w:t>We have incurred and will continue to incur increased costs and demands upon management as a result of becoming a public company, which could lower our profits or make it more difficult to run our business.</w:t>
      </w:r>
    </w:p>
    <w:p>
      <w:pPr>
        <w:spacing w:after="0" w:line="10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7"/>
          <w:szCs w:val="17"/>
          <w:b w:val="1"/>
          <w:bCs w:val="1"/>
          <w:color w:val="auto"/>
        </w:rPr>
        <w:t>As a public company, and particularly after we are no longer an emerging growth company, we have incurred and we will continue to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00" w:lineRule="exact"/>
        <w:rPr>
          <w:sz w:val="20"/>
          <w:szCs w:val="20"/>
          <w:color w:val="auto"/>
        </w:rPr>
      </w:pPr>
    </w:p>
    <w:p>
      <w:pPr>
        <w:jc w:val="both"/>
        <w:ind w:firstLine="490"/>
        <w:spacing w:after="0" w:line="243" w:lineRule="auto"/>
        <w:rPr>
          <w:sz w:val="20"/>
          <w:szCs w:val="20"/>
          <w:color w:val="auto"/>
        </w:rPr>
      </w:pPr>
      <w:r>
        <w:rPr>
          <w:rFonts w:ascii="Arial" w:cs="Arial" w:eastAsia="Arial" w:hAnsi="Arial"/>
          <w:sz w:val="18"/>
          <w:szCs w:val="18"/>
          <w:b w:val="1"/>
          <w:bCs w:val="1"/>
          <w:color w:val="auto"/>
        </w:rPr>
        <w:t>We and certain of our former officers have been named as defendants in a pending securities class action lawsuit. We have also received a request from the SEC requesting certain information in connection with an investigation. This lawsuit and investigation, and potential similar or related lawsuits or investigations, could result in substantial damages, divert management’s time and attention from our business, and have a material adverse effect on our results of operations. This lawsuit and investigation, and any other lawsuits or investigations to which we are subject, will be costly to defend or comply with and are uncertain in their outcome.</w:t>
      </w:r>
    </w:p>
    <w:p>
      <w:pPr>
        <w:spacing w:after="0" w:line="106" w:lineRule="exact"/>
        <w:rPr>
          <w:sz w:val="20"/>
          <w:szCs w:val="20"/>
          <w:color w:val="auto"/>
        </w:rPr>
      </w:pPr>
    </w:p>
    <w:p>
      <w:pPr>
        <w:jc w:val="both"/>
        <w:ind w:firstLine="490"/>
        <w:spacing w:after="0" w:line="229" w:lineRule="auto"/>
        <w:rPr>
          <w:sz w:val="20"/>
          <w:szCs w:val="20"/>
          <w:color w:val="auto"/>
        </w:rPr>
      </w:pPr>
      <w:r>
        <w:rPr>
          <w:rFonts w:ascii="Arial" w:cs="Arial" w:eastAsia="Arial" w:hAnsi="Arial"/>
          <w:sz w:val="19"/>
          <w:szCs w:val="19"/>
          <w:b w:val="1"/>
          <w:bCs w:val="1"/>
          <w:color w:val="auto"/>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spacing w:after="0" w:line="110" w:lineRule="exact"/>
        <w:rPr>
          <w:sz w:val="20"/>
          <w:szCs w:val="20"/>
          <w:color w:val="auto"/>
        </w:rPr>
      </w:pPr>
    </w:p>
    <w:p>
      <w:pPr>
        <w:jc w:val="both"/>
        <w:ind w:firstLine="490"/>
        <w:spacing w:after="0" w:line="232" w:lineRule="auto"/>
        <w:rPr>
          <w:sz w:val="20"/>
          <w:szCs w:val="20"/>
          <w:color w:val="auto"/>
        </w:rPr>
      </w:pPr>
      <w:r>
        <w:rPr>
          <w:rFonts w:ascii="Arial" w:cs="Arial" w:eastAsia="Arial" w:hAnsi="Arial"/>
          <w:sz w:val="19"/>
          <w:szCs w:val="19"/>
          <w:b w:val="1"/>
          <w:bCs w:val="1"/>
          <w:color w:val="auto"/>
        </w:rPr>
        <w:t>We believe that we have strong defenses, and we intend to vigorously defend against this action. However, whether or not the claim is successful, litigation is often expensive and can divert management’s attention and resources from other business concerns, which could adversely affect our business.</w:t>
      </w:r>
    </w:p>
    <w:p>
      <w:pPr>
        <w:spacing w:after="0" w:line="108" w:lineRule="exact"/>
        <w:rPr>
          <w:sz w:val="20"/>
          <w:szCs w:val="20"/>
          <w:color w:val="auto"/>
        </w:rPr>
      </w:pPr>
    </w:p>
    <w:p>
      <w:pPr>
        <w:jc w:val="both"/>
        <w:ind w:firstLine="490"/>
        <w:spacing w:after="0" w:line="352" w:lineRule="auto"/>
        <w:rPr>
          <w:sz w:val="20"/>
          <w:szCs w:val="20"/>
          <w:color w:val="auto"/>
        </w:rPr>
      </w:pPr>
      <w:r>
        <w:rPr>
          <w:rFonts w:ascii="Arial" w:cs="Arial" w:eastAsia="Arial" w:hAnsi="Arial"/>
          <w:sz w:val="15"/>
          <w:szCs w:val="15"/>
          <w:b w:val="1"/>
          <w:bCs w:val="1"/>
          <w:color w:val="auto"/>
        </w:rPr>
        <w:t>We currently are not able to estimate the possible cost to us from this action, as the pending lawsuit is currently at an early stage, and we cannot be certain how long it may take to resolve the pending lawsuit or the possible amount of any damages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92</w:t>
      </w:r>
    </w:p>
    <w:p>
      <w:pPr>
        <w:sectPr>
          <w:pgSz w:w="12240" w:h="15840" w:orient="portrait"/>
          <w:cols w:equalWidth="0" w:num="1">
            <w:col w:w="10080"/>
          </w:cols>
          <w:pgMar w:left="1080" w:top="1093" w:right="1080" w:bottom="157" w:gutter="0" w:footer="0" w:header="0"/>
        </w:sectPr>
      </w:pPr>
    </w:p>
    <w:bookmarkStart w:id="94" w:name="page95"/>
    <w:bookmarkEnd w:id="94"/>
    <w:p>
      <w:pPr>
        <w:jc w:val="both"/>
        <w:spacing w:after="0" w:line="222" w:lineRule="auto"/>
        <w:rPr>
          <w:sz w:val="20"/>
          <w:szCs w:val="20"/>
          <w:color w:val="auto"/>
        </w:rPr>
      </w:pPr>
      <w:r>
        <w:rPr>
          <w:rFonts w:ascii="Arial" w:cs="Arial" w:eastAsia="Arial" w:hAnsi="Arial"/>
          <w:sz w:val="20"/>
          <w:szCs w:val="20"/>
          <w:b w:val="1"/>
          <w:bCs w:val="1"/>
          <w:color w:val="auto"/>
        </w:rPr>
        <w:t>that we may be required to pay. If we are ultimately required to pay significant defense costs, damages or settlement amounts, such payments could adversely affect our operations.</w:t>
      </w:r>
    </w:p>
    <w:p>
      <w:pPr>
        <w:spacing w:after="0" w:line="110"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7"/>
          <w:szCs w:val="17"/>
          <w:b w:val="1"/>
          <w:bCs w:val="1"/>
          <w:color w:val="auto"/>
        </w:rPr>
        <w:t>Additionally, we received a request from the SEC, dated March 22, 2023, for documents and information concerning, among other matters, our testing and analysis of the efficacy of ADG20 against Omicron and other COVID-19 variants, our public statements regarding the potential use of ADG20 against the Omicron variant, and related communications with investors and the media. While we intend to cooperate fully with this fact-finding inquiry, responding to investigative inquiries is often expensive and can divert management’s attention and resources from other business concerns, which could adversely affect our business, regardless of the outcome of the investigation.</w:t>
      </w:r>
    </w:p>
    <w:p>
      <w:pPr>
        <w:spacing w:after="0" w:line="95"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7"/>
          <w:szCs w:val="17"/>
          <w:b w:val="1"/>
          <w:bCs w:val="1"/>
          <w:color w:val="auto"/>
        </w:rPr>
        <w:t>We may be the target of similar litigation or investigations in the future. The market price of our common stock has experienced and may continue to experience volatility, and in the past, companies that have experienced volatility in the market price of their stock have been subject to securities litigation. Any future litigation or investigation could result in substantial costs and divert our management’s attention from other business concerns, which could seriously harm our business. We maintain liability insurance; however, if any costs or expenses associated with pending lawsuits or any other litigation or investigation exceed our insurance coverage, we may be forced to bear some or all costs and expenses directly, which could adversely affect our business, financial condition, results of operations or stock price.</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ability to use net operating losses to offset future taxable income may be subject to certain limitations.</w:t>
      </w:r>
    </w:p>
    <w:p>
      <w:pPr>
        <w:spacing w:after="0" w:line="14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2022, we had U.S. federal net operating loss (“NOL”) carryforwards of $263.7 million, which may be available to reduce future taxable income and have an indefinite carryforward period but are limited in their usage to an annual deduction equal to 80% of annual taxable income. In addition, as of December 31, 2022, we had state NOL carryforwards of $103.3 million, which may be available to reduce future taxable income, of which $7.0 million have an indefinite carryforward period while the remaining $96.3 million begin to expire in 2041. As of December 31, 2022, we also had U.S. federal and state research and development tax credit carryforwards of $13.2 million and $3.6 million, respectively, which may be available to reduce future tax liabilities and expire at various dates beginning in 2041 and 2036 respectively.</w:t>
      </w:r>
    </w:p>
    <w:p>
      <w:pPr>
        <w:spacing w:after="0" w:line="9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Under the Tax Act, as modified by the Coronavirus Aid, Relief and Economic Security Act (the “CARES Act”), federal NOLs incurred in taxable years beginning after December 31, 2017 and in future taxable years may carry forward indefinitely, but the deductibility of such federal NOLs incurred in taxable years beginning after December 31, 2020 may be limited. There is variation in how states are responding. In addition, for state income tax purposes, there may be periods during which the use of NOLs is suspended or otherwise limited.</w:t>
      </w:r>
    </w:p>
    <w:p>
      <w:pPr>
        <w:spacing w:after="0" w:line="123"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 382. 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67"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now eliminates the previously available option to deduct research and development expenditures and requires taxpayers to amortize them over five or fifteen years. Although U.S. Congress considered legislation that would defer the amortization requirement to future periods; the provision has not been repealed or otherwise modified.</w:t>
      </w:r>
    </w:p>
    <w:p>
      <w:pPr>
        <w:spacing w:after="0" w:line="94"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Our business activities are subject to the FCPA and similar anti-bribery and anti-corruption laws. We could face liability and other serious consequences for violations.</w:t>
      </w:r>
    </w:p>
    <w:p>
      <w:pPr>
        <w:spacing w:after="0" w:line="132"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We are subject to anti-corruption laws and regulations, including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93</w:t>
      </w:r>
    </w:p>
    <w:p>
      <w:pPr>
        <w:sectPr>
          <w:pgSz w:w="12240" w:h="15840" w:orient="portrait"/>
          <w:cols w:equalWidth="0" w:num="1">
            <w:col w:w="10080"/>
          </w:cols>
          <w:pgMar w:left="1080" w:top="1070" w:right="1080" w:bottom="157" w:gutter="0" w:footer="0" w:header="0"/>
        </w:sectPr>
      </w:pPr>
    </w:p>
    <w:bookmarkStart w:id="95" w:name="page96"/>
    <w:bookmarkEnd w:id="95"/>
    <w:p>
      <w:pPr>
        <w:jc w:val="both"/>
        <w:spacing w:after="0" w:line="285" w:lineRule="auto"/>
        <w:rPr>
          <w:sz w:val="20"/>
          <w:szCs w:val="20"/>
          <w:color w:val="auto"/>
        </w:rPr>
      </w:pPr>
      <w:r>
        <w:rPr>
          <w:rFonts w:ascii="Arial" w:cs="Arial" w:eastAsia="Arial" w:hAnsi="Arial"/>
          <w:sz w:val="17"/>
          <w:szCs w:val="17"/>
          <w:b w:val="1"/>
          <w:bCs w:val="1"/>
          <w:color w:val="auto"/>
        </w:rPr>
        <w:t>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95"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93"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06"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Since then, the FDA has resumed both domestic and foreign inspections subject to travel restrictions. The FDA continues to adapt to the evolving COVID-19 pandemic, and has increasingly relied on alternative inspectional tools, including product sampling, records requests under Section 704(a)(4) of the Federal Food, Drug, and Cosmetic Act, and remote regulatory assessments, in lieu of or to supplement traditional in-person inspections.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30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Unfavorable global economic conditions and geopolitical events could adversely affect our business, financial condition or results of operations, including clinical trials.</w:t>
      </w:r>
    </w:p>
    <w:p>
      <w:pPr>
        <w:spacing w:after="0" w:line="132"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conflict, including the ongoing conflict between Russia and Ukraine, terrorism or other geopolitical events. Sanctions imposed by the U.S. and other countries in response to such conflicts, including the one in Ukraine, may also adversely impact the financial markets and the global economy, and any economic countermeasures by the affected countries or others could exacerbate market and economic instability. Portions of our future clinical trials may be conducted outside of the U.S. and unfavorable economic conditions resulting in the weakening of the U.S. dollar would make those clinical trials more costly to operate. Furthermore, a severe or prolonged economic downturn, including a recession or depression resulting from the current COVID-19 pandemic, higher inflation and interest rates,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Furthermore, while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94</w:t>
      </w:r>
    </w:p>
    <w:p>
      <w:pPr>
        <w:sectPr>
          <w:pgSz w:w="12240" w:h="15840" w:orient="portrait"/>
          <w:cols w:equalWidth="0" w:num="1">
            <w:col w:w="10080"/>
          </w:cols>
          <w:pgMar w:left="1080" w:top="1089" w:right="1080" w:bottom="157" w:gutter="0" w:footer="0" w:header="0"/>
        </w:sectPr>
      </w:pPr>
    </w:p>
    <w:bookmarkStart w:id="96" w:name="page97"/>
    <w:bookmarkEnd w:id="96"/>
    <w:p>
      <w:pPr>
        <w:jc w:val="both"/>
        <w:spacing w:after="0" w:line="336" w:lineRule="auto"/>
        <w:rPr>
          <w:sz w:val="20"/>
          <w:szCs w:val="20"/>
          <w:color w:val="auto"/>
        </w:rPr>
      </w:pPr>
      <w:r>
        <w:rPr>
          <w:rFonts w:ascii="Arial" w:cs="Arial" w:eastAsia="Arial" w:hAnsi="Arial"/>
          <w:sz w:val="15"/>
          <w:szCs w:val="15"/>
          <w:b w:val="1"/>
          <w:bCs w:val="1"/>
          <w:color w:val="auto"/>
        </w:rPr>
        <w:t>we seek to limit our concentration of risk as it relates to cash management by having a separate operating bank account with a U.S. commercial bank for routine disbursements, while maintaining our cash investments with an independent SEC-registered financial advisor, our liquidity, business and financial condition may be materially and adversely affected by unanticipated events such as a bank collapse. Any of the foregoing could seriously harm our business, and we cannot anticipate all of the ways in which the political or economic climate and financial market conditions could seriously harm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29"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Our principal office is located at 1601 Trapelo Road, Suite 178, Waltham, MA, 02451, where we lease 9,600 square feet of office space for general and administrative purposes. We lease this space under a lease agreement that terminates on September 30, 2026.</w:t>
      </w:r>
    </w:p>
    <w:p>
      <w:pPr>
        <w:spacing w:after="0" w:line="133"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Additionally, we lease laboratory and office space in Newton, Massachusetts for research and development purposes.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lease this space under a lease agreement that terminates on November 30, 2024.</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We believe that our facilities are sufficient to meet our current needs.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On January 31, 2023, a securities class action lawsuit captioned Brill v. Invivyd, Inc., et. al., Case No. 1:23-CV-10254-LTS, was filed against us and certain of our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spacing w:after="0" w:line="124"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We believe that we have strong defenses and we intend to vigorously defend against this action. The lawsuit is in early stages, and, at this time, no assessment can be made as to the likely outcome or whether the outcome will be material to us.</w:t>
      </w:r>
    </w:p>
    <w:p>
      <w:pPr>
        <w:spacing w:after="0" w:line="27"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Additionally, we received a request from the SEC, dated March 22, 2023, for documents and information concerning, among other matters, our testing and analysis of the efficacy of ADG20 against Omicron and other COVID-19 variants, our public statements regarding the potential use of ADG20 against the Omicron variant, and related communications with investors and the media. We intend to cooperate fully with this fact-finding inquiry.</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95</w:t>
      </w:r>
    </w:p>
    <w:p>
      <w:pPr>
        <w:sectPr>
          <w:pgSz w:w="12240" w:h="15840" w:orient="portrait"/>
          <w:cols w:equalWidth="0" w:num="1">
            <w:col w:w="10080"/>
          </w:cols>
          <w:pgMar w:left="1080" w:top="1089" w:right="1080" w:bottom="157" w:gutter="0" w:footer="0" w:header="0"/>
        </w:sectPr>
      </w:pPr>
    </w:p>
    <w:bookmarkStart w:id="97" w:name="page98"/>
    <w:bookmarkEnd w:id="97"/>
    <w:p>
      <w:pPr>
        <w:jc w:val="center"/>
        <w:spacing w:after="0"/>
        <w:rPr>
          <w:sz w:val="20"/>
          <w:szCs w:val="20"/>
          <w:color w:val="auto"/>
        </w:rPr>
      </w:pPr>
      <w:r>
        <w:rPr>
          <w:rFonts w:ascii="Arial" w:cs="Arial" w:eastAsia="Arial" w:hAnsi="Arial"/>
          <w:sz w:val="20"/>
          <w:szCs w:val="20"/>
          <w:b w:val="1"/>
          <w:bCs w:val="1"/>
          <w:color w:val="auto"/>
        </w:rPr>
        <w:t>PART II</w:t>
      </w:r>
    </w:p>
    <w:p>
      <w:pPr>
        <w:spacing w:after="0" w:line="371" w:lineRule="exact"/>
        <w:rPr>
          <w:sz w:val="20"/>
          <w:szCs w:val="20"/>
          <w:color w:val="auto"/>
        </w:rPr>
      </w:pPr>
    </w:p>
    <w:p>
      <w:pPr>
        <w:ind w:right="640"/>
        <w:spacing w:after="0" w:line="233"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Information</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Our common stock is listed on the Nasdaq Global Market under the symbol “IVVD”.</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Holders of Record</w:t>
      </w:r>
    </w:p>
    <w:p>
      <w:pPr>
        <w:spacing w:after="0" w:line="131"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As of March 16, 2023, there were 19 holders of record of our common stock. This number does not reflect the beneficial holders of our common stock who hold shares in street name through brokerage accounts or other nominees.</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We have never declared or paid any cash dividends on our capital stock. We currently anticipate that we will retain all available funds and future earnings for the development, operation and expansion of our business and do not anticipate declaring or paying any cash dividends for the foreseeable future.</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Information regarding securities authorized for issuance under equity compensation plans is incorporated by reference into the information in Part III, Item 12 of this Annual Report on Form 10-K.</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128"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Other than as previously disclosed on our Current Reports on Form 8-K or Quarterly Reports on Form 10-Q, we did not issue any unregistered equity securities during the twelve months ended December 31, 2022.</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Proceeds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On August 5, 2021, our Registration Statement on Form S-1, as amended (File No. 333-257975), was declared effective in connection with our initial public offering,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p>
    <w:p>
      <w:pPr>
        <w:spacing w:after="0" w:line="123"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initial public offering closed on August 10, 2021. The aggregate net proceeds received by the Company from the initial public offering were approximately $327.5 million, after deducting underwriting discounts and commissions of $24.9 million and offering expenses payable by the Company of $3.4 million. In connection with our initial public offering, no payments were made by us to directors, officers or persons owning ten percent or more of our common stock or to their associates or to our affiliates. Other than the reallocation of proceeds to fund clinical development, manufacturing supply and initial commercialization costs from ADG20 to other product candidates, there has been no material change in the planned use of proceeds from our initial public offering as described in our prospectus filed pursuant to Rule 424(b)(4) under the Securities Act with the SEC on August 6, 2021.</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 and Affiliated Purchasers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We did not repurchase any of our equity securities during the quarter ended December 31, 2022.</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96</w:t>
      </w:r>
    </w:p>
    <w:p>
      <w:pPr>
        <w:sectPr>
          <w:pgSz w:w="12240" w:h="15840" w:orient="portrait"/>
          <w:cols w:equalWidth="0" w:num="1">
            <w:col w:w="10080"/>
          </w:cols>
          <w:pgMar w:left="1080" w:top="1079" w:right="1080" w:bottom="157" w:gutter="0" w:footer="0" w:header="0"/>
        </w:sectPr>
      </w:pPr>
    </w:p>
    <w:bookmarkStart w:id="98" w:name="page99"/>
    <w:bookmarkEnd w:id="98"/>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Invivyd, Inc. is a biopharmaceutical company on a mission to rapidly and perpetually deliver antibody-based therapies that protect vulnerable people from the devastating consequences of circulating viral threats, beginning with COVID-19. Our technology works at the intersection of evolutionary virology, predictive modeling, and antibody engineering, and is designed to identify high-quality, long-lasting antibodies with a high barrier to viral escape. We are generating a robust pipeline of product candidates which could be used in prevention or treatment of serious viral diseases, starting with COVID-19 and expanding into influenza and other high-need indications.</w:t>
      </w:r>
    </w:p>
    <w:p>
      <w:pPr>
        <w:spacing w:after="0" w:line="108" w:lineRule="exact"/>
        <w:rPr>
          <w:sz w:val="20"/>
          <w:szCs w:val="20"/>
          <w:color w:val="auto"/>
        </w:rPr>
      </w:pPr>
    </w:p>
    <w:p>
      <w:pPr>
        <w:jc w:val="both"/>
        <w:ind w:firstLine="490"/>
        <w:spacing w:after="0" w:line="353" w:lineRule="auto"/>
        <w:rPr>
          <w:sz w:val="20"/>
          <w:szCs w:val="20"/>
          <w:color w:val="auto"/>
        </w:rPr>
      </w:pPr>
      <w:r>
        <w:rPr>
          <w:rFonts w:ascii="Arial" w:cs="Arial" w:eastAsia="Arial" w:hAnsi="Arial"/>
          <w:sz w:val="15"/>
          <w:szCs w:val="15"/>
          <w:b w:val="1"/>
          <w:bCs w:val="1"/>
          <w:color w:val="auto"/>
        </w:rPr>
        <w:t>In March 2023, we announced the election of VYD222 to advance into the clinic as a mAb therapeutic option for COVID-19 with a focus on serving vulnerable populations. We aim to leverage evolving COVID-19 regulatory paradigms and maximize efficiency to deliver this much-needed product for immunocompromised individuals and other vulnerable populations.</w:t>
      </w:r>
    </w:p>
    <w:p>
      <w:pPr>
        <w:spacing w:after="0" w:line="50"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VYD222 is one of two mAb components of NVD200, a combination mAb product candidate that we previously selected for clinical advancement prior to evolution in the current global COVID-19 regulatory paradigm. We are prioritizing the clinical development of VYD222 instead of NVD200 with the aim of providing patients with a therapeutic option for COVID-19 as quickly and efficiently as possible. VYD222 was engineered from adintrevimab, our investigational mAb that has a robust safety data package and demonstrated clinically meaningful results in global Phase 3 clinical trials for both the prevention and treatment of COVID-19. The adintrevimab clinical data package has the potential to support accelerated development of VYD222. We continue to plan for a Phase 1 clinical trial start in the first quarter of 2023. Assuming positive Phase 1 data, we anticipate rapidly initiating the Phase 3 pivotal trials that could support regulatory filings globally.</w:t>
      </w:r>
    </w:p>
    <w:p>
      <w:pPr>
        <w:spacing w:after="0" w:line="95"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Beyond VYD222, we continue to leverage our expanded lab capabilities and integrated discovery platform to produce additional candidates that will be optimized to stay ahead of the evolving SARS-CoV-2 virus. In addition, we continue to work with regulatory agencies to streamline the development and commercialization plans for novel antibodies to protect immunocompromised and other high-risk populations against the evolving SARS-CoV-2 virus.</w:t>
      </w:r>
    </w:p>
    <w:p>
      <w:pPr>
        <w:spacing w:after="0" w:line="107"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COVID-19 has caused the current global pandemic that remains a significant global health crisis and has resulted in millions of deaths and lasting health problems in many survivors. We believe that COVID-19 may become an endemic disease requiring a variety of effective and safe and convenient prevention and treatment options for years to come. We also believe that future pandemics similar to the COVID-19 pandemic are likely because, in many parts of the world, humans live in close proximity to animal species harboring coronaviruses that are capable of infecting humans. We are leveraging our team’s collective expertise and capabilities to deliver our COVID-19 antibodies to patients and to discover novel solutions to infectious diseases through internal research and collaborations.</w:t>
      </w:r>
    </w:p>
    <w:p>
      <w:pPr>
        <w:spacing w:after="0" w:line="92"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Since our inception, we have devoted substantially all of our resources to organizing and staffing, building an intellectual property portfolio, business planning, conducting research and development, establishing and executing arrangements with third parties for the manufacture of our product candidates and raising capital. We rely heavily on partnerships, external consultants and CROs to conduct our discovery, non-clinical, preclinical and clinical activities. Additionally, we are currently dependent on WuXi Biologics, a CDMO, for the development and manufacture of our product candidates for clinical and commercial use. Further, in 2022, we secured dedicated laboratory space and expanded our research team in order to enable internal discovery and development of our mAb candidates, while continuing to leverage our existing partnership with Adimab LLC, or Adimab. We are focused on antibody discovery and use of Adimab’s platform technology while building our internal capabilities. We expect to continue to rely on third parties for clinical trials and the manufacture and testing of our product candidates, as well as to perform ongoing research and development and other services on our behalf.</w:t>
      </w:r>
    </w:p>
    <w:p>
      <w:pPr>
        <w:spacing w:after="0" w:line="300"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Since our inception, we have financed our operations with net proceeds of $464.7 million from sales of our preferred stock, and most recently, with net proceeds from our IPO. In August 2021, we completed our IPO, pursuant to which we issued and sold 20,930,000 shares of 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 To date, we have not generated any revenue from any sources, including product sales or government supply contracts. Our ability to generate product revenue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97</w:t>
      </w:r>
    </w:p>
    <w:p>
      <w:pPr>
        <w:sectPr>
          <w:pgSz w:w="12240" w:h="15840" w:orient="portrait"/>
          <w:cols w:equalWidth="0" w:num="1">
            <w:col w:w="10080"/>
          </w:cols>
          <w:pgMar w:left="1080" w:top="1079" w:right="1080" w:bottom="157" w:gutter="0" w:footer="0" w:header="0"/>
        </w:sectPr>
      </w:pPr>
    </w:p>
    <w:bookmarkStart w:id="99" w:name="page100"/>
    <w:bookmarkEnd w:id="99"/>
    <w:p>
      <w:pPr>
        <w:jc w:val="both"/>
        <w:spacing w:after="0" w:line="234" w:lineRule="auto"/>
        <w:rPr>
          <w:sz w:val="20"/>
          <w:szCs w:val="20"/>
          <w:color w:val="auto"/>
        </w:rPr>
      </w:pPr>
      <w:r>
        <w:rPr>
          <w:rFonts w:ascii="Arial" w:cs="Arial" w:eastAsia="Arial" w:hAnsi="Arial"/>
          <w:sz w:val="20"/>
          <w:szCs w:val="20"/>
          <w:b w:val="1"/>
          <w:bCs w:val="1"/>
          <w:color w:val="auto"/>
        </w:rPr>
        <w:t>sufficient to achieve profitability will depend heavily on the successful development and eventual commercialization of one or more of our product candidates, if approved.</w:t>
      </w:r>
    </w:p>
    <w:p>
      <w:pPr>
        <w:spacing w:after="0" w:line="130"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Since our inception, we have incurred significant losses, including a net loss of $241.3 million for the year ended December 31, 2022. As of December 31, 2022, we had an accumulated deficit of $533.4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Our expenses could increase substantially in connection with our ongoing activities, as we:</w:t>
      </w:r>
    </w:p>
    <w:p>
      <w:pPr>
        <w:spacing w:after="0" w:line="85" w:lineRule="exact"/>
        <w:rPr>
          <w:sz w:val="20"/>
          <w:szCs w:val="20"/>
          <w:color w:val="auto"/>
        </w:rPr>
      </w:pPr>
    </w:p>
    <w:p>
      <w:pPr>
        <w:ind w:left="1100" w:right="2780"/>
        <w:spacing w:after="0" w:line="447" w:lineRule="auto"/>
        <w:rPr>
          <w:sz w:val="20"/>
          <w:szCs w:val="20"/>
          <w:color w:val="auto"/>
        </w:rPr>
      </w:pPr>
      <w:r>
        <w:rPr>
          <w:rFonts w:ascii="Arial" w:cs="Arial" w:eastAsia="Arial" w:hAnsi="Arial"/>
          <w:sz w:val="17"/>
          <w:szCs w:val="17"/>
          <w:b w:val="1"/>
          <w:bCs w:val="1"/>
          <w:color w:val="auto"/>
        </w:rPr>
        <w:t>initiate and conduct clinical trials of VYD222 or any other product candidate; develop product candidates in new indications or patient populations;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-421005</wp:posOffset>
            </wp:positionV>
            <wp:extent cx="71120" cy="711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16">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-189230</wp:posOffset>
            </wp:positionV>
            <wp:extent cx="71120" cy="711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254" w:lineRule="auto"/>
        <w:rPr>
          <w:sz w:val="20"/>
          <w:szCs w:val="20"/>
          <w:color w:val="auto"/>
        </w:rPr>
      </w:pPr>
      <w:r>
        <w:rPr>
          <w:rFonts w:ascii="Arial" w:cs="Arial" w:eastAsia="Arial" w:hAnsi="Arial"/>
          <w:sz w:val="19"/>
          <w:szCs w:val="19"/>
          <w:b w:val="1"/>
          <w:bCs w:val="1"/>
          <w:color w:val="auto"/>
        </w:rPr>
        <w:t>continue to advance the preclinical development of our other product candidates and our preclinical and discovery programs, including development and screening of additional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-252095</wp:posOffset>
            </wp:positionV>
            <wp:extent cx="71120" cy="711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seek regulatory authorization or approval for any product candidates that successfully complete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pursue marketing approvals or EUA and reimbursement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acquire or in-license other product candidates, intellectual property and/or discovery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further develop and validate our commercial-scale cGMP manufacturing process for VYD222;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manufacture material under cGMP at our contracted manufacturing facilities for clinical trials and potential EUA, regulatory approval and commercial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right="1840"/>
        <w:spacing w:after="0" w:line="507" w:lineRule="auto"/>
        <w:rPr>
          <w:sz w:val="20"/>
          <w:szCs w:val="20"/>
          <w:color w:val="auto"/>
        </w:rPr>
      </w:pPr>
      <w:r>
        <w:rPr>
          <w:rFonts w:ascii="Arial" w:cs="Arial" w:eastAsia="Arial" w:hAnsi="Arial"/>
          <w:sz w:val="15"/>
          <w:szCs w:val="15"/>
          <w:b w:val="1"/>
          <w:bCs w:val="1"/>
          <w:color w:val="auto"/>
        </w:rPr>
        <w:t>maintain, expand, enforce, defend and protect our intellectual property portfolio; comply with regulatory requirements established by the applicable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-421640</wp:posOffset>
            </wp:positionV>
            <wp:extent cx="71120" cy="711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4">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-189865</wp:posOffset>
            </wp:positionV>
            <wp:extent cx="71120" cy="711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234" w:lineRule="auto"/>
        <w:rPr>
          <w:sz w:val="20"/>
          <w:szCs w:val="20"/>
          <w:color w:val="auto"/>
        </w:rPr>
      </w:pPr>
      <w:r>
        <w:rPr>
          <w:rFonts w:ascii="Arial" w:cs="Arial" w:eastAsia="Arial" w:hAnsi="Arial"/>
          <w:sz w:val="20"/>
          <w:szCs w:val="20"/>
          <w:b w:val="1"/>
          <w:bCs w:val="1"/>
          <w:color w:val="auto"/>
        </w:rPr>
        <w:t>establish a sales, marketing and distribution infrastructure to commercialize any product candidates for which we may obtain regulatory approval or EUA;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3" w:lineRule="auto"/>
        <w:rPr>
          <w:sz w:val="20"/>
          <w:szCs w:val="20"/>
          <w:color w:val="auto"/>
        </w:rPr>
      </w:pPr>
      <w:r>
        <w:rPr>
          <w:rFonts w:ascii="Arial" w:cs="Arial" w:eastAsia="Arial" w:hAnsi="Arial"/>
          <w:sz w:val="20"/>
          <w:szCs w:val="20"/>
          <w:b w:val="1"/>
          <w:bCs w:val="1"/>
          <w:color w:val="auto"/>
        </w:rPr>
        <w:t>hire and retain additional personnel, including research, clinical, development, manufacturing, quality control, quality assurance, regulatory and scientific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-242570</wp:posOffset>
            </wp:positionV>
            <wp:extent cx="71120" cy="711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add operational, financial, corporate development, management information systems and administrative personnel, including personnel to support our product development and planned future commercialization efforts;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incur additional legal, accounting and other expenses in operating as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9"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We do not anticipate generating revenue from product sales, including government supply contracts, unless and until we successfully complete clinical development and obtain marketing approvals or EUA for one or more of our product candidates. Subject to receiving marketing approval or EUA for any of our product candidates for the prevention and/or treatment of COVID-19,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93"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As a result, we will need substantial additional funding to support our continuing operations and pursue our growth strategy. Until such time as we can generate significant product revenue, if ever, we expect to finance our operations through a combination of equity offerings, government or private-party grants, debt financings, collaborations with other companies, strategic alliances and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94"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Because of the numerous risks and uncertainties associated with pharmaceutical product development and emergence of adintrevimab susceptible SARS-CoV-2 VoCs,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98</w:t>
      </w:r>
    </w:p>
    <w:p>
      <w:pPr>
        <w:sectPr>
          <w:pgSz w:w="12240" w:h="15840" w:orient="portrait"/>
          <w:cols w:equalWidth="0" w:num="1">
            <w:col w:w="10080"/>
          </w:cols>
          <w:pgMar w:left="1080" w:top="1089" w:right="1080" w:bottom="157" w:gutter="0" w:footer="0" w:header="0"/>
        </w:sectPr>
      </w:pPr>
    </w:p>
    <w:bookmarkStart w:id="100" w:name="page101"/>
    <w:bookmarkEnd w:id="100"/>
    <w:p>
      <w:pPr>
        <w:jc w:val="both"/>
        <w:ind w:firstLine="490"/>
        <w:spacing w:after="0" w:line="291" w:lineRule="auto"/>
        <w:rPr>
          <w:sz w:val="20"/>
          <w:szCs w:val="20"/>
          <w:color w:val="auto"/>
        </w:rPr>
      </w:pPr>
      <w:r>
        <w:rPr>
          <w:rFonts w:ascii="Arial" w:cs="Arial" w:eastAsia="Arial" w:hAnsi="Arial"/>
          <w:sz w:val="17"/>
          <w:szCs w:val="17"/>
          <w:b w:val="1"/>
          <w:bCs w:val="1"/>
          <w:color w:val="auto"/>
        </w:rPr>
        <w:t>Based on our current operating plan, we believe that our existing cash, cash equivalents and marketable securities of $372.0 million as of December 31, 2022, will be sufficient to fund our operating expenses and capital expenditure requirements into the second half of 2024. We have based this estimate on assumptions that may prove to be wrong, and we could exhaust our available capital resources sooner than we expect. See “—Liquidity and Capital Resources.”</w:t>
      </w:r>
    </w:p>
    <w:p>
      <w:pPr>
        <w:spacing w:after="0" w:line="32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Impact of COVID-19 on Our Operations</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full impact of the COVID-19 pandemic and the disease continues to evolve and change as of the date of this Annual Report on Form 10-K, and such impact will directly affect the potential commercial prospects of VYD222 and other product candidates for the prevention and treatment of COVID-19. The severity of the COVID-19 pandemic, the evolution of the disease and the continued emergence of VoCs, the availability, administration and acceptance of vaccines, mAbs, antiviral agents and other therapeutic modalities, vaccine mandates by employers and/or local or national governments,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12"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Similarly, it is not possible to determine the scale and rate of economic recovery from the pandemic, supply chain disruptions, and labor availability and costs, or the impact of other indirect factors that may be attributable to the pandemic. The ultimate extent of the impact of the COVID-19 pandemic on our business, financial condition, operations and product development timelines and plans remains uncertain and will depend on future developments, including the duration and spread of outbreaks and the continued emergence of variants, its impact on our clinical trial design and enrollment, trial sites, CROs, CDMOs, and other third parties with which we do business, as well as its impact on regulatory authorities and our key scientific and management personnel. To date, we have experienced some delays and disruptions in our development activities as a result of the COVID-19 pandemic. Some of our CROs, CDMOs and other service providers also continue to be impacted. We will continue to monitor developments as we address the disruptions, delays and uncertainties relating to the COVID-19 pandemic. If the financial markets and/or the overall economy are impacted for an extended period, our results and operations may be materially adversely affected and may affect our ability to raise capital.</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Components of Our Results of Operations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Revenue</w:t>
      </w:r>
    </w:p>
    <w:p>
      <w:pPr>
        <w:spacing w:after="0" w:line="131"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Research and Development Expenses</w:t>
      </w:r>
    </w:p>
    <w:p>
      <w:pPr>
        <w:spacing w:after="0" w:line="128"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9"/>
          <w:szCs w:val="19"/>
          <w:b w:val="1"/>
          <w:bCs w:val="1"/>
          <w:color w:val="auto"/>
        </w:rPr>
        <w:t>The nature of our business and primary focus of our activities generate a significant amount of research and development costs. Research and development expenses represent costs incurred by us for:</w:t>
      </w:r>
    </w:p>
    <w:p>
      <w:pPr>
        <w:spacing w:after="0" w:line="133"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the non-clinical and preclinical development of our product candidates, including our discovery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-90170</wp:posOffset>
            </wp:positionV>
            <wp:extent cx="71120" cy="711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procurement of our product candidates from third-party manufacturers;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global clinical development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Such costs consist of:</w:t>
      </w:r>
    </w:p>
    <w:p>
      <w:pPr>
        <w:spacing w:after="0" w:line="145" w:lineRule="exact"/>
        <w:rPr>
          <w:sz w:val="20"/>
          <w:szCs w:val="20"/>
          <w:color w:val="auto"/>
        </w:rPr>
      </w:pPr>
    </w:p>
    <w:p>
      <w:pPr>
        <w:jc w:val="both"/>
        <w:ind w:left="1100"/>
        <w:spacing w:after="0" w:line="385" w:lineRule="auto"/>
        <w:rPr>
          <w:sz w:val="20"/>
          <w:szCs w:val="20"/>
          <w:color w:val="auto"/>
        </w:rPr>
      </w:pPr>
      <w:r>
        <w:rPr>
          <w:rFonts w:ascii="Arial" w:cs="Arial" w:eastAsia="Arial" w:hAnsi="Arial"/>
          <w:sz w:val="15"/>
          <w:szCs w:val="15"/>
          <w:b w:val="1"/>
          <w:bCs w:val="1"/>
          <w:color w:val="auto"/>
        </w:rPr>
        <w:t>personnel-related expenses, including salaries, bonuses, benefits and other compensation-related costs, including stock-based compensation expense, for employees engaged in research and development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-309880</wp:posOffset>
            </wp:positionV>
            <wp:extent cx="71120" cy="711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2"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-389890</wp:posOffset>
            </wp:positionV>
            <wp:extent cx="71120" cy="711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costs of procuring manufactured product candidates for use in non-clinical studies, preclinical studies and clinical trials from third-party CDMOs;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costs of outside consultants and advisors, including their fees and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-97155</wp:posOffset>
            </wp:positionV>
            <wp:extent cx="71120" cy="711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99</w:t>
      </w:r>
    </w:p>
    <w:p>
      <w:pPr>
        <w:sectPr>
          <w:pgSz w:w="12240" w:h="15840" w:orient="portrait"/>
          <w:cols w:equalWidth="0" w:num="1">
            <w:col w:w="10080"/>
          </w:cols>
          <w:pgMar w:left="1080" w:top="1089" w:right="1080" w:bottom="157" w:gutter="0" w:footer="0" w:header="0"/>
        </w:sectPr>
      </w:pPr>
    </w:p>
    <w:bookmarkStart w:id="101" w:name="page102"/>
    <w:bookmarkEnd w:id="101"/>
    <w:p>
      <w:pPr>
        <w:ind w:left="1100"/>
        <w:spacing w:after="0" w:line="234" w:lineRule="auto"/>
        <w:rPr>
          <w:sz w:val="20"/>
          <w:szCs w:val="20"/>
          <w:color w:val="auto"/>
        </w:rPr>
      </w:pPr>
      <w:r>
        <w:rPr>
          <w:rFonts w:ascii="Arial" w:cs="Arial" w:eastAsia="Arial" w:hAnsi="Arial"/>
          <w:sz w:val="20"/>
          <w:szCs w:val="20"/>
          <w:b w:val="1"/>
          <w:bCs w:val="1"/>
          <w:color w:val="auto"/>
        </w:rPr>
        <w:t>laboratory-related expenses, which include equipment, laboratory supplies, rent expense, depreciation expense, and other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payments made under third-party licensing agreements;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other expenses incurred as a result of research and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04"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Our primary focus since inception has been the development of antibodies against COVID-19.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94"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could increase substantially in the near term as we advance VYD222 through clinical development, pursue EUA or regulatory approval of our product candidates, continue to discover and develop additional product candidates and incur expenses associated with hiring additional personnel to support our research and development efforts, including the associated manufacturing activities.</w:t>
      </w:r>
    </w:p>
    <w:p>
      <w:pPr>
        <w:spacing w:after="0" w:line="124"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timing and progress of preclinical and clinical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number and scope of preclinical and clinical programs we decide to pursue;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filing acceptable IND applications with the FDA or comparable foreign applications that allow commencement of our planned clinical trials or future clinical trials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-252095</wp:posOffset>
            </wp:positionV>
            <wp:extent cx="71120" cy="711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1100"/>
        <w:spacing w:after="0" w:line="254" w:lineRule="auto"/>
        <w:rPr>
          <w:sz w:val="20"/>
          <w:szCs w:val="20"/>
          <w:color w:val="auto"/>
        </w:rPr>
      </w:pPr>
      <w:r>
        <w:rPr>
          <w:rFonts w:ascii="Arial" w:cs="Arial" w:eastAsia="Arial" w:hAnsi="Arial"/>
          <w:sz w:val="19"/>
          <w:szCs w:val="19"/>
          <w:b w:val="1"/>
          <w:bCs w:val="1"/>
          <w:color w:val="auto"/>
        </w:rPr>
        <w:t>sufficiency of our financial and other resources to complete the necessary preclinical studies and clinical trials, manufacture the product candidates and complete associated regulatory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-252095</wp:posOffset>
            </wp:positionV>
            <wp:extent cx="71120" cy="711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both"/>
        <w:ind w:left="1100"/>
        <w:spacing w:after="0" w:line="309" w:lineRule="auto"/>
        <w:rPr>
          <w:sz w:val="20"/>
          <w:szCs w:val="20"/>
          <w:color w:val="auto"/>
        </w:rPr>
      </w:pPr>
      <w:r>
        <w:rPr>
          <w:rFonts w:ascii="Arial" w:cs="Arial" w:eastAsia="Arial" w:hAnsi="Arial"/>
          <w:sz w:val="17"/>
          <w:szCs w:val="17"/>
          <w:b w:val="1"/>
          <w:bCs w:val="1"/>
          <w:color w:val="auto"/>
        </w:rPr>
        <w:t>our ability to establish and maintain agreements with third-party manufacturers for clinical supply for our clinical trials and successfully develop, obtain regulatory approval or EUA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-278130</wp:posOffset>
            </wp:positionV>
            <wp:extent cx="71120" cy="711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9"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successful enrollment and timely completion of clinical trials, including our ability to generate positive data from any such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costs associated with the development of any additional development programs and product candidates we identify in-house or acquire through collaborations;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the prevalence, nature and severity of adverse events experienced with any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-97155</wp:posOffset>
            </wp:positionV>
            <wp:extent cx="71120" cy="711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terms and timing of any collaboration, license or other arrangement, including the terms and timing of any milestone payments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receipt of timely marketing approvals from applicable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our ability to maintain compliance with regulatory requirements, including cGCPs, cGLPs and cGMPs, and to comply effectively with other rules, regulations and procedures applicable to the development and sale of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100</w:t>
      </w:r>
    </w:p>
    <w:p>
      <w:pPr>
        <w:sectPr>
          <w:pgSz w:w="12240" w:h="15840" w:orient="portrait"/>
          <w:cols w:equalWidth="0" w:num="1">
            <w:col w:w="10080"/>
          </w:cols>
          <w:pgMar w:left="1080" w:top="1104" w:right="1080" w:bottom="157" w:gutter="0" w:footer="0" w:header="0"/>
        </w:sectPr>
      </w:pPr>
    </w:p>
    <w:bookmarkStart w:id="102" w:name="page103"/>
    <w:bookmarkEnd w:id="102"/>
    <w:p>
      <w:pPr>
        <w:ind w:left="1100"/>
        <w:spacing w:after="0" w:line="234" w:lineRule="auto"/>
        <w:rPr>
          <w:sz w:val="20"/>
          <w:szCs w:val="20"/>
          <w:color w:val="auto"/>
        </w:rPr>
      </w:pPr>
      <w:r>
        <w:rPr>
          <w:rFonts w:ascii="Arial" w:cs="Arial" w:eastAsia="Arial" w:hAnsi="Arial"/>
          <w:sz w:val="20"/>
          <w:szCs w:val="20"/>
          <w:b w:val="1"/>
          <w:bCs w:val="1"/>
          <w:color w:val="auto"/>
        </w:rPr>
        <w:t>potential significant and changing government regulation, regulatory guidance and requirements and evolving treatment guidelines;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the impact of any business interruptions to our operations or those of third parties with which we work, particularly in light of the current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102"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emergency situations, such as a pandemic, and with a declaration of a public health emergency by the U.S. HHS, the FDA has the authority to issue an EUA. While the Biden Administration announced that it would allow the COVID-19 public health emergency declared by HHS under the Public Health Service Act to expire on May 11, 2023, this does not impact the FDA’s ability to authorize COVID-19 drugs and biological products for emergency use. The FDA may continue to issue new EUAs going forward when criteria for issuance are met. Such ability arises from the EUA declaration and determination issued pursuant to the FDCA, which remain in effect unless or until the HHS Secretary terminates such declaration and determination, at which point EUAs based on such declaration would cease to be in effect and the FDA may no longer issue EUAs for products covered by such declaration. There can be no assurance that the public health emergency in the U.S. declared under the FDCA will continue to be in place for an extended period of time, that any of our product candidates will be granted an EUA by the FDA, if we apply for such an authorization, or that we would be able to maintain an EUA, if received, for an extended period of time.</w:t>
      </w:r>
    </w:p>
    <w:p>
      <w:pPr>
        <w:spacing w:after="0" w:line="33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Acquired In-Process Research and Development Expenses</w:t>
      </w:r>
    </w:p>
    <w:p>
      <w:pPr>
        <w:spacing w:after="0" w:line="128"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Acquired in-process research and development (“IPR&amp;D”) expenses consist primarily of the upfront costs we incurred in July 2020, as well as any costs of contingent milestone payments we incurred in subsequent periods,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it is deemed probable that we will make contingent milestone payments to Adimab under the terms of the agreement by which we acquired the IPR&amp;D assets.</w:t>
      </w:r>
    </w:p>
    <w:p>
      <w:pPr>
        <w:spacing w:after="0" w:line="32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Selling, General and Administrative Expenses</w:t>
      </w:r>
    </w:p>
    <w:p>
      <w:pPr>
        <w:spacing w:after="0" w:line="131"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0"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Our selling, general and administrative expenses could increase in the future as our business expands and we increase our headcount to support the expected growth in our research and development activities and the potential commercialization of our product candidates. In particular, we could incur additional commercialization expenses prior to any regulatory approval or EUA of our product candidates as we continue to expand our commercial function to support potential future product launches. We also anticipate that we will continue to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67"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In June 2022, and subsequently amended in September 2022, we entered into a noncancelable agreement for dedicated laboratory and office space in Newton, MA for research and development purposes. Through December 31, 2022, we have operated as a virtual company and maintained a corporate headquarters for general and administrative purposes only. Therefore, we did not incur material operating expenses for the rent, maintenance and insurance of facilities, or for depreciation of fixed assets.</w:t>
      </w:r>
    </w:p>
    <w:p>
      <w:pPr>
        <w:spacing w:after="0" w:line="35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Warrant Expense</w:t>
      </w:r>
    </w:p>
    <w:p>
      <w:pPr>
        <w:spacing w:after="0" w:line="129" w:lineRule="exact"/>
        <w:rPr>
          <w:sz w:val="20"/>
          <w:szCs w:val="20"/>
          <w:color w:val="auto"/>
        </w:rPr>
      </w:pPr>
    </w:p>
    <w:p>
      <w:pPr>
        <w:jc w:val="both"/>
        <w:ind w:firstLine="490"/>
        <w:spacing w:after="0" w:line="386" w:lineRule="auto"/>
        <w:rPr>
          <w:sz w:val="20"/>
          <w:szCs w:val="20"/>
          <w:color w:val="auto"/>
        </w:rPr>
      </w:pPr>
      <w:r>
        <w:rPr>
          <w:rFonts w:ascii="Arial" w:cs="Arial" w:eastAsia="Arial" w:hAnsi="Arial"/>
          <w:sz w:val="15"/>
          <w:szCs w:val="15"/>
          <w:b w:val="1"/>
          <w:bCs w:val="1"/>
          <w:color w:val="auto"/>
        </w:rPr>
        <w:t>In November 2022, we entered into the PHP MSA with PHP, pursuant to which PHP agreed to provide services and create deliverables for us as agreed between us and PHP and set forth in one or more work orders under such agreement. As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101</w:t>
      </w:r>
    </w:p>
    <w:p>
      <w:pPr>
        <w:sectPr>
          <w:pgSz w:w="12240" w:h="15840" w:orient="portrait"/>
          <w:cols w:equalWidth="0" w:num="1">
            <w:col w:w="10080"/>
          </w:cols>
          <w:pgMar w:left="1080" w:top="1104" w:right="1080" w:bottom="157" w:gutter="0" w:footer="0" w:header="0"/>
        </w:sectPr>
      </w:pPr>
    </w:p>
    <w:bookmarkStart w:id="103" w:name="page104"/>
    <w:bookmarkEnd w:id="103"/>
    <w:p>
      <w:pPr>
        <w:jc w:val="both"/>
        <w:spacing w:after="0" w:line="270" w:lineRule="auto"/>
        <w:rPr>
          <w:sz w:val="20"/>
          <w:szCs w:val="20"/>
          <w:color w:val="auto"/>
        </w:rPr>
      </w:pPr>
      <w:r>
        <w:rPr>
          <w:rFonts w:ascii="Arial" w:cs="Arial" w:eastAsia="Arial" w:hAnsi="Arial"/>
          <w:sz w:val="18"/>
          <w:szCs w:val="18"/>
          <w:b w:val="1"/>
          <w:bCs w:val="1"/>
          <w:color w:val="auto"/>
        </w:rPr>
        <w:t>compensation for the services and deliverables, we issued the PHP Warrant to PHP. The aggregate grant date fair value of the PHP Warrant was recognized as warrant expense on the grant date. On the effective date of the PHP MSA, we and PHP entered into the first work order under the PHP MSA, pursuant to which PHP agreed to advise and us regarding clinical development and regulatory matters with respect to our product candidates. Clive Meanwell, M.D. and Tamsin Berry, members of our board of directors, are Managing Partner and Partner of PHP, respectively.</w:t>
      </w:r>
    </w:p>
    <w:p>
      <w:pPr>
        <w:spacing w:after="0" w:line="105" w:lineRule="exact"/>
        <w:rPr>
          <w:sz w:val="20"/>
          <w:szCs w:val="20"/>
          <w:color w:val="auto"/>
        </w:rPr>
      </w:pPr>
    </w:p>
    <w:p>
      <w:pPr>
        <w:ind w:left="480"/>
        <w:spacing w:after="0"/>
        <w:rPr>
          <w:sz w:val="20"/>
          <w:szCs w:val="20"/>
          <w:color w:val="auto"/>
        </w:rPr>
      </w:pPr>
      <w:r>
        <w:rPr>
          <w:rFonts w:ascii="Arial" w:cs="Arial" w:eastAsia="Arial" w:hAnsi="Arial"/>
          <w:sz w:val="19"/>
          <w:szCs w:val="19"/>
          <w:b w:val="1"/>
          <w:bCs w:val="1"/>
          <w:color w:val="auto"/>
        </w:rPr>
        <w:t>As a result, warrant expense consists of non-cash expense related to the issuance of the PHP Warrant.</w:t>
      </w:r>
    </w:p>
    <w:p>
      <w:pPr>
        <w:spacing w:after="0" w:line="36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Other Income (Expense), Net</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35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Income Taxes</w:t>
      </w:r>
    </w:p>
    <w:p>
      <w:pPr>
        <w:spacing w:after="0" w:line="131" w:lineRule="exact"/>
        <w:rPr>
          <w:sz w:val="20"/>
          <w:szCs w:val="20"/>
          <w:color w:val="auto"/>
        </w:rPr>
      </w:pPr>
    </w:p>
    <w:p>
      <w:pPr>
        <w:jc w:val="both"/>
        <w:ind w:firstLine="490"/>
        <w:spacing w:after="0" w:line="351" w:lineRule="auto"/>
        <w:rPr>
          <w:sz w:val="20"/>
          <w:szCs w:val="20"/>
          <w:color w:val="auto"/>
        </w:rPr>
      </w:pPr>
      <w:r>
        <w:rPr>
          <w:rFonts w:ascii="Arial" w:cs="Arial" w:eastAsia="Arial" w:hAnsi="Arial"/>
          <w:sz w:val="15"/>
          <w:szCs w:val="15"/>
          <w:b w:val="1"/>
          <w:bCs w:val="1"/>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NOL carryforwards and tax credit carryforwards will not be realized.</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Comparison of the Years Ended December 31, 2022 and 2021</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following table summarizes our results of operations for the years ended December 31, 2022 and 2021: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Year Ended December 31,</w:t>
            </w:r>
          </w:p>
        </w:tc>
      </w:tr>
      <w:tr>
        <w:trPr>
          <w:trHeight w:val="172"/>
        </w:trPr>
        <w:tc>
          <w:tcPr>
            <w:tcW w:w="6920" w:type="dxa"/>
            <w:vAlign w:val="bottom"/>
          </w:tcPr>
          <w:p>
            <w:pPr>
              <w:spacing w:after="0" w:line="172" w:lineRule="exact"/>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5"/>
              <w:spacing w:after="0" w:line="172"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43"/>
              <w:spacing w:after="0" w:line="172"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4"/>
                <w:szCs w:val="14"/>
                <w:color w:val="auto"/>
              </w:rPr>
            </w:pP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auto"/>
              </w:rPr>
              <w:t>Operating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179,214</w:t>
            </w:r>
          </w:p>
        </w:tc>
        <w:tc>
          <w:tcPr>
            <w:tcW w:w="26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182,891</w:t>
            </w:r>
          </w:p>
        </w:tc>
        <w:tc>
          <w:tcPr>
            <w:tcW w:w="60" w:type="dxa"/>
            <w:vAlign w:val="bottom"/>
          </w:tcPr>
          <w:p>
            <w:pPr>
              <w:spacing w:after="0"/>
              <w:rPr>
                <w:sz w:val="20"/>
                <w:szCs w:val="20"/>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20"/>
                <w:szCs w:val="20"/>
                <w:b w:val="1"/>
                <w:bCs w:val="1"/>
                <w:color w:val="auto"/>
              </w:rPr>
              <w:t>Acquired in-process research and development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4,400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7,500</w:t>
            </w:r>
          </w:p>
        </w:tc>
        <w:tc>
          <w:tcPr>
            <w:tcW w:w="60" w:type="dxa"/>
            <w:vAlign w:val="bottom"/>
          </w:tcPr>
          <w:p>
            <w:pPr>
              <w:spacing w:after="0"/>
              <w:rPr>
                <w:sz w:val="20"/>
                <w:szCs w:val="20"/>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20"/>
                <w:szCs w:val="20"/>
                <w:b w:val="1"/>
                <w:bCs w:val="1"/>
                <w:color w:val="auto"/>
              </w:rPr>
              <w:t>Selling, general and administrative</w:t>
            </w: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47,044</w:t>
            </w: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36,517</w:t>
            </w:r>
          </w:p>
        </w:tc>
      </w:tr>
      <w:tr>
        <w:trPr>
          <w:trHeight w:val="230"/>
        </w:trPr>
        <w:tc>
          <w:tcPr>
            <w:tcW w:w="6920" w:type="dxa"/>
            <w:vAlign w:val="bottom"/>
          </w:tcPr>
          <w:p>
            <w:pPr>
              <w:ind w:left="200"/>
              <w:spacing w:after="0"/>
              <w:rPr>
                <w:sz w:val="20"/>
                <w:szCs w:val="20"/>
                <w:color w:val="auto"/>
              </w:rPr>
            </w:pPr>
            <w:r>
              <w:rPr>
                <w:rFonts w:ascii="Arial" w:cs="Arial" w:eastAsia="Arial" w:hAnsi="Arial"/>
                <w:sz w:val="20"/>
                <w:szCs w:val="20"/>
                <w:b w:val="1"/>
                <w:bCs w:val="1"/>
                <w:color w:val="auto"/>
              </w:rPr>
              <w:t>Warrant expense</w:t>
            </w: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17,373</w:t>
            </w: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20"/>
        </w:trPr>
        <w:tc>
          <w:tcPr>
            <w:tcW w:w="692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248,031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226,908</w:t>
            </w:r>
          </w:p>
        </w:tc>
        <w:tc>
          <w:tcPr>
            <w:tcW w:w="60" w:type="dxa"/>
            <w:vAlign w:val="bottom"/>
          </w:tcPr>
          <w:p>
            <w:pPr>
              <w:spacing w:after="0"/>
              <w:rPr>
                <w:sz w:val="19"/>
                <w:szCs w:val="19"/>
                <w:color w:val="auto"/>
              </w:rPr>
            </w:pP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auto"/>
              </w:rPr>
              <w:t>Loss from operations</w:t>
            </w:r>
          </w:p>
        </w:tc>
        <w:tc>
          <w:tcPr>
            <w:tcW w:w="320" w:type="dxa"/>
            <w:vAlign w:val="bottom"/>
          </w:tcPr>
          <w:p>
            <w:pPr>
              <w:spacing w:after="0"/>
              <w:rPr>
                <w:sz w:val="19"/>
                <w:szCs w:val="19"/>
                <w:color w:val="auto"/>
              </w:rPr>
            </w:pPr>
          </w:p>
        </w:tc>
        <w:tc>
          <w:tcPr>
            <w:tcW w:w="134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auto"/>
              </w:rPr>
              <w:t>(248,031)</w:t>
            </w:r>
          </w:p>
        </w:tc>
        <w:tc>
          <w:tcPr>
            <w:tcW w:w="320" w:type="dxa"/>
            <w:vAlign w:val="bottom"/>
          </w:tcPr>
          <w:p>
            <w:pPr>
              <w:spacing w:after="0"/>
              <w:rPr>
                <w:sz w:val="19"/>
                <w:szCs w:val="19"/>
                <w:color w:val="auto"/>
              </w:rPr>
            </w:pPr>
          </w:p>
        </w:tc>
        <w:tc>
          <w:tcPr>
            <w:tcW w:w="114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(226,908)</w:t>
            </w: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auto"/>
              </w:rPr>
              <w:t>Other income (expense):</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692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Other income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6,714</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118</w:t>
            </w:r>
          </w:p>
        </w:tc>
        <w:tc>
          <w:tcPr>
            <w:tcW w:w="60" w:type="dxa"/>
            <w:vAlign w:val="bottom"/>
          </w:tcPr>
          <w:p>
            <w:pPr>
              <w:spacing w:after="0"/>
              <w:rPr>
                <w:sz w:val="19"/>
                <w:szCs w:val="19"/>
                <w:color w:val="auto"/>
              </w:rPr>
            </w:pPr>
          </w:p>
        </w:tc>
      </w:tr>
      <w:tr>
        <w:trPr>
          <w:trHeight w:val="220"/>
        </w:trPr>
        <w:tc>
          <w:tcPr>
            <w:tcW w:w="692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6,714</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118</w:t>
            </w:r>
          </w:p>
        </w:tc>
        <w:tc>
          <w:tcPr>
            <w:tcW w:w="60" w:type="dxa"/>
            <w:vAlign w:val="bottom"/>
          </w:tcPr>
          <w:p>
            <w:pPr>
              <w:spacing w:after="0"/>
              <w:rPr>
                <w:sz w:val="19"/>
                <w:szCs w:val="19"/>
                <w:color w:val="auto"/>
              </w:rPr>
            </w:pP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auto"/>
              </w:rPr>
              <w:t>Net loss</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34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auto"/>
              </w:rPr>
              <w:t>(241,317)</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14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(226,790)</w:t>
            </w:r>
          </w:p>
        </w:tc>
      </w:tr>
      <w:tr>
        <w:trPr>
          <w:trHeight w:val="636"/>
        </w:trPr>
        <w:tc>
          <w:tcPr>
            <w:tcW w:w="6920" w:type="dxa"/>
            <w:vAlign w:val="bottom"/>
          </w:tcPr>
          <w:p>
            <w:pPr>
              <w:ind w:left="480"/>
              <w:spacing w:after="0"/>
              <w:rPr>
                <w:sz w:val="20"/>
                <w:szCs w:val="20"/>
                <w:color w:val="auto"/>
              </w:rPr>
            </w:pPr>
            <w:r>
              <w:rPr>
                <w:rFonts w:ascii="Arial" w:cs="Arial" w:eastAsia="Arial" w:hAnsi="Arial"/>
                <w:sz w:val="20"/>
                <w:szCs w:val="20"/>
                <w:b w:val="1"/>
                <w:bCs w:val="1"/>
                <w:color w:val="auto"/>
              </w:rPr>
              <w:t>Research and Development Expenses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1"/>
        </w:trPr>
        <w:tc>
          <w:tcPr>
            <w:tcW w:w="6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6920" w:type="dxa"/>
            <w:vAlign w:val="bottom"/>
          </w:tcPr>
          <w:p>
            <w:pPr>
              <w:spacing w:after="0" w:line="174" w:lineRule="exact"/>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5"/>
              <w:spacing w:after="0" w:line="174"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3"/>
              <w:spacing w:after="0" w:line="174"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r>
      <w:tr>
        <w:trPr>
          <w:trHeight w:val="218"/>
        </w:trPr>
        <w:tc>
          <w:tcPr>
            <w:tcW w:w="6920" w:type="dxa"/>
            <w:vAlign w:val="bottom"/>
          </w:tcPr>
          <w:p>
            <w:pPr>
              <w:spacing w:after="0" w:line="218" w:lineRule="exact"/>
              <w:rPr>
                <w:sz w:val="20"/>
                <w:szCs w:val="20"/>
                <w:color w:val="auto"/>
              </w:rPr>
            </w:pPr>
            <w:r>
              <w:rPr>
                <w:rFonts w:ascii="Arial" w:cs="Arial" w:eastAsia="Arial" w:hAnsi="Arial"/>
                <w:sz w:val="20"/>
                <w:szCs w:val="20"/>
                <w:b w:val="1"/>
                <w:bCs w:val="1"/>
                <w:color w:val="auto"/>
              </w:rPr>
              <w:t>Direct, external research and development expenses by program:</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20"/>
                <w:szCs w:val="20"/>
                <w:b w:val="1"/>
                <w:bCs w:val="1"/>
                <w:color w:val="auto"/>
              </w:rPr>
              <w:t>Adintrevimab</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106,024</w:t>
            </w:r>
          </w:p>
        </w:tc>
        <w:tc>
          <w:tcPr>
            <w:tcW w:w="260" w:type="dxa"/>
            <w:vAlign w:val="bottom"/>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136,470</w:t>
            </w:r>
          </w:p>
        </w:tc>
        <w:tc>
          <w:tcPr>
            <w:tcW w:w="60" w:type="dxa"/>
            <w:vAlign w:val="bottom"/>
          </w:tcPr>
          <w:p>
            <w:pPr>
              <w:spacing w:after="0"/>
              <w:rPr>
                <w:sz w:val="20"/>
                <w:szCs w:val="20"/>
                <w:color w:val="auto"/>
              </w:rPr>
            </w:pPr>
          </w:p>
        </w:tc>
      </w:tr>
      <w:tr>
        <w:trPr>
          <w:trHeight w:val="241"/>
        </w:trPr>
        <w:tc>
          <w:tcPr>
            <w:tcW w:w="6920" w:type="dxa"/>
            <w:vAlign w:val="bottom"/>
          </w:tcPr>
          <w:p>
            <w:pPr>
              <w:ind w:left="200"/>
              <w:spacing w:after="0" w:line="241" w:lineRule="exact"/>
              <w:rPr>
                <w:sz w:val="20"/>
                <w:szCs w:val="20"/>
                <w:color w:val="auto"/>
              </w:rPr>
            </w:pPr>
            <w:r>
              <w:rPr>
                <w:rFonts w:ascii="Arial" w:cs="Arial" w:eastAsia="Arial" w:hAnsi="Arial"/>
                <w:sz w:val="20"/>
                <w:szCs w:val="20"/>
                <w:b w:val="1"/>
                <w:bCs w:val="1"/>
                <w:color w:val="auto"/>
              </w:rPr>
              <w:t>NVD200</w:t>
            </w:r>
            <w:r>
              <w:rPr>
                <w:rFonts w:ascii="Arial" w:cs="Arial" w:eastAsia="Arial" w:hAnsi="Arial"/>
                <w:sz w:val="25"/>
                <w:szCs w:val="25"/>
                <w:b w:val="1"/>
                <w:bCs w:val="1"/>
                <w:color w:val="auto"/>
                <w:vertAlign w:val="superscript"/>
              </w:rPr>
              <w:t>(1)</w:t>
            </w: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19,665</w:t>
            </w: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19"/>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auto"/>
              </w:rPr>
              <w:t>Unallocated research and development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20"/>
                <w:szCs w:val="20"/>
                <w:b w:val="1"/>
                <w:bCs w:val="1"/>
                <w:color w:val="auto"/>
              </w:rPr>
              <w:t>Personnel related (including stock-based compensation)</w:t>
            </w: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37,181</w:t>
            </w: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23,470</w:t>
            </w:r>
          </w:p>
        </w:tc>
      </w:tr>
      <w:tr>
        <w:trPr>
          <w:trHeight w:val="231"/>
        </w:trPr>
        <w:tc>
          <w:tcPr>
            <w:tcW w:w="6920" w:type="dxa"/>
            <w:vAlign w:val="bottom"/>
          </w:tcPr>
          <w:p>
            <w:pPr>
              <w:ind w:left="200"/>
              <w:spacing w:after="0" w:line="230" w:lineRule="exact"/>
              <w:rPr>
                <w:sz w:val="20"/>
                <w:szCs w:val="20"/>
                <w:color w:val="auto"/>
              </w:rPr>
            </w:pPr>
            <w:r>
              <w:rPr>
                <w:rFonts w:ascii="Arial" w:cs="Arial" w:eastAsia="Arial" w:hAnsi="Arial"/>
                <w:sz w:val="20"/>
                <w:szCs w:val="20"/>
                <w:b w:val="1"/>
                <w:bCs w:val="1"/>
                <w:color w:val="auto"/>
              </w:rPr>
              <w:t>External discovery-related and other costs</w:t>
            </w:r>
            <w:r>
              <w:rPr>
                <w:rFonts w:ascii="Arial" w:cs="Arial" w:eastAsia="Arial" w:hAnsi="Arial"/>
                <w:sz w:val="25"/>
                <w:szCs w:val="25"/>
                <w:b w:val="1"/>
                <w:bCs w:val="1"/>
                <w:color w:val="auto"/>
                <w:vertAlign w:val="superscript"/>
              </w:rPr>
              <w:t>(2)</w:t>
            </w: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16,344</w:t>
            </w:r>
          </w:p>
        </w:tc>
        <w:tc>
          <w:tcPr>
            <w:tcW w:w="32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22,951</w:t>
            </w:r>
          </w:p>
        </w:tc>
      </w:tr>
      <w:tr>
        <w:trPr>
          <w:trHeight w:val="220"/>
        </w:trPr>
        <w:tc>
          <w:tcPr>
            <w:tcW w:w="692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research and development expenses</w:t>
            </w:r>
          </w:p>
        </w:tc>
        <w:tc>
          <w:tcPr>
            <w:tcW w:w="320" w:type="dxa"/>
            <w:vAlign w:val="bottom"/>
            <w:tcBorders>
              <w:top w:val="single" w:sz="8" w:color="auto"/>
            </w:tcBorders>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8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179,214</w:t>
            </w:r>
          </w:p>
        </w:tc>
        <w:tc>
          <w:tcPr>
            <w:tcW w:w="260" w:type="dxa"/>
            <w:vAlign w:val="bottom"/>
          </w:tcPr>
          <w:p>
            <w:pPr>
              <w:spacing w:after="0"/>
              <w:rPr>
                <w:sz w:val="19"/>
                <w:szCs w:val="19"/>
                <w:color w:val="auto"/>
              </w:rPr>
            </w:pPr>
          </w:p>
        </w:tc>
        <w:tc>
          <w:tcPr>
            <w:tcW w:w="320" w:type="dxa"/>
            <w:vAlign w:val="bottom"/>
            <w:tcBorders>
              <w:top w:val="single" w:sz="8" w:color="auto"/>
            </w:tcBorders>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8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182,891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-3510280</wp:posOffset>
            </wp:positionV>
            <wp:extent cx="6427470" cy="17005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4">
                      <a:extLst>
                        <a:ext uri="{28A0092B-C50C-407E-A947-70E740481C1C}"/>
                      </a:extLst>
                    </a:blip>
                    <a:srcRect/>
                    <a:stretch>
                      <a:fillRect/>
                    </a:stretch>
                  </pic:blipFill>
                  <pic:spPr bwMode="auto">
                    <a:xfrm>
                      <a:off x="0" y="0"/>
                      <a:ext cx="6427470" cy="17005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-1047750</wp:posOffset>
            </wp:positionV>
            <wp:extent cx="6427470" cy="10909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5">
                      <a:extLst>
                        <a:ext uri="{28A0092B-C50C-407E-A947-70E740481C1C}"/>
                      </a:extLst>
                    </a:blip>
                    <a:srcRect/>
                    <a:stretch>
                      <a:fillRect/>
                    </a:stretch>
                  </pic:blipFill>
                  <pic:spPr bwMode="auto">
                    <a:xfrm>
                      <a:off x="0" y="0"/>
                      <a:ext cx="6427470" cy="1090930"/>
                    </a:xfrm>
                    <a:prstGeom prst="rect">
                      <a:avLst/>
                    </a:prstGeom>
                    <a:noFill/>
                  </pic:spPr>
                </pic:pic>
              </a:graphicData>
            </a:graphic>
          </wp:anchor>
        </w:drawing>
      </w:r>
    </w:p>
    <w:p>
      <w:pPr>
        <w:spacing w:after="0" w:line="34" w:lineRule="exact"/>
        <w:rPr>
          <w:sz w:val="20"/>
          <w:szCs w:val="20"/>
          <w:color w:val="auto"/>
        </w:rPr>
      </w:pPr>
    </w:p>
    <w:p>
      <w:pPr>
        <w:jc w:val="both"/>
        <w:spacing w:after="0" w:line="215" w:lineRule="auto"/>
        <w:tabs>
          <w:tab w:leader="none" w:pos="218" w:val="left"/>
        </w:tabs>
        <w:numPr>
          <w:ilvl w:val="0"/>
          <w:numId w:val="3"/>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NVD200, a combination product that we previously selected for clinical advancement, includes costs associated with VYD222 and other mAbs evaluated for potential advancement prior to making the decision to prioritize VYD222 instead of NVD200.</w:t>
      </w:r>
    </w:p>
    <w:p>
      <w:pPr>
        <w:spacing w:after="0" w:line="11" w:lineRule="exact"/>
        <w:rPr>
          <w:rFonts w:ascii="Arial" w:cs="Arial" w:eastAsia="Arial" w:hAnsi="Arial"/>
          <w:sz w:val="26"/>
          <w:szCs w:val="26"/>
          <w:b w:val="1"/>
          <w:bCs w:val="1"/>
          <w:color w:val="auto"/>
          <w:vertAlign w:val="superscript"/>
        </w:rPr>
      </w:pPr>
    </w:p>
    <w:p>
      <w:pPr>
        <w:jc w:val="both"/>
        <w:spacing w:after="0" w:line="239" w:lineRule="auto"/>
        <w:tabs>
          <w:tab w:leader="none" w:pos="214" w:val="left"/>
        </w:tabs>
        <w:numPr>
          <w:ilvl w:val="0"/>
          <w:numId w:val="3"/>
        </w:numPr>
        <w:rPr>
          <w:rFonts w:ascii="Arial" w:cs="Arial" w:eastAsia="Arial" w:hAnsi="Arial"/>
          <w:sz w:val="22"/>
          <w:szCs w:val="22"/>
          <w:b w:val="1"/>
          <w:bCs w:val="1"/>
          <w:color w:val="auto"/>
          <w:vertAlign w:val="superscript"/>
        </w:rPr>
      </w:pPr>
      <w:r>
        <w:rPr>
          <w:rFonts w:ascii="Arial" w:cs="Arial" w:eastAsia="Arial" w:hAnsi="Arial"/>
          <w:sz w:val="17"/>
          <w:szCs w:val="17"/>
          <w:b w:val="1"/>
          <w:bCs w:val="1"/>
          <w:color w:val="auto"/>
        </w:rPr>
        <w:t>In 2022, we reclassified costs associated with ADG10, an antibody-based product candidate previously considered for potential use in combination with adintrevimab for the treatment and prevention of COVID-19, into external discovery-related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102</w:t>
      </w:r>
    </w:p>
    <w:p>
      <w:pPr>
        <w:sectPr>
          <w:pgSz w:w="12240" w:h="15840" w:orient="portrait"/>
          <w:cols w:equalWidth="0" w:num="1">
            <w:col w:w="10080"/>
          </w:cols>
          <w:pgMar w:left="1080" w:top="1089" w:right="1080" w:bottom="157" w:gutter="0" w:footer="0" w:header="0"/>
        </w:sectPr>
      </w:pPr>
    </w:p>
    <w:bookmarkStart w:id="104" w:name="page105"/>
    <w:bookmarkEnd w:id="104"/>
    <w:p>
      <w:pPr>
        <w:jc w:val="both"/>
        <w:spacing w:after="0" w:line="234" w:lineRule="auto"/>
        <w:rPr>
          <w:sz w:val="20"/>
          <w:szCs w:val="20"/>
          <w:color w:val="auto"/>
        </w:rPr>
      </w:pPr>
      <w:r>
        <w:rPr>
          <w:rFonts w:ascii="Arial" w:cs="Arial" w:eastAsia="Arial" w:hAnsi="Arial"/>
          <w:sz w:val="20"/>
          <w:szCs w:val="20"/>
          <w:b w:val="1"/>
          <w:bCs w:val="1"/>
          <w:color w:val="auto"/>
        </w:rPr>
        <w:t>and other costs. We have discontinued development of ADG10 due to its less favorable neutralization profile compared to adintrevimab.</w:t>
      </w:r>
    </w:p>
    <w:p>
      <w:pPr>
        <w:spacing w:after="0" w:line="149"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Research and development expenses were $179.2 million for the year ended December 31, 2022, compared to $182.9 million for the year ended December 31, 2021. The $3.7 million decrease in research and development expenses was primarily due to the following:</w:t>
      </w:r>
    </w:p>
    <w:p>
      <w:pPr>
        <w:spacing w:after="0" w:line="145" w:lineRule="exact"/>
        <w:rPr>
          <w:sz w:val="20"/>
          <w:szCs w:val="20"/>
          <w:color w:val="auto"/>
        </w:rPr>
      </w:pPr>
    </w:p>
    <w:p>
      <w:pPr>
        <w:jc w:val="both"/>
        <w:ind w:left="1100"/>
        <w:spacing w:after="0" w:line="268" w:lineRule="auto"/>
        <w:rPr>
          <w:sz w:val="20"/>
          <w:szCs w:val="20"/>
          <w:color w:val="auto"/>
        </w:rPr>
      </w:pPr>
      <w:r>
        <w:rPr>
          <w:rFonts w:ascii="Arial" w:cs="Arial" w:eastAsia="Arial" w:hAnsi="Arial"/>
          <w:sz w:val="18"/>
          <w:szCs w:val="18"/>
          <w:b w:val="1"/>
          <w:bCs w:val="1"/>
          <w:color w:val="auto"/>
        </w:rPr>
        <w:t>The decrease in direct costs related to our adintrevimab program of $30.4 million was primarily due to a decrease in our contract research expenses. Contract research expenses decreased $27.2 million primarily related to lower costs due to a pause in enrollment and closing of clinical trials in January and November 2022, respectively. Contract manufacturing expenses increased primarily related to the production of materials for use in our clinical trials and nonclinical studies and production of commercial supply for a potential EUA for the adintrevimab program procured from WuXi Biologics, our sole-source supplier of drug substance and drug product. The increase in contract manufacturing expenses was offset by the recognition of the eight-figure WuXi Biologics credit, for a net decrease of $0.3 million. In addition, other external and non-clinical expenses decreased by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-1279525</wp:posOffset>
            </wp:positionV>
            <wp:extent cx="71120" cy="711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5" w:lineRule="exact"/>
        <w:rPr>
          <w:sz w:val="20"/>
          <w:szCs w:val="20"/>
          <w:color w:val="auto"/>
        </w:rPr>
      </w:pPr>
    </w:p>
    <w:p>
      <w:pPr>
        <w:jc w:val="both"/>
        <w:ind w:left="1100"/>
        <w:spacing w:after="0" w:line="296" w:lineRule="auto"/>
        <w:rPr>
          <w:sz w:val="20"/>
          <w:szCs w:val="20"/>
          <w:color w:val="auto"/>
        </w:rPr>
      </w:pPr>
      <w:r>
        <w:rPr>
          <w:rFonts w:ascii="Arial" w:cs="Arial" w:eastAsia="Arial" w:hAnsi="Arial"/>
          <w:sz w:val="17"/>
          <w:szCs w:val="17"/>
          <w:b w:val="1"/>
          <w:bCs w:val="1"/>
          <w:color w:val="auto"/>
        </w:rPr>
        <w:t>The increase in direct expenses related to NVD200 is due to the nomination of our NVD200 product candidate in 2022 to proceed to IND-enabling activities. The costs primarily related to contract manufacturing expenses for the manufacture of materials for use in our clinical trials and non-clinical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-417830</wp:posOffset>
            </wp:positionV>
            <wp:extent cx="71120" cy="711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jc w:val="both"/>
        <w:ind w:left="1100"/>
        <w:spacing w:after="0" w:line="269" w:lineRule="auto"/>
        <w:rPr>
          <w:sz w:val="20"/>
          <w:szCs w:val="20"/>
          <w:color w:val="auto"/>
        </w:rPr>
      </w:pPr>
      <w:r>
        <w:rPr>
          <w:rFonts w:ascii="Arial" w:cs="Arial" w:eastAsia="Arial" w:hAnsi="Arial"/>
          <w:sz w:val="18"/>
          <w:szCs w:val="18"/>
          <w:b w:val="1"/>
          <w:bCs w:val="1"/>
          <w:color w:val="auto"/>
        </w:rPr>
        <w:t>Personnel-related costs, including salaries, bonuses, benefits and other compensation-related costs were $24.4 million and stock-based compensation expense was $12.8 million for the year ended December 31, 2022, compared to personnel-related costs of $16.9 million and stock-based compensation expense of $6.6 million for the year ended December 31, 2021. The increase in personnel-related costs of $13.7 million was primarily due to the hiring of additional individuals to support the development of our product candidates, including an increase in stock-based compensation expense of $6.2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-842645</wp:posOffset>
            </wp:positionV>
            <wp:extent cx="71120" cy="711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jc w:val="both"/>
        <w:ind w:left="1100"/>
        <w:spacing w:after="0" w:line="285" w:lineRule="auto"/>
        <w:rPr>
          <w:sz w:val="20"/>
          <w:szCs w:val="20"/>
          <w:color w:val="auto"/>
        </w:rPr>
      </w:pPr>
      <w:r>
        <w:rPr>
          <w:rFonts w:ascii="Arial" w:cs="Arial" w:eastAsia="Arial" w:hAnsi="Arial"/>
          <w:sz w:val="17"/>
          <w:szCs w:val="17"/>
          <w:b w:val="1"/>
          <w:bCs w:val="1"/>
          <w:color w:val="auto"/>
        </w:rPr>
        <w:t>The decrease in external discovery-related and other costs of $6.6 million was primarily due to a decrease of $10.9 million of direct costs related to ADG10 during the year ended December 31, 2021, for which there were no comparable costs during the year ended December 31, 2022. This decrease was offset by an increase in external discovery-related and other costs of $4.3 million primarily due to an increase of $2.6 million related to the quarterly fee under the Adimab Collaboration Agreement, which commenced during the three months ended September 30, 2021, an increase of $0.7 million related to services performed by Adimab on our behalf under the Adimab Assignment Agreement and the Adimab Collaboration Agreement, an increase of $1.7 million related to information technology costs, software expenditures, and insurance costs, an increase of $1.0 million in laboratory-related expenses, which include equipment, laboratory supplies, rent expense and other operating costs, offset by a decrease of $1.7 million in other external discovery-related and other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-1432560</wp:posOffset>
            </wp:positionV>
            <wp:extent cx="71120" cy="711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0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Acquired In-Process Research and Development Expenses</w:t>
      </w:r>
    </w:p>
    <w:p>
      <w:pPr>
        <w:spacing w:after="0" w:line="131"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Acquired IPR&amp;D expenses of $4.4 million for the year ended December 31, 2022 consisted of $3.0 million incurred related to our upfront consideration payable for the rights assigned pursuant to the Adimab Platform Transfer Agreement, $1.0 million incurred related to an option exercise pursuant to the Adimab Collaboration Agreement and $0.4 million incurred related to discovery delivery fees pursuant to the Adimab Collaboration Agreement.</w:t>
      </w:r>
    </w:p>
    <w:p>
      <w:pPr>
        <w:spacing w:after="0" w:line="90"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Acquired IPR&amp;D expenses of $7.5 million for the year ended December 31, 2021 consisted of the costs we incurred in the period under the Adimab Assignment Agreement for a $1.0 million milestone payment that became due to Adimab in February 2021 upon the dosing of the first patient in a Phase 1 clinical trial evaluating adintrevimab, a $2.5 million milestone payment that became due to Adimab in April 2021 upon the dosing of the first patient in the first Phase 2 clinical trial evaluating adintrevimab for the prevention of COVID-19, and a $4.0 million milestone payment that became due to Adimab in August 2021 upon dosing of the first patient in a Phase 3 clinical trial evaluating adintrevimab for the prevention of COVID-19. The second and third milestones were achieved in connection with our combined Phase 2/3 EVADE global clinical trial of adintrevimab for the prevention of COVID-19. We recognized the expense related to the first, second and third milestone payments in February, April and August 2021, respectively, when we deemed it probable that each specified milestone would be achieved. The amounts of these contingent payments were recognized as an IPR&amp;D expense based on the nature, assessed as of each milestone achievement date, of the assets originally acquired from Adimab.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103</w:t>
      </w:r>
    </w:p>
    <w:p>
      <w:pPr>
        <w:sectPr>
          <w:pgSz w:w="12240" w:h="15840" w:orient="portrait"/>
          <w:cols w:equalWidth="0" w:num="1">
            <w:col w:w="10080"/>
          </w:cols>
          <w:pgMar w:left="1080" w:top="1089" w:right="1080" w:bottom="157" w:gutter="0" w:footer="0" w:header="0"/>
        </w:sectPr>
      </w:pPr>
    </w:p>
    <w:bookmarkStart w:id="105" w:name="page106"/>
    <w:bookmarkEnd w:id="105"/>
    <w:p>
      <w:pPr>
        <w:ind w:left="480"/>
        <w:spacing w:after="0"/>
        <w:rPr>
          <w:sz w:val="20"/>
          <w:szCs w:val="20"/>
          <w:color w:val="auto"/>
        </w:rPr>
      </w:pPr>
      <w:r>
        <w:rPr>
          <w:rFonts w:ascii="Arial" w:cs="Arial" w:eastAsia="Arial" w:hAnsi="Arial"/>
          <w:sz w:val="20"/>
          <w:szCs w:val="20"/>
          <w:b w:val="1"/>
          <w:bCs w:val="1"/>
          <w:color w:val="auto"/>
        </w:rPr>
        <w:t>Selling, General and Administrative Expenses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6"/>
                <w:szCs w:val="16"/>
                <w:b w:val="1"/>
                <w:bCs w:val="1"/>
                <w:color w:val="auto"/>
              </w:rPr>
              <w:t>Year Ended December 31,</w:t>
            </w:r>
          </w:p>
        </w:tc>
      </w:tr>
      <w:tr>
        <w:trPr>
          <w:trHeight w:val="172"/>
        </w:trPr>
        <w:tc>
          <w:tcPr>
            <w:tcW w:w="6920" w:type="dxa"/>
            <w:vAlign w:val="bottom"/>
          </w:tcPr>
          <w:p>
            <w:pPr>
              <w:spacing w:after="0" w:line="172" w:lineRule="exact"/>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7"/>
              <w:spacing w:after="0" w:line="172"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4"/>
              <w:spacing w:after="0" w:line="172" w:lineRule="exact"/>
              <w:rPr>
                <w:sz w:val="20"/>
                <w:szCs w:val="20"/>
                <w:color w:val="auto"/>
              </w:rPr>
            </w:pPr>
            <w:r>
              <w:rPr>
                <w:rFonts w:ascii="Arial" w:cs="Arial" w:eastAsia="Arial" w:hAnsi="Arial"/>
                <w:sz w:val="16"/>
                <w:szCs w:val="16"/>
                <w:b w:val="1"/>
                <w:bCs w:val="1"/>
                <w:color w:val="auto"/>
              </w:rPr>
              <w:t>2021</w:t>
            </w: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auto"/>
              </w:rPr>
              <w:t>Personnel related (including stock-based compensation)</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340" w:type="dxa"/>
            <w:vAlign w:val="bottom"/>
            <w:gridSpan w:val="2"/>
          </w:tcPr>
          <w:p>
            <w:pPr>
              <w:jc w:val="right"/>
              <w:ind w:right="260"/>
              <w:spacing w:after="0" w:line="220" w:lineRule="exact"/>
              <w:rPr>
                <w:sz w:val="20"/>
                <w:szCs w:val="20"/>
                <w:color w:val="auto"/>
              </w:rPr>
            </w:pPr>
            <w:r>
              <w:rPr>
                <w:rFonts w:ascii="Arial" w:cs="Arial" w:eastAsia="Arial" w:hAnsi="Arial"/>
                <w:sz w:val="20"/>
                <w:szCs w:val="20"/>
                <w:b w:val="1"/>
                <w:bCs w:val="1"/>
                <w:color w:val="auto"/>
              </w:rPr>
              <w:t>21,153</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19,540</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Professional and consultant fees</w:t>
            </w:r>
          </w:p>
        </w:tc>
        <w:tc>
          <w:tcPr>
            <w:tcW w:w="32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23,884</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15,563</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2,007</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1,414</w:t>
            </w:r>
          </w:p>
        </w:tc>
      </w:tr>
      <w:tr>
        <w:trPr>
          <w:trHeight w:val="220"/>
        </w:trPr>
        <w:tc>
          <w:tcPr>
            <w:tcW w:w="692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Total selling, general and administrative expenses</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340" w:type="dxa"/>
            <w:vAlign w:val="bottom"/>
            <w:gridSpan w:val="2"/>
          </w:tcPr>
          <w:p>
            <w:pPr>
              <w:jc w:val="right"/>
              <w:ind w:right="260"/>
              <w:spacing w:after="0" w:line="220" w:lineRule="exact"/>
              <w:rPr>
                <w:sz w:val="20"/>
                <w:szCs w:val="20"/>
                <w:color w:val="auto"/>
              </w:rPr>
            </w:pPr>
            <w:r>
              <w:rPr>
                <w:rFonts w:ascii="Arial" w:cs="Arial" w:eastAsia="Arial" w:hAnsi="Arial"/>
                <w:sz w:val="20"/>
                <w:szCs w:val="20"/>
                <w:b w:val="1"/>
                <w:bCs w:val="1"/>
                <w:color w:val="auto"/>
              </w:rPr>
              <w:t>47,044</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36,517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-608965</wp:posOffset>
            </wp:positionV>
            <wp:extent cx="6427470" cy="6515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0">
                      <a:extLst>
                        <a:ext uri="{28A0092B-C50C-407E-A947-70E740481C1C}"/>
                      </a:extLst>
                    </a:blip>
                    <a:srcRect/>
                    <a:stretch>
                      <a:fillRect/>
                    </a:stretch>
                  </pic:blipFill>
                  <pic:spPr bwMode="auto">
                    <a:xfrm>
                      <a:off x="0" y="0"/>
                      <a:ext cx="6427470" cy="651510"/>
                    </a:xfrm>
                    <a:prstGeom prst="rect">
                      <a:avLst/>
                    </a:prstGeom>
                    <a:noFill/>
                  </pic:spPr>
                </pic:pic>
              </a:graphicData>
            </a:graphic>
          </wp:anchor>
        </w:drawing>
      </w:r>
    </w:p>
    <w:p>
      <w:pPr>
        <w:spacing w:after="0" w:line="310"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Selling, general and administrative expenses were $47.0 million for the year ended December 31, 2022, compared to $36.5 million for the year ended December 31, 2021. The $10.5 million increase in selling, general and administrative expenses was primarily due to the following:</w:t>
      </w:r>
    </w:p>
    <w:p>
      <w:pPr>
        <w:spacing w:after="0" w:line="147" w:lineRule="exact"/>
        <w:rPr>
          <w:sz w:val="20"/>
          <w:szCs w:val="20"/>
          <w:color w:val="auto"/>
        </w:rPr>
      </w:pPr>
    </w:p>
    <w:p>
      <w:pPr>
        <w:jc w:val="both"/>
        <w:ind w:left="1100"/>
        <w:spacing w:after="0" w:line="287" w:lineRule="auto"/>
        <w:rPr>
          <w:sz w:val="20"/>
          <w:szCs w:val="20"/>
          <w:color w:val="auto"/>
        </w:rPr>
      </w:pPr>
      <w:r>
        <w:rPr>
          <w:rFonts w:ascii="Arial" w:cs="Arial" w:eastAsia="Arial" w:hAnsi="Arial"/>
          <w:sz w:val="17"/>
          <w:szCs w:val="17"/>
          <w:b w:val="1"/>
          <w:bCs w:val="1"/>
          <w:color w:val="auto"/>
        </w:rPr>
        <w:t>Personnel-related costs, including salaries, bonuses, benefits and other compensation-related costs were $12.4 million and stock-based compensation expense was $8.8 million for the year ended December 31, 2022, compared to personnel-related costs of $8.3 million and stock-based compensation expense of $11.2 million for the year ended December 31, 2021. The increase in personnel-related costs of $1.6 million was primarily due to the hiring of additional individuals to support our operations as we began operating as a public company, partially offset by the reversal of stock-based compensation expense related to the forfeiture of stock options in conjunction with the resignation of our former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-997585</wp:posOffset>
            </wp:positionV>
            <wp:extent cx="71120" cy="711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8" w:lineRule="exact"/>
        <w:rPr>
          <w:sz w:val="20"/>
          <w:szCs w:val="20"/>
          <w:color w:val="auto"/>
        </w:rPr>
      </w:pPr>
    </w:p>
    <w:p>
      <w:pPr>
        <w:jc w:val="both"/>
        <w:ind w:left="1100"/>
        <w:spacing w:after="0" w:line="235" w:lineRule="auto"/>
        <w:rPr>
          <w:sz w:val="20"/>
          <w:szCs w:val="20"/>
          <w:color w:val="auto"/>
        </w:rPr>
      </w:pPr>
      <w:r>
        <w:rPr>
          <w:rFonts w:ascii="Arial" w:cs="Arial" w:eastAsia="Arial" w:hAnsi="Arial"/>
          <w:sz w:val="20"/>
          <w:szCs w:val="20"/>
          <w:b w:val="1"/>
          <w:bCs w:val="1"/>
          <w:color w:val="auto"/>
        </w:rPr>
        <w:t>The increase in professional services and consultant fees of $8.3 million was primarily due to costs incurred as we began operating as a public company, including expenses related to corporate governance matters, director and officer insurance premiums, audit and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-387985</wp:posOffset>
            </wp:positionV>
            <wp:extent cx="71120" cy="711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Other costs remained relatively consistent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Warrant Expense</w:t>
      </w:r>
    </w:p>
    <w:p>
      <w:pPr>
        <w:spacing w:after="0" w:line="131"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Warrant expense for the year ended December 31, 2022 was $17.4 million, consisting of warrant expense recognized as compensation for the services performed in conjunction with the PHP MSA executed in November 2022.</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 warrant expense was recognized for the year ended December 31, 2021.</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Other Income (Expense), Net</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Other income (expense), net for the year ended December 31, 2022 was $6.7 million, consisting primarily of $3.9 million of interest earned on our invested cash balances and $2.8 million of net accretion of discounts related to our marketable securities.</w:t>
      </w:r>
    </w:p>
    <w:p>
      <w:pPr>
        <w:spacing w:after="0" w:line="133"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Other income (expense), net for the year ended December 31, 2021 was $0.1 million, consisting primarily of $1.7 million of interest earned on our invested cash balances, partially offset by $1.4 million of net amortization of premiums related to our marketable securities.</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Sources of Liquidity</w:t>
      </w:r>
    </w:p>
    <w:p>
      <w:pPr>
        <w:spacing w:after="0" w:line="13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Since our inception in June 2020, we have not generated any revenue from any sources, including from product sales or government supply contracts, and have incurred significant operating losses and negative cash flows from operations. We expect to incur substantial expenses and operating losses for the foreseeable future as we advance the clinical development of our product candidates. To date, we have financed our operations with net proceeds of $464.7 million from sales of our preferred stock, and with aggregate net proceeds from our IPO in August 2021 of $327.5 million.</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As of December 31, 2022, we had cash, cash equivalents and marketable securities of $372.0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104</w:t>
      </w:r>
    </w:p>
    <w:p>
      <w:pPr>
        <w:sectPr>
          <w:pgSz w:w="12240" w:h="15840" w:orient="portrait"/>
          <w:cols w:equalWidth="0" w:num="1">
            <w:col w:w="10080"/>
          </w:cols>
          <w:pgMar w:left="1080" w:top="1079" w:right="1080" w:bottom="157" w:gutter="0" w:footer="0" w:header="0"/>
        </w:sectPr>
      </w:pPr>
    </w:p>
    <w:bookmarkStart w:id="106" w:name="page107"/>
    <w:bookmarkEnd w:id="106"/>
    <w:p>
      <w:pPr>
        <w:ind w:left="480"/>
        <w:spacing w:after="0"/>
        <w:rPr>
          <w:sz w:val="20"/>
          <w:szCs w:val="20"/>
          <w:color w:val="auto"/>
        </w:rPr>
      </w:pPr>
      <w:r>
        <w:rPr>
          <w:rFonts w:ascii="Arial" w:cs="Arial" w:eastAsia="Arial" w:hAnsi="Arial"/>
          <w:sz w:val="20"/>
          <w:szCs w:val="20"/>
          <w:b w:val="1"/>
          <w:bCs w:val="1"/>
          <w:color w:val="auto"/>
        </w:rPr>
        <w:t>Cash Flows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following table summarizes our sources and uses of cash for each of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6920" w:type="dxa"/>
            <w:vAlign w:val="bottom"/>
          </w:tcPr>
          <w:p>
            <w:pPr>
              <w:spacing w:after="0" w:line="175" w:lineRule="exact"/>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7"/>
              <w:spacing w:after="0" w:line="175" w:lineRule="exact"/>
              <w:rPr>
                <w:sz w:val="20"/>
                <w:szCs w:val="20"/>
                <w:color w:val="auto"/>
              </w:rPr>
            </w:pPr>
            <w:r>
              <w:rPr>
                <w:rFonts w:ascii="Arial" w:cs="Arial" w:eastAsia="Arial" w:hAnsi="Arial"/>
                <w:sz w:val="16"/>
                <w:szCs w:val="16"/>
                <w:b w:val="1"/>
                <w:bCs w:val="1"/>
                <w:color w:val="auto"/>
              </w:rPr>
              <w:t>2022</w:t>
            </w:r>
          </w:p>
        </w:tc>
        <w:tc>
          <w:tcPr>
            <w:tcW w:w="26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4"/>
              <w:spacing w:after="0" w:line="175"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auto"/>
              </w:rPr>
              <w:t>Net cash used in operating activities</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34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auto"/>
              </w:rPr>
              <w:t>(219,987)</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14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(184,736)</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Net cash used in investing activities</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(230,667)</w:t>
            </w: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b w:val="1"/>
                <w:bCs w:val="1"/>
                <w:color w:val="auto"/>
              </w:rPr>
              <w:t>(50,711)</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Net cash provided by financing activities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506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662,683</w:t>
            </w:r>
          </w:p>
        </w:tc>
        <w:tc>
          <w:tcPr>
            <w:tcW w:w="60" w:type="dxa"/>
            <w:vAlign w:val="bottom"/>
          </w:tcPr>
          <w:p>
            <w:pPr>
              <w:spacing w:after="0"/>
              <w:rPr>
                <w:sz w:val="20"/>
                <w:szCs w:val="20"/>
                <w:color w:val="auto"/>
              </w:rPr>
            </w:pPr>
          </w:p>
        </w:tc>
      </w:tr>
      <w:tr>
        <w:trPr>
          <w:trHeight w:val="220"/>
        </w:trPr>
        <w:tc>
          <w:tcPr>
            <w:tcW w:w="692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Net (decrease) increase in cash and cash equivalents</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34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auto"/>
              </w:rPr>
              <w:t>(450,148)</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427,236</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-608965</wp:posOffset>
            </wp:positionV>
            <wp:extent cx="6427470" cy="6515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4">
                      <a:extLst>
                        <a:ext uri="{28A0092B-C50C-407E-A947-70E740481C1C}"/>
                      </a:extLst>
                    </a:blip>
                    <a:srcRect/>
                    <a:stretch>
                      <a:fillRect/>
                    </a:stretch>
                  </pic:blipFill>
                  <pic:spPr bwMode="auto">
                    <a:xfrm>
                      <a:off x="0" y="0"/>
                      <a:ext cx="6427470" cy="651510"/>
                    </a:xfrm>
                    <a:prstGeom prst="rect">
                      <a:avLst/>
                    </a:prstGeom>
                    <a:noFill/>
                  </pic:spPr>
                </pic:pic>
              </a:graphicData>
            </a:graphic>
          </wp:anchor>
        </w:drawing>
      </w:r>
    </w:p>
    <w:p>
      <w:pPr>
        <w:spacing w:after="0" w:line="38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Operating Activities</w:t>
      </w:r>
    </w:p>
    <w:p>
      <w:pPr>
        <w:spacing w:after="0" w:line="131"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During the year ended December 31, 2022, operating activities used $220.0 million of cash, primarily due to our net loss of $241.3 million, partially offset by non-cash charges of $37.5 million. Net cash provided by changes in our operating assets and liabilities consisted of a $34.9 million decrease in accrued expenses, a $20.4 million decrease in prepaid expenses and other current assets, a $4.3 million decrease in accounts payable, and a $3.1 million decrease in other non-current assets. The decrease in accounts payable and accrued expenses was primarily due to the timing of vendor invoicing and payments. The decrease in prepaids expenses and other current assets and in other non-current assets was primarily due to our utilization of WuXi Biologics manufacturing deposits.</w:t>
      </w:r>
    </w:p>
    <w:p>
      <w:pPr>
        <w:spacing w:after="0" w:line="106"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During the year ended December 31, 2021, operating activities used $184.7 million of cash, primarily due to our net loss of $226.8 million, partially offset by non-cash charges of $19.3 million and net cash provided by changes in our operating assets and liabilities of $22.8 million. Net cash provided by changes in our operating assets and liabilities consisted of a $51.3 million increase in accrued expenses, partially offset by a $22.9 million increase in prepaid expenses and other current assets, a $3.3 million increase in other non-current assets and a $2.4 million decrease in accounts payable. The increase in accrued expenses was primarily due to amounts owed to vendors in connection with our research and development activities, including increased external costs associated with clinical trials and manufacturing. The increase in prepaid expenses and other current assets and other non-current assets was primarily due to prepayments for external research and development activities and prepayments for insurance premiums. The decrease in accounts payable was primarily due to the timing of invoices received and payments made.</w:t>
      </w:r>
    </w:p>
    <w:p>
      <w:pPr>
        <w:spacing w:after="0" w:line="32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Investing Activities</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During the year ended December 31, 2022, net cash used in investing activities was $230.7 million, primarily related to purchases of marketable securities of $298.0 million and purchases of property and equipment of $1.7 million, offset by maturities of marketable securities of $69.0 million.</w:t>
      </w:r>
    </w:p>
    <w:p>
      <w:pPr>
        <w:spacing w:after="0" w:line="130"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During the year ended December 31, 2021, net cash used in investing activities was $50.7 million, primarily related to purchases of marketable securities of $188.6 million, offset by maturities of marketable securities of $138.0 million.</w:t>
      </w:r>
    </w:p>
    <w:p>
      <w:pPr>
        <w:spacing w:after="0" w:line="30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Financing Activities</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During the year ended December 31, 2022, net cash provided by financing activities was $0.5 million, primarily related to $0.2 million from exercises of stock options and $0.3 million from issuances of common stock under the employee stock purchase plan.</w:t>
      </w:r>
    </w:p>
    <w:p>
      <w:pPr>
        <w:spacing w:after="0" w:line="130"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During the year ended December 31, 2021, net cash provided by financing activities was $662.7 million, primarily related to net proceeds of $335.2 million from the issuance of our Series C preferred stock in April 2021 and net proceeds of $330.9 million from the issuance of our common stock in connection with our IPO in August 2021, offset by $3.4 million of payments of initial public offering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105</w:t>
      </w:r>
    </w:p>
    <w:p>
      <w:pPr>
        <w:sectPr>
          <w:pgSz w:w="12240" w:h="15840" w:orient="portrait"/>
          <w:cols w:equalWidth="0" w:num="1">
            <w:col w:w="10080"/>
          </w:cols>
          <w:pgMar w:left="1080" w:top="1079" w:right="1080" w:bottom="157" w:gutter="0" w:footer="0" w:header="0"/>
        </w:sectPr>
      </w:pPr>
    </w:p>
    <w:bookmarkStart w:id="107" w:name="page108"/>
    <w:bookmarkEnd w:id="107"/>
    <w:p>
      <w:pPr>
        <w:ind w:left="480"/>
        <w:spacing w:after="0"/>
        <w:rPr>
          <w:sz w:val="20"/>
          <w:szCs w:val="20"/>
          <w:color w:val="auto"/>
        </w:rPr>
      </w:pPr>
      <w:r>
        <w:rPr>
          <w:rFonts w:ascii="Arial" w:cs="Arial" w:eastAsia="Arial" w:hAnsi="Arial"/>
          <w:sz w:val="20"/>
          <w:szCs w:val="20"/>
          <w:b w:val="1"/>
          <w:bCs w:val="1"/>
          <w:color w:val="auto"/>
        </w:rPr>
        <w:t>Funding Requirements</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Our expenses could increase in connection with our ongoing activities, particularly as we advance the non-clinical and preclinical studies and the clinical trials of our product candidates, including any associated manufacturing activities, and potential commercialization efforts. Our funding requirements and timing and amount of our operating expenditures will depend on many factors, including:</w:t>
      </w:r>
    </w:p>
    <w:p>
      <w:pPr>
        <w:spacing w:after="0" w:line="138"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rate of progress in the development of VYD222 and our other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81" w:lineRule="auto"/>
        <w:rPr>
          <w:sz w:val="20"/>
          <w:szCs w:val="20"/>
          <w:color w:val="auto"/>
        </w:rPr>
      </w:pPr>
      <w:r>
        <w:rPr>
          <w:rFonts w:ascii="Arial" w:cs="Arial" w:eastAsia="Arial" w:hAnsi="Arial"/>
          <w:sz w:val="18"/>
          <w:szCs w:val="18"/>
          <w:b w:val="1"/>
          <w:bCs w:val="1"/>
          <w:color w:val="auto"/>
        </w:rPr>
        <w:t>the scope, progress, results and costs of discovery, non-clinical studies, preclinical development, laboratory testing and clinical trials for our product candidates and associated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-266700</wp:posOffset>
            </wp:positionV>
            <wp:extent cx="71120" cy="711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8" w:lineRule="exact"/>
        <w:rPr>
          <w:sz w:val="20"/>
          <w:szCs w:val="20"/>
          <w:color w:val="auto"/>
        </w:rPr>
      </w:pPr>
    </w:p>
    <w:p>
      <w:pPr>
        <w:ind w:left="1100"/>
        <w:spacing w:after="0"/>
        <w:rPr>
          <w:sz w:val="20"/>
          <w:szCs w:val="20"/>
          <w:color w:val="auto"/>
        </w:rPr>
      </w:pPr>
      <w:r>
        <w:rPr>
          <w:rFonts w:ascii="Arial" w:cs="Arial" w:eastAsia="Arial" w:hAnsi="Arial"/>
          <w:sz w:val="15"/>
          <w:szCs w:val="15"/>
          <w:b w:val="1"/>
          <w:bCs w:val="1"/>
          <w:color w:val="auto"/>
        </w:rPr>
        <w:t>the extent to which we develop, in-license or acquire other product candidates and technologies in 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-68580</wp:posOffset>
            </wp:positionV>
            <wp:extent cx="71120" cy="711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72" w:lineRule="exact"/>
        <w:rPr>
          <w:sz w:val="20"/>
          <w:szCs w:val="20"/>
          <w:color w:val="auto"/>
        </w:rPr>
      </w:pPr>
    </w:p>
    <w:p>
      <w:pPr>
        <w:jc w:val="both"/>
        <w:ind w:left="1100"/>
        <w:spacing w:after="0" w:line="253" w:lineRule="auto"/>
        <w:rPr>
          <w:sz w:val="20"/>
          <w:szCs w:val="20"/>
          <w:color w:val="auto"/>
        </w:rPr>
      </w:pPr>
      <w:r>
        <w:rPr>
          <w:rFonts w:ascii="Arial" w:cs="Arial" w:eastAsia="Arial" w:hAnsi="Arial"/>
          <w:sz w:val="19"/>
          <w:szCs w:val="19"/>
          <w:b w:val="1"/>
          <w:bCs w:val="1"/>
          <w:color w:val="auto"/>
        </w:rPr>
        <w:t>the scope, progress, results and costs of manufacturing and validation activities associated with our current product candidates with the development and manufacturing of our future product candidates and other programs as we advance them through preclinical and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-397510</wp:posOffset>
            </wp:positionV>
            <wp:extent cx="71120" cy="711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right="2120"/>
        <w:spacing w:after="0" w:line="505" w:lineRule="auto"/>
        <w:rPr>
          <w:sz w:val="20"/>
          <w:szCs w:val="20"/>
          <w:color w:val="auto"/>
        </w:rPr>
      </w:pPr>
      <w:r>
        <w:rPr>
          <w:rFonts w:ascii="Arial" w:cs="Arial" w:eastAsia="Arial" w:hAnsi="Arial"/>
          <w:sz w:val="15"/>
          <w:szCs w:val="15"/>
          <w:b w:val="1"/>
          <w:bCs w:val="1"/>
          <w:color w:val="auto"/>
        </w:rPr>
        <w:t>the number and development requirements of product candidates that we may pursue; the costs, timing and outcome of regulatory review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-419735</wp:posOffset>
            </wp:positionV>
            <wp:extent cx="71120" cy="711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6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377190</wp:posOffset>
            </wp:positionH>
            <wp:positionV relativeFrom="paragraph">
              <wp:posOffset>-189865</wp:posOffset>
            </wp:positionV>
            <wp:extent cx="71120" cy="711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left="1100"/>
        <w:spacing w:after="0" w:line="386" w:lineRule="auto"/>
        <w:rPr>
          <w:sz w:val="20"/>
          <w:szCs w:val="20"/>
          <w:color w:val="auto"/>
        </w:rPr>
      </w:pPr>
      <w:r>
        <w:rPr>
          <w:rFonts w:ascii="Arial" w:cs="Arial" w:eastAsia="Arial" w:hAnsi="Arial"/>
          <w:sz w:val="15"/>
          <w:szCs w:val="15"/>
          <w:b w:val="1"/>
          <w:bCs w:val="1"/>
          <w:color w:val="auto"/>
        </w:rPr>
        <w:t>our headcount growth and associated costs as we expand our research and development capabilities and establish a commercial infrastructure for any product candidates for which we may obtain regulatory approval or EUA;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-311150</wp:posOffset>
            </wp:positionV>
            <wp:extent cx="71120" cy="711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timing and costs of securing sufficient capacity for clinical and commercial supply of our current and potential future product candidates, or the raw material components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309" w:lineRule="auto"/>
        <w:rPr>
          <w:sz w:val="20"/>
          <w:szCs w:val="20"/>
          <w:color w:val="auto"/>
        </w:rPr>
      </w:pPr>
      <w:r>
        <w:rPr>
          <w:rFonts w:ascii="Arial" w:cs="Arial" w:eastAsia="Arial" w:hAnsi="Arial"/>
          <w:sz w:val="17"/>
          <w:szCs w:val="17"/>
          <w:b w:val="1"/>
          <w:bCs w:val="1"/>
          <w:color w:val="auto"/>
        </w:rPr>
        <w:t>the costs and timing of future commercialization activities, including product manufacturing, marketing, sales and distribution, for any of our product candidates for which we receive marketing approval or EUA;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-280035</wp:posOffset>
            </wp:positionV>
            <wp:extent cx="71120" cy="711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9"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the costs necessary to obtain regulatory approvals, if any, for products in the U.S. and other jurisdictions, and the costs of post-marketing studies that could be required by regulatory authorities in jurisdictions where approval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-389890</wp:posOffset>
            </wp:positionV>
            <wp:extent cx="71120" cy="711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1100"/>
        <w:spacing w:after="0" w:line="251" w:lineRule="auto"/>
        <w:rPr>
          <w:sz w:val="20"/>
          <w:szCs w:val="20"/>
          <w:color w:val="auto"/>
        </w:rPr>
      </w:pPr>
      <w:r>
        <w:rPr>
          <w:rFonts w:ascii="Arial" w:cs="Arial" w:eastAsia="Arial" w:hAnsi="Arial"/>
          <w:sz w:val="19"/>
          <w:szCs w:val="19"/>
          <w:b w:val="1"/>
          <w:bCs w:val="1"/>
          <w:color w:val="auto"/>
        </w:rPr>
        <w:t>the costs and timing of preparing, filing and prosecuting patent applications, maintaining and enforcing our intellectual property rights and defending any intellectual property-related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-248920</wp:posOffset>
            </wp:positionV>
            <wp:extent cx="71120" cy="711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continuation of our existing licensing and collaboration arrangements and entry into new collaborations and licensing arrangements,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1100"/>
        <w:spacing w:after="0"/>
        <w:rPr>
          <w:sz w:val="20"/>
          <w:szCs w:val="20"/>
          <w:color w:val="auto"/>
        </w:rPr>
      </w:pPr>
      <w:r>
        <w:rPr>
          <w:rFonts w:ascii="Arial" w:cs="Arial" w:eastAsia="Arial" w:hAnsi="Arial"/>
          <w:sz w:val="17"/>
          <w:szCs w:val="17"/>
          <w:b w:val="1"/>
          <w:bCs w:val="1"/>
          <w:color w:val="auto"/>
        </w:rPr>
        <w:t>the need and ability to hire additional research, clinical, development, scientific and manufacturing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120" cy="711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9"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costs we incur in maintaining business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need to implement additional internal systems and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effect of competing technological, product and market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34" w:lineRule="auto"/>
        <w:rPr>
          <w:sz w:val="20"/>
          <w:szCs w:val="20"/>
          <w:color w:val="auto"/>
        </w:rPr>
      </w:pPr>
      <w:r>
        <w:rPr>
          <w:rFonts w:ascii="Arial" w:cs="Arial" w:eastAsia="Arial" w:hAnsi="Arial"/>
          <w:sz w:val="20"/>
          <w:szCs w:val="20"/>
          <w:b w:val="1"/>
          <w:bCs w:val="1"/>
          <w:color w:val="auto"/>
        </w:rPr>
        <w:t>the revenue, if any, received from commercial sales of our product candidates for which we receive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-243205</wp:posOffset>
            </wp:positionV>
            <wp:extent cx="71120" cy="711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the costs of operating as a public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96" w:lineRule="auto"/>
        <w:rPr>
          <w:sz w:val="20"/>
          <w:szCs w:val="20"/>
          <w:color w:val="auto"/>
        </w:rPr>
      </w:pPr>
      <w:r>
        <w:rPr>
          <w:rFonts w:ascii="Arial" w:cs="Arial" w:eastAsia="Arial" w:hAnsi="Arial"/>
          <w:sz w:val="17"/>
          <w:szCs w:val="17"/>
          <w:b w:val="1"/>
          <w:bCs w:val="1"/>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-417830</wp:posOffset>
            </wp:positionV>
            <wp:extent cx="71120" cy="711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6"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We believe that our cash, cash equivalents and marketable securities will enable us to fund our operating expenses and capital expenditure requirements into the second half of 2024. We have based this estimate on assumptions that may prove to be wrong, and we could exhaust our available capital resources sooner than we expect.</w:t>
      </w:r>
    </w:p>
    <w:p>
      <w:pPr>
        <w:spacing w:after="0" w:line="83"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Until such time, if ever, as we can generate significant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106</w:t>
      </w:r>
    </w:p>
    <w:p>
      <w:pPr>
        <w:sectPr>
          <w:pgSz w:w="12240" w:h="15840" w:orient="portrait"/>
          <w:cols w:equalWidth="0" w:num="1">
            <w:col w:w="10080"/>
          </w:cols>
          <w:pgMar w:left="1080" w:top="1079" w:right="1080" w:bottom="157" w:gutter="0" w:footer="0" w:header="0"/>
        </w:sectPr>
      </w:pPr>
    </w:p>
    <w:bookmarkStart w:id="108" w:name="page109"/>
    <w:bookmarkEnd w:id="108"/>
    <w:p>
      <w:pPr>
        <w:jc w:val="both"/>
        <w:spacing w:after="0" w:line="286" w:lineRule="auto"/>
        <w:rPr>
          <w:sz w:val="20"/>
          <w:szCs w:val="20"/>
          <w:color w:val="auto"/>
        </w:rPr>
      </w:pPr>
      <w:r>
        <w:rPr>
          <w:rFonts w:ascii="Arial" w:cs="Arial" w:eastAsia="Arial" w:hAnsi="Arial"/>
          <w:sz w:val="17"/>
          <w:szCs w:val="17"/>
          <w:b w:val="1"/>
          <w:bCs w:val="1"/>
          <w:color w:val="auto"/>
        </w:rPr>
        <w:t>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and Commitments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Clinical and Manufacturing Commitments</w:t>
      </w:r>
    </w:p>
    <w:p>
      <w:pPr>
        <w:spacing w:after="0" w:line="131"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In July 2020, we entered into a Clinical Master Services Agreement with WuXi Biologics (the “Clinical Master Services Agreement”). The Clinical Master Services Agreement outlines the terms and conditions under which WuXi Biologics coordinates biologics development and clinical manufacturing services for us.</w:t>
      </w:r>
    </w:p>
    <w:p>
      <w:pPr>
        <w:spacing w:after="0" w:line="12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December 2020, we entered into a Commercial Manufacturing Services Agreement with WuXi Biologics, which was amended and restated in August 2021 (as amended and restated, the “Commercial Manufacturing Agreement”). The Commercial Manufacturing Agreement outlines the terms and conditions under which WuXi Biologics manufactures drug substance and drug product for commercial use.</w:t>
      </w:r>
    </w:p>
    <w:p>
      <w:pPr>
        <w:spacing w:after="0" w:line="122" w:lineRule="exact"/>
        <w:rPr>
          <w:sz w:val="20"/>
          <w:szCs w:val="20"/>
          <w:color w:val="auto"/>
        </w:rPr>
      </w:pPr>
    </w:p>
    <w:p>
      <w:pPr>
        <w:jc w:val="both"/>
        <w:ind w:firstLine="490"/>
        <w:spacing w:after="0" w:line="296" w:lineRule="auto"/>
        <w:rPr>
          <w:sz w:val="20"/>
          <w:szCs w:val="20"/>
          <w:color w:val="auto"/>
        </w:rPr>
      </w:pPr>
      <w:r>
        <w:rPr>
          <w:rFonts w:ascii="Arial" w:cs="Arial" w:eastAsia="Arial" w:hAnsi="Arial"/>
          <w:sz w:val="17"/>
          <w:szCs w:val="17"/>
          <w:b w:val="1"/>
          <w:bCs w:val="1"/>
          <w:color w:val="auto"/>
        </w:rPr>
        <w:t>We committed to minimum noncancelable purchase obligations related to batches of adintrevimab drug substance and certain services with respect to the product requirements for 2022 and 2023 and batches of adintrevimab drug product and certain services with respect to the product requirements for 2022, the payments for which will extend into 2023.</w:t>
      </w:r>
    </w:p>
    <w:p>
      <w:pPr>
        <w:spacing w:after="0" w:line="86"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In April 2022, the total volume of contractually binding drug substance and drug product batches to be manufactured under the Commercial Manufacturing Agreement was reduced to $51.6 million, a decrease of $107.8 million from the previous commitment of minimum non-cancelable purchase obligations of $159.4 million. In addition, WuXi Biologics agreed to provide the Company with a credit in the low eight-figures to offset future services rendered by WuXi Biologics.</w:t>
      </w:r>
    </w:p>
    <w:p>
      <w:pPr>
        <w:spacing w:after="0" w:line="90"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In July 2022, we provided notice to WuXi Biologics to cancel the contractually binding adintrevimab drug product batches.</w:t>
      </w:r>
    </w:p>
    <w:p>
      <w:pPr>
        <w:spacing w:after="0" w:line="132"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In November 2022, WuXi Biologics reassigned the remaining contractually binding adintrevimab drug substance batches under the Commercial Manufacturing Agreement to contractually binding NVD200 drug substance batches under its Clinical Master Services Agreement. As of December 31, 2022, the total remaining cost of contractually binding NVD200 drug substance batches to be manufactured under the Clinical Master Services Agreement is $18.1 million, which is expected to be incurred and paid in 2023.</w:t>
      </w:r>
    </w:p>
    <w:p>
      <w:pPr>
        <w:spacing w:after="0" w:line="118"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In March 2023, the remaining contractually binding batches were repurposed, and the related services now relate to manufacturing of VYD222.</w:t>
      </w:r>
    </w:p>
    <w:p>
      <w:pPr>
        <w:spacing w:after="0" w:line="132"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During the year ended December 31, 2022, the majority of the low eight-figure credit was applied to WuXi Biologics services as a reduction of research and development expenses and a reduction of accounts payable and accrued expenses. The remaining portion of the credit is expected to be utilized during the first quarter of 2023.</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Operating Lease Commitments</w:t>
      </w:r>
    </w:p>
    <w:p>
      <w:pPr>
        <w:spacing w:after="0" w:line="129"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In September 2021, we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our proportionate share of operating expenses. The lease terms provide for one five-year extension term with base rent calculated on the then-market rate.</w:t>
      </w:r>
    </w:p>
    <w:p>
      <w:pPr>
        <w:spacing w:after="0" w:line="105"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In June 2022, we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107</w:t>
      </w:r>
    </w:p>
    <w:p>
      <w:pPr>
        <w:sectPr>
          <w:pgSz w:w="12240" w:h="15840" w:orient="portrait"/>
          <w:cols w:equalWidth="0" w:num="1">
            <w:col w:w="10080"/>
          </w:cols>
          <w:pgMar w:left="1080" w:top="1089" w:right="1080" w:bottom="157" w:gutter="0" w:footer="0" w:header="0"/>
        </w:sectPr>
      </w:pPr>
    </w:p>
    <w:bookmarkStart w:id="109" w:name="page110"/>
    <w:bookmarkEnd w:id="109"/>
    <w:p>
      <w:pPr>
        <w:jc w:val="both"/>
        <w:ind w:firstLine="490"/>
        <w:spacing w:after="0" w:line="269" w:lineRule="auto"/>
        <w:rPr>
          <w:sz w:val="20"/>
          <w:szCs w:val="20"/>
          <w:color w:val="auto"/>
        </w:rPr>
      </w:pPr>
      <w:r>
        <w:rPr>
          <w:rFonts w:ascii="Arial" w:cs="Arial" w:eastAsia="Arial" w:hAnsi="Arial"/>
          <w:sz w:val="18"/>
          <w:szCs w:val="18"/>
          <w:b w:val="1"/>
          <w:bCs w:val="1"/>
          <w:color w:val="auto"/>
        </w:rPr>
        <w:t>In September 2022, we amended the Newton, MA Lease. We entered into a separate two-year noncancelable agreement for new dedicated laboratory and office space on the same campus as the Newton, MA Lease. We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Future minimum lease payments under the noncancelable leases as of December 31, 2022 were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ind w:left="1860"/>
              <w:spacing w:after="0"/>
              <w:rPr>
                <w:sz w:val="20"/>
                <w:szCs w:val="20"/>
                <w:color w:val="auto"/>
              </w:rPr>
            </w:pPr>
            <w:r>
              <w:rPr>
                <w:rFonts w:ascii="Arial" w:cs="Arial" w:eastAsia="Arial" w:hAnsi="Arial"/>
                <w:sz w:val="16"/>
                <w:szCs w:val="16"/>
                <w:b w:val="1"/>
                <w:bCs w:val="1"/>
                <w:color w:val="auto"/>
              </w:rPr>
              <w:t>Year Ending December 31,</w:t>
            </w:r>
          </w:p>
        </w:tc>
        <w:tc>
          <w:tcPr>
            <w:tcW w:w="660" w:type="dxa"/>
            <w:vAlign w:val="bottom"/>
          </w:tcPr>
          <w:p>
            <w:pPr>
              <w:spacing w:after="0"/>
              <w:rPr>
                <w:sz w:val="16"/>
                <w:szCs w:val="16"/>
                <w:color w:val="auto"/>
              </w:rPr>
            </w:pPr>
          </w:p>
        </w:tc>
        <w:tc>
          <w:tcPr>
            <w:tcW w:w="2920" w:type="dxa"/>
            <w:vAlign w:val="bottom"/>
            <w:gridSpan w:val="2"/>
          </w:tcPr>
          <w:p>
            <w:pPr>
              <w:jc w:val="right"/>
              <w:ind w:right="1240"/>
              <w:spacing w:after="0"/>
              <w:rPr>
                <w:sz w:val="20"/>
                <w:szCs w:val="20"/>
                <w:color w:val="auto"/>
              </w:rPr>
            </w:pPr>
            <w:r>
              <w:rPr>
                <w:rFonts w:ascii="Arial" w:cs="Arial" w:eastAsia="Arial" w:hAnsi="Arial"/>
                <w:sz w:val="16"/>
                <w:szCs w:val="16"/>
                <w:b w:val="1"/>
                <w:bCs w:val="1"/>
                <w:color w:val="auto"/>
              </w:rPr>
              <w:t>Operating Lease</w:t>
            </w:r>
          </w:p>
        </w:tc>
      </w:tr>
      <w:tr>
        <w:trPr>
          <w:trHeight w:val="218"/>
        </w:trPr>
        <w:tc>
          <w:tcPr>
            <w:tcW w:w="6460" w:type="dxa"/>
            <w:vAlign w:val="bottom"/>
          </w:tcPr>
          <w:p>
            <w:pPr>
              <w:spacing w:after="0" w:line="218" w:lineRule="exact"/>
              <w:rPr>
                <w:sz w:val="20"/>
                <w:szCs w:val="20"/>
                <w:color w:val="auto"/>
              </w:rPr>
            </w:pPr>
            <w:r>
              <w:rPr>
                <w:rFonts w:ascii="Arial" w:cs="Arial" w:eastAsia="Arial" w:hAnsi="Arial"/>
                <w:sz w:val="20"/>
                <w:szCs w:val="20"/>
                <w:b w:val="1"/>
                <w:bCs w:val="1"/>
                <w:color w:val="auto"/>
              </w:rPr>
              <w:t>2023</w:t>
            </w:r>
          </w:p>
        </w:tc>
        <w:tc>
          <w:tcPr>
            <w:tcW w:w="660" w:type="dxa"/>
            <w:vAlign w:val="bottom"/>
            <w:tcBorders>
              <w:top w:val="single" w:sz="8" w:color="auto"/>
            </w:tcBorders>
          </w:tcPr>
          <w:p>
            <w:pPr>
              <w:jc w:val="right"/>
              <w:ind w:right="460"/>
              <w:spacing w:after="0" w:line="218" w:lineRule="exact"/>
              <w:rPr>
                <w:sz w:val="20"/>
                <w:szCs w:val="20"/>
                <w:color w:val="auto"/>
              </w:rPr>
            </w:pPr>
            <w:r>
              <w:rPr>
                <w:rFonts w:ascii="Arial" w:cs="Arial" w:eastAsia="Arial" w:hAnsi="Arial"/>
                <w:sz w:val="20"/>
                <w:szCs w:val="20"/>
                <w:b w:val="1"/>
                <w:bCs w:val="1"/>
                <w:color w:val="auto"/>
                <w:w w:val="71"/>
              </w:rPr>
              <w:t>$</w:t>
            </w:r>
          </w:p>
        </w:tc>
        <w:tc>
          <w:tcPr>
            <w:tcW w:w="2860" w:type="dxa"/>
            <w:vAlign w:val="bottom"/>
            <w:tcBorders>
              <w:top w:val="single" w:sz="8" w:color="auto"/>
            </w:tcBorders>
          </w:tcPr>
          <w:p>
            <w:pPr>
              <w:jc w:val="right"/>
              <w:spacing w:after="0" w:line="218" w:lineRule="exact"/>
              <w:rPr>
                <w:sz w:val="20"/>
                <w:szCs w:val="20"/>
                <w:color w:val="auto"/>
              </w:rPr>
            </w:pPr>
            <w:r>
              <w:rPr>
                <w:rFonts w:ascii="Arial" w:cs="Arial" w:eastAsia="Arial" w:hAnsi="Arial"/>
                <w:sz w:val="20"/>
                <w:szCs w:val="20"/>
                <w:b w:val="1"/>
                <w:bCs w:val="1"/>
                <w:color w:val="auto"/>
              </w:rPr>
              <w:t>1,731</w:t>
            </w:r>
          </w:p>
        </w:tc>
        <w:tc>
          <w:tcPr>
            <w:tcW w:w="60" w:type="dxa"/>
            <w:vAlign w:val="bottom"/>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b w:val="1"/>
                <w:bCs w:val="1"/>
                <w:color w:val="auto"/>
              </w:rPr>
              <w:t>2024</w:t>
            </w:r>
          </w:p>
        </w:tc>
        <w:tc>
          <w:tcPr>
            <w:tcW w:w="66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20"/>
                <w:szCs w:val="20"/>
                <w:b w:val="1"/>
                <w:bCs w:val="1"/>
                <w:color w:val="auto"/>
              </w:rPr>
              <w:t>1,521</w:t>
            </w:r>
          </w:p>
        </w:tc>
        <w:tc>
          <w:tcPr>
            <w:tcW w:w="60" w:type="dxa"/>
            <w:vAlign w:val="bottom"/>
          </w:tcPr>
          <w:p>
            <w:pPr>
              <w:spacing w:after="0"/>
              <w:rPr>
                <w:sz w:val="20"/>
                <w:szCs w:val="20"/>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b w:val="1"/>
                <w:bCs w:val="1"/>
                <w:color w:val="auto"/>
              </w:rPr>
              <w:t>2025</w:t>
            </w:r>
          </w:p>
        </w:tc>
        <w:tc>
          <w:tcPr>
            <w:tcW w:w="66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20"/>
                <w:szCs w:val="20"/>
                <w:b w:val="1"/>
                <w:bCs w:val="1"/>
                <w:color w:val="auto"/>
              </w:rPr>
              <w:t>430</w:t>
            </w:r>
          </w:p>
        </w:tc>
        <w:tc>
          <w:tcPr>
            <w:tcW w:w="60" w:type="dxa"/>
            <w:vAlign w:val="bottom"/>
          </w:tcPr>
          <w:p>
            <w:pPr>
              <w:spacing w:after="0"/>
              <w:rPr>
                <w:sz w:val="20"/>
                <w:szCs w:val="20"/>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b w:val="1"/>
                <w:bCs w:val="1"/>
                <w:color w:val="auto"/>
              </w:rPr>
              <w:t>2026</w:t>
            </w:r>
          </w:p>
        </w:tc>
        <w:tc>
          <w:tcPr>
            <w:tcW w:w="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328</w:t>
            </w:r>
          </w:p>
        </w:tc>
        <w:tc>
          <w:tcPr>
            <w:tcW w:w="60" w:type="dxa"/>
            <w:vAlign w:val="bottom"/>
          </w:tcPr>
          <w:p>
            <w:pPr>
              <w:spacing w:after="0"/>
              <w:rPr>
                <w:sz w:val="20"/>
                <w:szCs w:val="20"/>
                <w:color w:val="auto"/>
              </w:rPr>
            </w:pPr>
          </w:p>
        </w:tc>
      </w:tr>
      <w:tr>
        <w:trPr>
          <w:trHeight w:val="220"/>
        </w:trPr>
        <w:tc>
          <w:tcPr>
            <w:tcW w:w="6460" w:type="dxa"/>
            <w:vAlign w:val="bottom"/>
          </w:tcPr>
          <w:p>
            <w:pPr>
              <w:spacing w:after="0" w:line="220" w:lineRule="exact"/>
              <w:rPr>
                <w:sz w:val="20"/>
                <w:szCs w:val="20"/>
                <w:color w:val="auto"/>
              </w:rPr>
            </w:pPr>
            <w:r>
              <w:rPr>
                <w:rFonts w:ascii="Arial" w:cs="Arial" w:eastAsia="Arial" w:hAnsi="Arial"/>
                <w:sz w:val="20"/>
                <w:szCs w:val="20"/>
                <w:b w:val="1"/>
                <w:bCs w:val="1"/>
                <w:color w:val="auto"/>
              </w:rPr>
              <w:t>Total lease payments</w:t>
            </w:r>
          </w:p>
        </w:tc>
        <w:tc>
          <w:tcPr>
            <w:tcW w:w="660" w:type="dxa"/>
            <w:vAlign w:val="bottom"/>
          </w:tcPr>
          <w:p>
            <w:pPr>
              <w:spacing w:after="0"/>
              <w:rPr>
                <w:sz w:val="19"/>
                <w:szCs w:val="19"/>
                <w:color w:val="auto"/>
              </w:rPr>
            </w:pPr>
          </w:p>
        </w:tc>
        <w:tc>
          <w:tcPr>
            <w:tcW w:w="28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4,010</w:t>
            </w:r>
          </w:p>
        </w:tc>
        <w:tc>
          <w:tcPr>
            <w:tcW w:w="60" w:type="dxa"/>
            <w:vAlign w:val="bottom"/>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b w:val="1"/>
                <w:bCs w:val="1"/>
                <w:color w:val="auto"/>
              </w:rPr>
              <w:t>Present value adjustment</w:t>
            </w:r>
          </w:p>
        </w:tc>
        <w:tc>
          <w:tcPr>
            <w:tcW w:w="660" w:type="dxa"/>
            <w:vAlign w:val="bottom"/>
          </w:tcPr>
          <w:p>
            <w:pPr>
              <w:spacing w:after="0"/>
              <w:rPr>
                <w:sz w:val="20"/>
                <w:szCs w:val="20"/>
                <w:color w:val="auto"/>
              </w:rPr>
            </w:pPr>
          </w:p>
        </w:tc>
        <w:tc>
          <w:tcPr>
            <w:tcW w:w="2920" w:type="dxa"/>
            <w:vAlign w:val="bottom"/>
            <w:gridSpan w:val="2"/>
          </w:tcPr>
          <w:p>
            <w:pPr>
              <w:jc w:val="right"/>
              <w:spacing w:after="0"/>
              <w:rPr>
                <w:sz w:val="20"/>
                <w:szCs w:val="20"/>
                <w:color w:val="auto"/>
              </w:rPr>
            </w:pPr>
            <w:r>
              <w:rPr>
                <w:rFonts w:ascii="Arial" w:cs="Arial" w:eastAsia="Arial" w:hAnsi="Arial"/>
                <w:sz w:val="20"/>
                <w:szCs w:val="20"/>
                <w:b w:val="1"/>
                <w:bCs w:val="1"/>
                <w:color w:val="auto"/>
              </w:rPr>
              <w:t>(286)</w:t>
            </w:r>
          </w:p>
        </w:tc>
      </w:tr>
      <w:tr>
        <w:trPr>
          <w:trHeight w:val="220"/>
        </w:trPr>
        <w:tc>
          <w:tcPr>
            <w:tcW w:w="6460" w:type="dxa"/>
            <w:vAlign w:val="bottom"/>
          </w:tcPr>
          <w:p>
            <w:pPr>
              <w:spacing w:after="0" w:line="220" w:lineRule="exact"/>
              <w:rPr>
                <w:sz w:val="20"/>
                <w:szCs w:val="20"/>
                <w:color w:val="auto"/>
              </w:rPr>
            </w:pPr>
            <w:r>
              <w:rPr>
                <w:rFonts w:ascii="Arial" w:cs="Arial" w:eastAsia="Arial" w:hAnsi="Arial"/>
                <w:sz w:val="20"/>
                <w:szCs w:val="20"/>
                <w:b w:val="1"/>
                <w:bCs w:val="1"/>
                <w:color w:val="auto"/>
              </w:rPr>
              <w:t>Present value of operating lease liability</w:t>
            </w:r>
          </w:p>
        </w:tc>
        <w:tc>
          <w:tcPr>
            <w:tcW w:w="660" w:type="dxa"/>
            <w:vAlign w:val="bottom"/>
            <w:tcBorders>
              <w:top w:val="single" w:sz="8" w:color="auto"/>
            </w:tcBorders>
          </w:tcPr>
          <w:p>
            <w:pPr>
              <w:jc w:val="right"/>
              <w:ind w:right="460"/>
              <w:spacing w:after="0" w:line="220" w:lineRule="exact"/>
              <w:rPr>
                <w:sz w:val="20"/>
                <w:szCs w:val="20"/>
                <w:color w:val="auto"/>
              </w:rPr>
            </w:pPr>
            <w:r>
              <w:rPr>
                <w:rFonts w:ascii="Arial" w:cs="Arial" w:eastAsia="Arial" w:hAnsi="Arial"/>
                <w:sz w:val="20"/>
                <w:szCs w:val="20"/>
                <w:b w:val="1"/>
                <w:bCs w:val="1"/>
                <w:color w:val="auto"/>
                <w:w w:val="71"/>
              </w:rPr>
              <w:t>$</w:t>
            </w:r>
          </w:p>
        </w:tc>
        <w:tc>
          <w:tcPr>
            <w:tcW w:w="28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3,724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-1053465</wp:posOffset>
            </wp:positionV>
            <wp:extent cx="6427470" cy="10966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4">
                      <a:extLst>
                        <a:ext uri="{28A0092B-C50C-407E-A947-70E740481C1C}"/>
                      </a:extLst>
                    </a:blip>
                    <a:srcRect/>
                    <a:stretch>
                      <a:fillRect/>
                    </a:stretch>
                  </pic:blipFill>
                  <pic:spPr bwMode="auto">
                    <a:xfrm>
                      <a:off x="0" y="0"/>
                      <a:ext cx="6427470" cy="1096645"/>
                    </a:xfrm>
                    <a:prstGeom prst="rect">
                      <a:avLst/>
                    </a:prstGeom>
                    <a:noFill/>
                  </pic:spPr>
                </pic:pic>
              </a:graphicData>
            </a:graphic>
          </wp:anchor>
        </w:drawing>
      </w:r>
    </w:p>
    <w:p>
      <w:pPr>
        <w:spacing w:after="0" w:line="38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Other Commitments</w:t>
      </w:r>
    </w:p>
    <w:p>
      <w:pPr>
        <w:spacing w:after="0" w:line="131" w:lineRule="exact"/>
        <w:rPr>
          <w:sz w:val="20"/>
          <w:szCs w:val="20"/>
          <w:color w:val="auto"/>
        </w:rPr>
      </w:pPr>
    </w:p>
    <w:p>
      <w:pPr>
        <w:jc w:val="both"/>
        <w:ind w:firstLine="490"/>
        <w:spacing w:after="0" w:line="331" w:lineRule="auto"/>
        <w:rPr>
          <w:sz w:val="20"/>
          <w:szCs w:val="20"/>
          <w:color w:val="auto"/>
        </w:rPr>
      </w:pPr>
      <w:r>
        <w:rPr>
          <w:rFonts w:ascii="Arial" w:cs="Arial" w:eastAsia="Arial" w:hAnsi="Arial"/>
          <w:sz w:val="15"/>
          <w:szCs w:val="15"/>
          <w:b w:val="1"/>
          <w:bCs w:val="1"/>
          <w:color w:val="auto"/>
        </w:rPr>
        <w:t>Under a separate cell line license agreement with WuXi Biologics, as of December 31, 2020, as amended on February 2, 2023, we were obligated to pay a license fee of $0.2 million to WuXi Biologics, which was an accrued expense as of December 31, 2020 and paid during the year ended December 31, 2021. Under the agreement, we are obligated to pay royalties of less than 1.0% to WuXi Biologics based on our net sales of any products covered by the license. However, if we use WuXi Biologics to manufacture all of our commercial supplies, no royalties would be owed by us to WuXi Biologics for net sales of licensed products. We have an option to buy out our royalty obligations by making a one-time payment in the low eight-figures to WuXi Biologics. The amount and timing of such royalty payments are not known. For additional information, see Note 7 to our annual consolidated financial statements appearing at the end of this Annual Report on Form 10-K.</w:t>
      </w:r>
    </w:p>
    <w:p>
      <w:pPr>
        <w:spacing w:after="0" w:line="296"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 July 2020, we entered into the Adimab Assignment Agreement with Adimab, with respect to discovery and optimization of coronavirus-specific antibodies, including COVID-19 and SARS. Under the Adimab Assignment Agreement, we are obligated to pay Adimab up to $16.5 million upon the achievement of specified development and regulatory milestones for the first product licensed under the agreement that achieves specified development and regulatory events and up to $8.1 million upon the achievement of specified development and regulatory milestones for the second product licensed under the agreement that achieves such development and regulatory events. In February 2021, we achieved the first specified milestone under the agreement upon dosing of the first patient in a Phase 1 global clinical trial evaluating adintrevimab, which obligated us to make a $1.0 million payment to Adimab. We made the payment in March 2021. In April 2021, we achieved the second specified milestone under the agreement upon dosing of the first patient in a Phase 2 global clinical trial evaluating adintrevimab for the prevention of COVID-19, which obligated us to make a $2.5 million payment to Adimab. We made the payment in June 2021. In August 2021, we achieved the third specified milestone under the agreement upon dosing of the first patient in a Phase 3 global clinical trial evaluating adintrevimab for the prevention of COVID-19, which obligated us to make a $4.0 million milestone payment to Adimab. The next potential milestone under the Adimab Assignment Agreement is a low six-digit dollar milestone related to dosing of the first subject in a Phase 1 trial. In addition, we are obligated to pay Adimab royalties of a mid-single-digit percentage based on our net sales of any products covered by the rights assigned. Further, we are obligated to pay Adimab royalties of a specified percentage in the range of 45% to 55% of any compulsory sublicense consideration received by us in lieu of certain royalty payments. The amount and timing of such milestone and royalty payments are not known. For additional information, see Note 7 to our annual consolidated financial statements appearing at the end of this Annual Report on Form 10-K.</w:t>
      </w:r>
    </w:p>
    <w:p>
      <w:pPr>
        <w:spacing w:after="0" w:line="93"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In May 2021, as amended in November 2022, we entered into the Adimab Collaboration Agreement with Adimab for the discovery and optimization of proprietary antibodies as potential therapeutic product candidates. Under the Adimab Collaboration Agreement, we and Adimab will collaborate on research programs for a specified number of targets selected by us within a specified time period. Under the agreement, we are obligated to pay Adimab a quarterly fee of $1.3 million, in exchange for Adimab and its affiliates agreeing not to assist or direct certain third parties to discover or optimize antibodies that are intended to bind to coronaviruses or influenza viruses, which obligation may be cancelled at our option at any time.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In September 2022, we exercised an option under the Adimab Collaboration Agreement, which obligated us to make a $1.0 million payment to Adimab. Under the Adimab Collaboration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108</w:t>
      </w:r>
    </w:p>
    <w:p>
      <w:pPr>
        <w:sectPr>
          <w:pgSz w:w="12240" w:h="15840" w:orient="portrait"/>
          <w:cols w:equalWidth="0" w:num="1">
            <w:col w:w="10080"/>
          </w:cols>
          <w:pgMar w:left="1080" w:top="1089" w:right="1080" w:bottom="157" w:gutter="0" w:footer="0" w:header="0"/>
        </w:sectPr>
      </w:pPr>
    </w:p>
    <w:bookmarkStart w:id="110" w:name="page111"/>
    <w:bookmarkEnd w:id="110"/>
    <w:p>
      <w:pPr>
        <w:jc w:val="both"/>
        <w:spacing w:after="0" w:line="285" w:lineRule="auto"/>
        <w:rPr>
          <w:sz w:val="20"/>
          <w:szCs w:val="20"/>
          <w:color w:val="auto"/>
        </w:rPr>
      </w:pPr>
      <w:r>
        <w:rPr>
          <w:rFonts w:ascii="Arial" w:cs="Arial" w:eastAsia="Arial" w:hAnsi="Arial"/>
          <w:sz w:val="17"/>
          <w:szCs w:val="17"/>
          <w:b w:val="1"/>
          <w:bCs w:val="1"/>
          <w:color w:val="auto"/>
        </w:rPr>
        <w:t>Agreement, we are obligated to pay Adimab up to $18.0 million upon the achievement of specified development and regulatory milestones for each product under the agreement that achieves such milestones. The next potential milestone under the Adimab Collaboration Agreement is a low single-digit million dollar milestone related to dosing of the first subject in a Phase 1 trial. We are also obligated to pay Adimab royalties of a mid-single-digit percentage based on annual aggregate worldwide net sales of products,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 The amount and timing of such milestone and royalty payments are not known. For additional information, see Note 7 to our annual consolidated financial statements appearing at the end of this Annual Report on Form 10-K.</w:t>
      </w:r>
    </w:p>
    <w:p>
      <w:pPr>
        <w:spacing w:after="0" w:line="96"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In September 2022, we entered into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Under the agreement, we are obligated to pay Adimab an annual fee of single digit millions through June 2027. Beginning in July 2027 and ending in June 2042, unless terminated earlier, we have the option to receive additional material improvements to the platform technology from Adimab, subject to a commercially reasonable fee to be negotiated by the parties. We are also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In addition, we are obligated to pay Adimab royalties of a low single-digit percentage based on net sales of products containing an antibody discovered, engineered or optimized using Adimab’s platform technology, once commercialized. The amount and timing of such royalty payments are not known. For additional information, see Note 7 to our annual consolidated financial statements appearing at the end of this Annual Report on Form 10-K.</w:t>
      </w:r>
    </w:p>
    <w:p>
      <w:pPr>
        <w:spacing w:after="0" w:line="98"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November 2022, we entered into the PHP MSA. Concurrently with the PHP MSA, we entered into the first work order with PHP under the PHP MSA, pursuant to which PHP agreed to advise and counsel us regarding clinical development and regulatory matters with respect to our product candidates. The PHP Work Order is effective for six months from November 2022 and may be extended by written agreement of us and PHP. As compensation for the services and deliverables under the PHP Work Order, we are obligated to pay PHP a cash fee of $0.5 million per month during the term of the PHP Work Order for an aggregate fee of $3.0 million. In the event that (i) we terminate the PHP Work Order for any reason other than material breach by PHP or (ii) PHP terminates the PHP Work Order due to material breach by us, in each case, pursuant to the terms of the PHP MSA, we would be required to pay PHP the balance of the Aggregate Fee as of the date the PHP Work Order is terminated. The cash fee is subject to change if the parties extend the term of the PHP Work Order in accordance with the terms thereof.</w:t>
      </w:r>
    </w:p>
    <w:p>
      <w:pPr>
        <w:spacing w:after="0" w:line="108"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We enter into other contracts in the normal course of business with CROs, CMOs and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Judgments and Estimates</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Our management’s discussion and analysis of our financial condition and results of operations is based on our consolidated financial statements, which have been prepared in accordance with generally accepted accounting principles in the U.S. (“GAAP”). The preparation of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109</w:t>
      </w:r>
    </w:p>
    <w:p>
      <w:pPr>
        <w:sectPr>
          <w:pgSz w:w="12240" w:h="15840" w:orient="portrait"/>
          <w:cols w:equalWidth="0" w:num="1">
            <w:col w:w="10080"/>
          </w:cols>
          <w:pgMar w:left="1080" w:top="1089" w:right="1080" w:bottom="157" w:gutter="0" w:footer="0" w:header="0"/>
        </w:sectPr>
      </w:pPr>
    </w:p>
    <w:bookmarkStart w:id="111" w:name="page112"/>
    <w:bookmarkEnd w:id="111"/>
    <w:p>
      <w:pPr>
        <w:jc w:val="both"/>
        <w:ind w:firstLine="490"/>
        <w:spacing w:after="0" w:line="296" w:lineRule="auto"/>
        <w:rPr>
          <w:sz w:val="20"/>
          <w:szCs w:val="20"/>
          <w:color w:val="auto"/>
        </w:rPr>
      </w:pPr>
      <w:r>
        <w:rPr>
          <w:rFonts w:ascii="Arial" w:cs="Arial" w:eastAsia="Arial" w:hAnsi="Arial"/>
          <w:sz w:val="17"/>
          <w:szCs w:val="17"/>
          <w:b w:val="1"/>
          <w:bCs w:val="1"/>
          <w:color w:val="auto"/>
        </w:rPr>
        <w:t>While our significant accounting policies are described in more detail in Note 2 to our consolidated financial statements appearing at the end of this Annual Report on Form 10-K, we believe the following accounting policies used in the preparation of our consolidated financial statements require the most significant judgments and estimates.</w:t>
      </w:r>
    </w:p>
    <w:p>
      <w:pPr>
        <w:spacing w:after="0" w:line="31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Accrued Research and Development Expenses</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As part of the process of preparing our consolidated financial statements, we are required to estimate our accrued research and development expenses. This process involves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112" w:lineRule="exact"/>
        <w:rPr>
          <w:sz w:val="20"/>
          <w:szCs w:val="20"/>
          <w:color w:val="auto"/>
        </w:rPr>
      </w:pPr>
    </w:p>
    <w:p>
      <w:pPr>
        <w:ind w:left="1100"/>
        <w:spacing w:after="0"/>
        <w:rPr>
          <w:sz w:val="20"/>
          <w:szCs w:val="20"/>
          <w:color w:val="auto"/>
        </w:rPr>
      </w:pPr>
      <w:r>
        <w:rPr>
          <w:rFonts w:ascii="Arial" w:cs="Arial" w:eastAsia="Arial" w:hAnsi="Arial"/>
          <w:sz w:val="19"/>
          <w:szCs w:val="19"/>
          <w:b w:val="1"/>
          <w:bCs w:val="1"/>
          <w:color w:val="auto"/>
        </w:rPr>
        <w:t>CROs in connection with performing non-clinical studies,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1100"/>
        <w:spacing w:after="0" w:line="234" w:lineRule="auto"/>
        <w:rPr>
          <w:sz w:val="20"/>
          <w:szCs w:val="20"/>
          <w:color w:val="auto"/>
        </w:rPr>
      </w:pPr>
      <w:r>
        <w:rPr>
          <w:rFonts w:ascii="Arial" w:cs="Arial" w:eastAsia="Arial" w:hAnsi="Arial"/>
          <w:sz w:val="20"/>
          <w:szCs w:val="20"/>
          <w:b w:val="1"/>
          <w:bCs w:val="1"/>
          <w:color w:val="auto"/>
        </w:rPr>
        <w:t>CDMOs related to the production of our product candidates for non-clinical studies, preclinical studies and clinical trials;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-243840</wp:posOffset>
            </wp:positionV>
            <wp:extent cx="71120" cy="711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other providers and vendors in connection with research and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-98425</wp:posOffset>
            </wp:positionV>
            <wp:extent cx="71120" cy="711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jc w:val="both"/>
        <w:ind w:firstLine="490"/>
        <w:spacing w:after="0" w:line="324" w:lineRule="auto"/>
        <w:rPr>
          <w:sz w:val="20"/>
          <w:szCs w:val="20"/>
          <w:color w:val="auto"/>
        </w:rPr>
      </w:pPr>
      <w:r>
        <w:rPr>
          <w:rFonts w:ascii="Arial" w:cs="Arial" w:eastAsia="Arial" w:hAnsi="Arial"/>
          <w:sz w:val="15"/>
          <w:szCs w:val="15"/>
          <w:b w:val="1"/>
          <w:bCs w:val="1"/>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CDMOs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For CRO expense and accruals, there is estimation uncertainty related to the timing of submission of investigator fees for the period. For CDMO expense and accruals, there is estimation uncertainty related to the percentage of completion of in process batch manufacturing at period end. To date, we have not had significant changes to our estimates.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0" w:lineRule="exact"/>
        <w:rPr>
          <w:sz w:val="20"/>
          <w:szCs w:val="20"/>
          <w:color w:val="auto"/>
        </w:rPr>
      </w:pPr>
    </w:p>
    <w:p>
      <w:pPr>
        <w:spacing w:after="0" w:line="33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Stock-Based Compensation</w:t>
      </w:r>
    </w:p>
    <w:p>
      <w:pPr>
        <w:spacing w:after="0" w:line="131"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 option-pricing model.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After the initial public offering, the fair value of our common stock is based on the quoted market price of our common stock. Due to the proximity to the IPO, we continue to lack company-specific historical and implied volatility information. Therefore, we estimate our expected stock volatility based on the historical volatility of a publicly traded set of peer companies and we expect to continue to do so until such time that we have adequate historical data regarding the volatility of our own traded stock price. We have issued awards with only service-based vesting conditions through December 31, 2022.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110</w:t>
      </w:r>
    </w:p>
    <w:p>
      <w:pPr>
        <w:sectPr>
          <w:pgSz w:w="12240" w:h="15840" w:orient="portrait"/>
          <w:cols w:equalWidth="0" w:num="1">
            <w:col w:w="10080"/>
          </w:cols>
          <w:pgMar w:left="1080" w:top="1089" w:right="1080" w:bottom="157" w:gutter="0" w:footer="0" w:header="0"/>
        </w:sectPr>
      </w:pPr>
    </w:p>
    <w:bookmarkStart w:id="112" w:name="page113"/>
    <w:bookmarkEnd w:id="112"/>
    <w:p>
      <w:pPr>
        <w:ind w:left="480"/>
        <w:spacing w:after="0"/>
        <w:rPr>
          <w:sz w:val="20"/>
          <w:szCs w:val="20"/>
          <w:color w:val="auto"/>
        </w:rPr>
      </w:pPr>
      <w:r>
        <w:rPr>
          <w:rFonts w:ascii="Arial" w:cs="Arial" w:eastAsia="Arial" w:hAnsi="Arial"/>
          <w:sz w:val="20"/>
          <w:szCs w:val="20"/>
          <w:b w:val="1"/>
          <w:bCs w:val="1"/>
          <w:color w:val="auto"/>
        </w:rPr>
        <w:t>Warrant Expense</w:t>
      </w:r>
    </w:p>
    <w:p>
      <w:pPr>
        <w:spacing w:after="0" w:line="131"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We have granted stock-based awards consisting of warrants to a non-employee service provider. We estimate the fair value of warrants granted using the Geometric Brownian Motion model. The Geometric Brownian Motion model requires certain subjective inputs and assumptions, including the fair value of our common stock, the expected term, risk-free interest rates, expected stock price volatility, and expected dividend yield of our common stock. The fair value of warrants is recognized as warrant expense on a straight-line basis over the requisite service period. We account for forfeitures as they occur.</w:t>
      </w:r>
    </w:p>
    <w:p>
      <w:pPr>
        <w:spacing w:after="0" w:line="6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These assumptions used in the Geometric Brownian Motion model, other than the fair value of our common stock, are estimated as follows: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Expected term. We estimated the expected term based on the full contractual time to expiration.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-97790</wp:posOffset>
            </wp:positionV>
            <wp:extent cx="71120" cy="711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980"/>
        <w:spacing w:after="0" w:line="234" w:lineRule="auto"/>
        <w:rPr>
          <w:sz w:val="20"/>
          <w:szCs w:val="20"/>
          <w:color w:val="auto"/>
        </w:rPr>
      </w:pPr>
      <w:r>
        <w:rPr>
          <w:rFonts w:ascii="Arial" w:cs="Arial" w:eastAsia="Arial" w:hAnsi="Arial"/>
          <w:sz w:val="20"/>
          <w:szCs w:val="20"/>
          <w:b w:val="1"/>
          <w:bCs w:val="1"/>
          <w:color w:val="auto"/>
        </w:rPr>
        <w:t>Risk-free interest rate. The risk-free interest rate was based on the term matched U.S. Treasury yield curve in effect at the time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ind w:left="980"/>
        <w:spacing w:after="0" w:line="262" w:lineRule="auto"/>
        <w:rPr>
          <w:sz w:val="20"/>
          <w:szCs w:val="20"/>
          <w:color w:val="auto"/>
        </w:rPr>
      </w:pPr>
      <w:r>
        <w:rPr>
          <w:rFonts w:ascii="Arial" w:cs="Arial" w:eastAsia="Arial" w:hAnsi="Arial"/>
          <w:sz w:val="20"/>
          <w:szCs w:val="20"/>
          <w:b w:val="1"/>
          <w:bCs w:val="1"/>
          <w:color w:val="auto"/>
        </w:rPr>
        <w:t>Expected volatility. We estimated the volatility of our common stock on the date of grant based on the re-levered 3</w:t>
      </w:r>
      <w:r>
        <w:rPr>
          <w:rFonts w:ascii="Arial" w:cs="Arial" w:eastAsia="Arial" w:hAnsi="Arial"/>
          <w:sz w:val="25"/>
          <w:szCs w:val="25"/>
          <w:b w:val="1"/>
          <w:bCs w:val="1"/>
          <w:color w:val="auto"/>
          <w:vertAlign w:val="superscript"/>
        </w:rPr>
        <w:t>rd</w:t>
      </w:r>
      <w:r>
        <w:rPr>
          <w:rFonts w:ascii="Arial" w:cs="Arial" w:eastAsia="Arial" w:hAnsi="Arial"/>
          <w:sz w:val="20"/>
          <w:szCs w:val="20"/>
          <w:b w:val="1"/>
          <w:bCs w:val="1"/>
          <w:color w:val="auto"/>
        </w:rPr>
        <w:t xml:space="preserve"> quartile asset volatility of the comparable publicly-traded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-317500</wp:posOffset>
            </wp:positionV>
            <wp:extent cx="71120" cy="711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 w:lineRule="exact"/>
        <w:rPr>
          <w:sz w:val="20"/>
          <w:szCs w:val="20"/>
          <w:color w:val="auto"/>
        </w:rPr>
      </w:pPr>
    </w:p>
    <w:p>
      <w:pPr>
        <w:ind w:left="980"/>
        <w:spacing w:after="0" w:line="234" w:lineRule="auto"/>
        <w:rPr>
          <w:sz w:val="20"/>
          <w:szCs w:val="20"/>
          <w:color w:val="auto"/>
        </w:rPr>
      </w:pPr>
      <w:r>
        <w:rPr>
          <w:rFonts w:ascii="Arial" w:cs="Arial" w:eastAsia="Arial" w:hAnsi="Arial"/>
          <w:sz w:val="20"/>
          <w:szCs w:val="20"/>
          <w:b w:val="1"/>
          <w:bCs w:val="1"/>
          <w:color w:val="auto"/>
        </w:rPr>
        <w:t>Expected dividend yield. Expected dividend yield is zero, as we have not paid and do not anticipate paying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-243840</wp:posOffset>
            </wp:positionV>
            <wp:extent cx="71120" cy="711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We continue to use judgment in evaluating the expected volatility and expected term utilized in our stock-based compensation expense calculation on a prospective basis. As we continue to accumulate additional data related to our common stock, we may refine our estimates of expected volatility and expected term, which could materially impact our future stock-based compensation expense.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A description of recently issued accounting pronouncements that may potentially impact our financial position, results of operations and cash flows is disclosed in Note 2 to our consolidated financial statements appearing at the end of this Annual Report on Form 10-K.</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Emerging Growth Company Status</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We are an “emerging growth company,” as defined in the JOBS Act, and may remain an emerging growth company until the last day of the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12" w:lineRule="exact"/>
        <w:rPr>
          <w:sz w:val="20"/>
          <w:szCs w:val="20"/>
          <w:color w:val="auto"/>
        </w:rPr>
      </w:pPr>
    </w:p>
    <w:p>
      <w:pPr>
        <w:jc w:val="both"/>
        <w:ind w:left="980"/>
        <w:spacing w:after="0" w:line="236" w:lineRule="auto"/>
        <w:rPr>
          <w:sz w:val="20"/>
          <w:szCs w:val="20"/>
          <w:color w:val="auto"/>
        </w:rPr>
      </w:pPr>
      <w:r>
        <w:rPr>
          <w:rFonts w:ascii="Arial" w:cs="Arial" w:eastAsia="Arial" w:hAnsi="Arial"/>
          <w:sz w:val="20"/>
          <w:szCs w:val="20"/>
          <w:b w:val="1"/>
          <w:bCs w:val="1"/>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-389255</wp:posOffset>
            </wp:positionV>
            <wp:extent cx="71120" cy="711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7" w:lineRule="exact"/>
        <w:rPr>
          <w:sz w:val="20"/>
          <w:szCs w:val="20"/>
          <w:color w:val="auto"/>
        </w:rPr>
      </w:pPr>
    </w:p>
    <w:p>
      <w:pPr>
        <w:jc w:val="both"/>
        <w:ind w:left="980"/>
        <w:spacing w:after="0" w:line="234" w:lineRule="auto"/>
        <w:rPr>
          <w:sz w:val="20"/>
          <w:szCs w:val="20"/>
          <w:color w:val="auto"/>
        </w:rPr>
      </w:pPr>
      <w:r>
        <w:rPr>
          <w:rFonts w:ascii="Arial" w:cs="Arial" w:eastAsia="Arial" w:hAnsi="Arial"/>
          <w:sz w:val="20"/>
          <w:szCs w:val="20"/>
          <w:b w:val="1"/>
          <w:bCs w:val="1"/>
          <w:color w:val="auto"/>
        </w:rPr>
        <w:t>an exemption from compliance with the auditor attestation requirement in the assessment of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-243205</wp:posOffset>
            </wp:positionV>
            <wp:extent cx="71120" cy="711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reduced disclosure obligations regarding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-98425</wp:posOffset>
            </wp:positionV>
            <wp:extent cx="71120" cy="711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980"/>
        <w:spacing w:after="0" w:line="281" w:lineRule="auto"/>
        <w:rPr>
          <w:sz w:val="20"/>
          <w:szCs w:val="20"/>
          <w:color w:val="auto"/>
        </w:rPr>
      </w:pPr>
      <w:r>
        <w:rPr>
          <w:rFonts w:ascii="Arial" w:cs="Arial" w:eastAsia="Arial" w:hAnsi="Arial"/>
          <w:sz w:val="18"/>
          <w:szCs w:val="18"/>
          <w:b w:val="1"/>
          <w:bCs w:val="1"/>
          <w:color w:val="auto"/>
        </w:rPr>
        <w:t>exemptions from the requirements of holding a non-binding advisory vote on executive compensation and stockholder approval of any golden parachute payments not previously approved;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-266700</wp:posOffset>
            </wp:positionV>
            <wp:extent cx="71120" cy="711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1" w:lineRule="exact"/>
        <w:rPr>
          <w:sz w:val="20"/>
          <w:szCs w:val="20"/>
          <w:color w:val="auto"/>
        </w:rPr>
      </w:pPr>
    </w:p>
    <w:p>
      <w:pPr>
        <w:jc w:val="both"/>
        <w:ind w:left="980"/>
        <w:spacing w:after="0" w:line="281" w:lineRule="auto"/>
        <w:rPr>
          <w:sz w:val="20"/>
          <w:szCs w:val="20"/>
          <w:color w:val="auto"/>
        </w:rPr>
      </w:pPr>
      <w:r>
        <w:rPr>
          <w:rFonts w:ascii="Arial" w:cs="Arial" w:eastAsia="Arial" w:hAnsi="Arial"/>
          <w:sz w:val="18"/>
          <w:szCs w:val="18"/>
          <w:b w:val="1"/>
          <w:bCs w:val="1"/>
          <w:color w:val="auto"/>
        </w:rPr>
        <w:t>an exemption from compliance with the requirements of the Public Company Accounting Oversight Board regarding the communication of critical audit matters in the auditor’s report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-266700</wp:posOffset>
            </wp:positionV>
            <wp:extent cx="71120" cy="711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4"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111</w:t>
      </w:r>
    </w:p>
    <w:p>
      <w:pPr>
        <w:sectPr>
          <w:pgSz w:w="12240" w:h="15840" w:orient="portrait"/>
          <w:cols w:equalWidth="0" w:num="1">
            <w:col w:w="10080"/>
          </w:cols>
          <w:pgMar w:left="1080" w:top="1079" w:right="1080" w:bottom="157" w:gutter="0" w:footer="0" w:header="0"/>
        </w:sectPr>
      </w:pPr>
    </w:p>
    <w:bookmarkStart w:id="113" w:name="page114"/>
    <w:bookmarkEnd w:id="113"/>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We are a smaller reporting company as defined by Rule 12b-2 of the Exchange Act and are not required to provide the information required under this item.</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financial statements required to be filed pursuant to this Item 8 are appended to this Annual Report on Form 10-K. An index of those financial statements is found in Item 15, Exhibit and Financial Statement Schedules, of this Annual Report on Form 10-K.</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31"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Our management, with the participation of our Chief Executive Officer and Interim Chief Financial Officer (our principal executive officer and principal financial officer, respectively), evaluated, as of the end of the period covered by this Annual Report on Form 10-K, the effectiveness of our disclosure controls and procedures.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103"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Based on that evaluation of our disclosure controls and procedures as of December 31, 2022, our principal executive officer and principal financial officer concluded that our disclosure controls and procedures as of such date were effective at the reasonable assurance level.</w:t>
      </w:r>
    </w:p>
    <w:p>
      <w:pPr>
        <w:spacing w:after="0" w:line="363"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13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Our management is responsible for establishing and maintaining adequate internal control over financial reporting (as defined in Rules 13a-15(f) and 15d-15(f) under the Exchange Act). Our management conducted an 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2022,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There were no changes in our internal control over financial reporting (as defined in Rules 13a-15(f) and 15d-15(f) under the Exchange Act) that occurred during the fiscal quarter ended December 31, 2022 that have materially affected, or are reasonably likely to materially affect, our internal control over financial reporting.</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112</w:t>
      </w:r>
    </w:p>
    <w:p>
      <w:pPr>
        <w:sectPr>
          <w:pgSz w:w="12240" w:h="15840" w:orient="portrait"/>
          <w:cols w:equalWidth="0" w:num="1">
            <w:col w:w="10080"/>
          </w:cols>
          <w:pgMar w:left="1080" w:top="1079" w:right="1080" w:bottom="157"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ectPr>
          <w:pgSz w:w="12240" w:h="15840" w:orient="portrait"/>
          <w:cols w:equalWidth="0" w:num="1">
            <w:col w:w="9720"/>
          </w:cols>
          <w:pgMar w:left="1080" w:top="1089" w:right="1440" w:bottom="181" w:gutter="0" w:footer="0" w:header="0"/>
        </w:sectPr>
      </w:pPr>
    </w:p>
    <w:p>
      <w:pPr>
        <w:spacing w:after="0" w:line="14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113</w:t>
      </w:r>
    </w:p>
    <w:p>
      <w:pPr>
        <w:sectPr>
          <w:pgSz w:w="12240" w:h="15840" w:orient="portrait"/>
          <w:cols w:equalWidth="0" w:num="1">
            <w:col w:w="9720"/>
          </w:cols>
          <w:pgMar w:left="1080" w:top="1089" w:right="1440" w:bottom="181"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PART III</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29"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The information required by this Item 10 (other than as set forth below) will be included in our definitive proxy statement to be filed with the SEC with respect to our 2023 Annual Meeting of Stockholders within 120 days of the end of the fiscal year to which this Annual Report on Form 10-K relates (our “Proxy Statement”), which information is incorporated herein by reference.</w:t>
      </w:r>
    </w:p>
    <w:p>
      <w:pPr>
        <w:spacing w:after="0" w:line="133"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We have adopted a Code of Business Ethics and Conduct within the meaning of Item 406(b) of Regulation S-K. This Code of Business Ethics and Conduct applies to our directors, officers, and employees, including our principal executive officer, principal financial officer, principal accounting officer or controller, or persons performing similar functions, and is posted in the “Corporate Governance” sub-section of the “Investors &amp; Media” section (https://investors.invivyd.com/) of our corporate website (https://invivyd.com/). We intend to disclose on our website any amendments to, or waivers from, the Code of Business Ethics and Conduct that are required to be disclosed pursuant to the disclosure requirements of Item 5.05 of Form 8-K.</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The information required by this Item 11 will be included in our Proxy Statement, which information is incorporated herein by reference.</w:t>
      </w: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13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information required by this Item 12 will be included in our Proxy Statement, which information is incorporated herein by reference.</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2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information required by this Item 13 will be included in our Proxy Statement, which information is incorporated herein by reference.</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information required by this Item 14 will be included in our Proxy Statement,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114</w:t>
      </w:r>
    </w:p>
    <w:p>
      <w:pPr>
        <w:sectPr>
          <w:pgSz w:w="12240" w:h="15840" w:orient="portrait"/>
          <w:cols w:equalWidth="0" w:num="1">
            <w:col w:w="10080"/>
          </w:cols>
          <w:pgMar w:left="1080" w:top="1079" w:right="1080" w:bottom="157" w:gutter="0" w:footer="0" w:header="0"/>
        </w:sectPr>
      </w:pPr>
    </w:p>
    <w:bookmarkStart w:id="116" w:name="page117"/>
    <w:bookmarkEnd w:id="116"/>
    <w:p>
      <w:pPr>
        <w:jc w:val="center"/>
        <w:spacing w:after="0"/>
        <w:rPr>
          <w:sz w:val="20"/>
          <w:szCs w:val="20"/>
          <w:color w:val="auto"/>
        </w:rPr>
      </w:pPr>
      <w:r>
        <w:rPr>
          <w:rFonts w:ascii="Arial" w:cs="Arial" w:eastAsia="Arial" w:hAnsi="Arial"/>
          <w:sz w:val="20"/>
          <w:szCs w:val="20"/>
          <w:b w:val="1"/>
          <w:bCs w:val="1"/>
          <w:color w:val="auto"/>
        </w:rPr>
        <w:t>PART IV</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 and Financial Statement Schedules.</w:t>
      </w:r>
    </w:p>
    <w:p>
      <w:pPr>
        <w:spacing w:after="0" w:line="129" w:lineRule="exact"/>
        <w:rPr>
          <w:sz w:val="20"/>
          <w:szCs w:val="20"/>
          <w:color w:val="auto"/>
        </w:rPr>
      </w:pPr>
    </w:p>
    <w:p>
      <w:pPr>
        <w:ind w:left="480"/>
        <w:spacing w:after="0" w:line="312" w:lineRule="auto"/>
        <w:rPr>
          <w:sz w:val="20"/>
          <w:szCs w:val="20"/>
          <w:color w:val="auto"/>
        </w:rPr>
      </w:pPr>
      <w:r>
        <w:rPr>
          <w:rFonts w:ascii="Arial" w:cs="Arial" w:eastAsia="Arial" w:hAnsi="Arial"/>
          <w:sz w:val="17"/>
          <w:szCs w:val="17"/>
          <w:b w:val="1"/>
          <w:bCs w:val="1"/>
          <w:color w:val="auto"/>
        </w:rPr>
        <w:t>(a)(1) For a list of the financial statements filed as part of this Annual Report on Form 10-K, see Index to Consolidated Financial Statements on page F-1 of this Annual Report on Form 10-K, incorporated into this Item by reference.</w:t>
      </w:r>
    </w:p>
    <w:p>
      <w:pPr>
        <w:spacing w:after="0" w:line="73" w:lineRule="exact"/>
        <w:rPr>
          <w:sz w:val="20"/>
          <w:szCs w:val="20"/>
          <w:color w:val="auto"/>
        </w:rPr>
      </w:pPr>
    </w:p>
    <w:p>
      <w:pPr>
        <w:ind w:left="480"/>
        <w:spacing w:after="0" w:line="254" w:lineRule="auto"/>
        <w:rPr>
          <w:sz w:val="20"/>
          <w:szCs w:val="20"/>
          <w:color w:val="auto"/>
        </w:rPr>
      </w:pPr>
      <w:r>
        <w:rPr>
          <w:rFonts w:ascii="Arial" w:cs="Arial" w:eastAsia="Arial" w:hAnsi="Arial"/>
          <w:sz w:val="19"/>
          <w:szCs w:val="19"/>
          <w:b w:val="1"/>
          <w:bCs w:val="1"/>
          <w:color w:val="auto"/>
        </w:rPr>
        <w:t>(a)(2) Financial statement schedules have been omitted because they are either not required or not applicable or the information is included in the consolidated financial statements or the notes thereto.</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(a)(3) Exhibits: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8980" w:type="dxa"/>
            <w:vAlign w:val="bottom"/>
          </w:tcPr>
          <w:p>
            <w:pPr>
              <w:spacing w:after="0"/>
              <w:rPr>
                <w:sz w:val="16"/>
                <w:szCs w:val="16"/>
                <w:color w:val="auto"/>
              </w:rPr>
            </w:pPr>
          </w:p>
        </w:tc>
      </w:tr>
      <w:tr>
        <w:trPr>
          <w:trHeight w:val="183"/>
        </w:trPr>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5"/>
                <w:szCs w:val="15"/>
                <w:color w:val="auto"/>
              </w:rPr>
            </w:pPr>
          </w:p>
        </w:tc>
        <w:tc>
          <w:tcPr>
            <w:tcW w:w="8980" w:type="dxa"/>
            <w:vAlign w:val="bottom"/>
            <w:tcBorders>
              <w:bottom w:val="single" w:sz="8" w:color="auto"/>
            </w:tcBorders>
          </w:tcPr>
          <w:p>
            <w:pPr>
              <w:ind w:left="4100"/>
              <w:spacing w:after="0"/>
              <w:rPr>
                <w:sz w:val="20"/>
                <w:szCs w:val="20"/>
                <w:color w:val="auto"/>
              </w:rPr>
            </w:pPr>
            <w:r>
              <w:rPr>
                <w:rFonts w:ascii="Arial" w:cs="Arial" w:eastAsia="Arial" w:hAnsi="Arial"/>
                <w:sz w:val="16"/>
                <w:szCs w:val="16"/>
                <w:b w:val="1"/>
                <w:bCs w:val="1"/>
                <w:color w:val="auto"/>
              </w:rPr>
              <w:t>Description</w:t>
            </w:r>
          </w:p>
        </w:tc>
      </w:tr>
      <w:tr>
        <w:trPr>
          <w:trHeight w:val="225"/>
        </w:trPr>
        <w:tc>
          <w:tcPr>
            <w:tcW w:w="1000" w:type="dxa"/>
            <w:vAlign w:val="bottom"/>
          </w:tcPr>
          <w:p>
            <w:pPr>
              <w:spacing w:after="0" w:line="225" w:lineRule="exact"/>
              <w:rPr>
                <w:sz w:val="20"/>
                <w:szCs w:val="20"/>
                <w:color w:val="auto"/>
              </w:rPr>
            </w:pPr>
            <w:r>
              <w:rPr>
                <w:rFonts w:ascii="Arial" w:cs="Arial" w:eastAsia="Arial" w:hAnsi="Arial"/>
                <w:sz w:val="20"/>
                <w:szCs w:val="20"/>
                <w:b w:val="1"/>
                <w:bCs w:val="1"/>
                <w:color w:val="auto"/>
              </w:rPr>
              <w:t>3.1</w:t>
            </w:r>
          </w:p>
        </w:tc>
        <w:tc>
          <w:tcPr>
            <w:tcW w:w="100" w:type="dxa"/>
            <w:vAlign w:val="bottom"/>
          </w:tcPr>
          <w:p>
            <w:pPr>
              <w:spacing w:after="0"/>
              <w:rPr>
                <w:sz w:val="19"/>
                <w:szCs w:val="19"/>
                <w:color w:val="auto"/>
              </w:rPr>
            </w:pPr>
          </w:p>
        </w:tc>
        <w:tc>
          <w:tcPr>
            <w:tcW w:w="8980" w:type="dxa"/>
            <w:vAlign w:val="bottom"/>
          </w:tcPr>
          <w:p>
            <w:pPr>
              <w:spacing w:after="0" w:line="225" w:lineRule="exact"/>
              <w:rPr>
                <w:sz w:val="20"/>
                <w:szCs w:val="20"/>
                <w:color w:val="auto"/>
              </w:rPr>
            </w:pPr>
            <w:r>
              <w:rPr>
                <w:rFonts w:ascii="Arial" w:cs="Arial" w:eastAsia="Arial" w:hAnsi="Arial"/>
                <w:sz w:val="20"/>
                <w:szCs w:val="20"/>
                <w:b w:val="1"/>
                <w:bCs w:val="1"/>
                <w:color w:val="auto"/>
                <w:w w:val="84"/>
              </w:rPr>
              <w:t>Amended and Restated Certificate of Incorporation (incorporated by reference to Exhibit 3.1 of the Registrant’s</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90"/>
              </w:rPr>
              <w:t>Current Report on Form 8-K (File No. 001-40703), filed with the Securities and Exchange Commission on</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August 10, 2021).</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3.2</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5"/>
              </w:rPr>
              <w:t>Certificate of Amendment to the Amended and Restated Certificate of Incorporation (incorporated by reference</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9"/>
              </w:rPr>
              <w:t>to Exhibit 3.1 of the Registrant’s Current Report on Form 8-K (File No. 001-40703), filed with the Securities</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and Exchange Commission on September 13, 2022).</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3.3</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5"/>
              </w:rPr>
              <w:t>Amended and Restated Bylaws (incorporated by reference to Exhibit 3.2 of the Registrant’s Current Report on</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8"/>
              </w:rPr>
              <w:t>Form 8-K (File No. 001-40703), filed with the Securities and Exchange Commission on September 13, 2022).</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3.4</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95"/>
              </w:rPr>
              <w:t>Delaware Certificate of Change of Registered Agent (incorporated by reference to Exhibit 3.3 of the</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6"/>
              </w:rPr>
              <w:t>Registrant's Registration Statement on Form S-3 (File No. 333-267643), filed with the Securities and Exchange</w:t>
            </w:r>
          </w:p>
        </w:tc>
      </w:tr>
      <w:tr>
        <w:trPr>
          <w:trHeight w:val="228"/>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tcPr>
          <w:p>
            <w:pPr>
              <w:spacing w:after="0" w:line="228" w:lineRule="exact"/>
              <w:rPr>
                <w:sz w:val="20"/>
                <w:szCs w:val="20"/>
                <w:color w:val="auto"/>
              </w:rPr>
            </w:pPr>
            <w:r>
              <w:rPr>
                <w:rFonts w:ascii="Arial" w:cs="Arial" w:eastAsia="Arial" w:hAnsi="Arial"/>
                <w:sz w:val="20"/>
                <w:szCs w:val="20"/>
                <w:b w:val="1"/>
                <w:bCs w:val="1"/>
                <w:color w:val="auto"/>
              </w:rPr>
              <w:t>Commission on September 28, 2022).</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4.1</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7"/>
              </w:rPr>
              <w:t>Second Amended and Restated Investors’ Rights Agreement by and among the Registrant and certain of its</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8"/>
              </w:rPr>
              <w:t>stockholders, dated April 16, 2021 (incorporated by reference to Exhibit 4.1 of the Registrant's Registration</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6"/>
              </w:rPr>
              <w:t>Statement on Form S-1 (File No. 333-257975), filed with the Securities and Exchange Commission on July 16,</w:t>
            </w:r>
          </w:p>
        </w:tc>
      </w:tr>
      <w:tr>
        <w:trPr>
          <w:trHeight w:val="230"/>
        </w:trPr>
        <w:tc>
          <w:tcPr>
            <w:tcW w:w="1000" w:type="dxa"/>
            <w:vAlign w:val="bottom"/>
          </w:tcPr>
          <w:p>
            <w:pPr>
              <w:spacing w:after="0"/>
              <w:rPr>
                <w:sz w:val="20"/>
                <w:szCs w:val="20"/>
                <w:color w:val="auto"/>
              </w:rPr>
            </w:pPr>
          </w:p>
        </w:tc>
        <w:tc>
          <w:tcPr>
            <w:tcW w:w="9080" w:type="dxa"/>
            <w:vAlign w:val="bottom"/>
            <w:gridSpan w:val="2"/>
          </w:tcPr>
          <w:p>
            <w:pPr>
              <w:ind w:left="100"/>
              <w:spacing w:after="0"/>
              <w:rPr>
                <w:sz w:val="20"/>
                <w:szCs w:val="20"/>
                <w:color w:val="auto"/>
              </w:rPr>
            </w:pPr>
            <w:r>
              <w:rPr>
                <w:rFonts w:ascii="Arial" w:cs="Arial" w:eastAsia="Arial" w:hAnsi="Arial"/>
                <w:sz w:val="20"/>
                <w:szCs w:val="20"/>
                <w:b w:val="1"/>
                <w:bCs w:val="1"/>
                <w:color w:val="auto"/>
              </w:rPr>
              <w:t>2021).</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4.2*</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Description of the Registrant's Common Stock.</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4.3*</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Common Stock Purchase Warrant.</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10.1+</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6"/>
              </w:rPr>
              <w:t>2020 Equity Incentive Plan and Forms of Stock Option Agreement, Notice of Stock Option Grant and Notice of</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8"/>
              </w:rPr>
              <w:t>Exercise (incorporated by reference to Exhibit 10.4 of the Registrant’s Quarterly Report on Form 10-Q (File</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No. 001-40703), filed with the Securities and Exchange Commission on November 10, 2022).</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10.2+</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6"/>
              </w:rPr>
              <w:t>2021 Equity Incentive Plan and Forms of Option Grant Notice and Agreement, Exercise Notice, Early Exercise</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91"/>
              </w:rPr>
              <w:t>Notice and Restricted Stock Award Notice (incorporated by reference to Exhibit 10.5 of the Registrant’s</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8"/>
              </w:rPr>
              <w:t>Quarterly Report on Form 10-Q (File No. 001-40703), filed with the Securities and Exchange Commission on</w:t>
            </w:r>
          </w:p>
        </w:tc>
      </w:tr>
      <w:tr>
        <w:trPr>
          <w:trHeight w:val="228"/>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tcPr>
          <w:p>
            <w:pPr>
              <w:spacing w:after="0" w:line="228" w:lineRule="exact"/>
              <w:rPr>
                <w:sz w:val="20"/>
                <w:szCs w:val="20"/>
                <w:color w:val="auto"/>
              </w:rPr>
            </w:pPr>
            <w:r>
              <w:rPr>
                <w:rFonts w:ascii="Arial" w:cs="Arial" w:eastAsia="Arial" w:hAnsi="Arial"/>
                <w:sz w:val="20"/>
                <w:szCs w:val="20"/>
                <w:b w:val="1"/>
                <w:bCs w:val="1"/>
                <w:color w:val="auto"/>
              </w:rPr>
              <w:t>November 10, 2022).</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10.3+</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7"/>
              </w:rPr>
              <w:t>2021 Employee Stock Purchase Plan (incorporated by reference to Exhibit 10.6 of the Registrant’s Quarterly</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7"/>
              </w:rPr>
              <w:t>Report on Form 10-Q (File No. 001-40703), filed with the Securities and Exchange Commission on November</w:t>
            </w:r>
          </w:p>
        </w:tc>
      </w:tr>
      <w:tr>
        <w:trPr>
          <w:trHeight w:val="230"/>
        </w:trPr>
        <w:tc>
          <w:tcPr>
            <w:tcW w:w="1000" w:type="dxa"/>
            <w:vAlign w:val="bottom"/>
          </w:tcPr>
          <w:p>
            <w:pPr>
              <w:spacing w:after="0"/>
              <w:rPr>
                <w:sz w:val="20"/>
                <w:szCs w:val="20"/>
                <w:color w:val="auto"/>
              </w:rPr>
            </w:pPr>
          </w:p>
        </w:tc>
        <w:tc>
          <w:tcPr>
            <w:tcW w:w="9080" w:type="dxa"/>
            <w:vAlign w:val="bottom"/>
            <w:gridSpan w:val="2"/>
          </w:tcPr>
          <w:p>
            <w:pPr>
              <w:ind w:left="100"/>
              <w:spacing w:after="0"/>
              <w:rPr>
                <w:sz w:val="20"/>
                <w:szCs w:val="20"/>
                <w:color w:val="auto"/>
              </w:rPr>
            </w:pPr>
            <w:r>
              <w:rPr>
                <w:rFonts w:ascii="Arial" w:cs="Arial" w:eastAsia="Arial" w:hAnsi="Arial"/>
                <w:sz w:val="20"/>
                <w:szCs w:val="20"/>
                <w:b w:val="1"/>
                <w:bCs w:val="1"/>
                <w:color w:val="auto"/>
              </w:rPr>
              <w:t>10, 2022).</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10.4*+</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Form of Indemnification Agreement with Executive Officers and Directors</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10.5+</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90"/>
              </w:rPr>
              <w:t>Employment Agreement by and between the Registrant and Tillman U. Gerngross, dated August 5, 2021</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9"/>
              </w:rPr>
              <w:t>(incorporated by reference to Exhibit 10.5 of the Registrant’s Quarterly Report on Form 10-Q (File No. 001-</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40703), filed with the Securities and Exchange Commission on September 20, 2021).</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10.6+</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7"/>
              </w:rPr>
              <w:t>Amended and Restated Employment Agreement by and between the Registrant and Rebecca Dabora, dated</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7"/>
              </w:rPr>
              <w:t>August 5, 2021 (incorporated by reference to Exhibit 10.7 of the Registrant’s Quarterly Report on Form 10-Q</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97"/>
              </w:rPr>
              <w:t>(File No. 001-40703), filed with the Securities and Exchange Commission on September 20, 2021).</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10.7+</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5"/>
              </w:rPr>
              <w:t>Amended and Restated Employment Agreement, by and between the Registrant and Jane Pritchett Henderson,</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6"/>
              </w:rPr>
              <w:t>dated August 5, 2021 (incorporated by reference to Exhibit 99.1 of the Registrant's Current Report on Form 8-</w:t>
            </w:r>
          </w:p>
        </w:tc>
      </w:tr>
      <w:tr>
        <w:trPr>
          <w:trHeight w:val="228"/>
        </w:trPr>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980" w:type="dxa"/>
            <w:vAlign w:val="bottom"/>
          </w:tcPr>
          <w:p>
            <w:pPr>
              <w:spacing w:after="0" w:line="228" w:lineRule="exact"/>
              <w:rPr>
                <w:sz w:val="20"/>
                <w:szCs w:val="20"/>
                <w:color w:val="auto"/>
              </w:rPr>
            </w:pPr>
            <w:r>
              <w:rPr>
                <w:rFonts w:ascii="Arial" w:cs="Arial" w:eastAsia="Arial" w:hAnsi="Arial"/>
                <w:sz w:val="20"/>
                <w:szCs w:val="20"/>
                <w:b w:val="1"/>
                <w:bCs w:val="1"/>
                <w:color w:val="auto"/>
                <w:w w:val="99"/>
              </w:rPr>
              <w:t>K (File No. 001-40703), filed with the Securities and Exchange Commission on March 21, 2022).</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10.8+</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7"/>
              </w:rPr>
              <w:t>First Amendment to the Amended and Restated Employment Agreement of Jane Henderson by and between</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5"/>
              </w:rPr>
              <w:t>the Registrant and Jane Pritchett Henderson, dated March 18, 2022 (incorporated by reference to Exhibit 10.12</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7"/>
              </w:rPr>
              <w:t>of the Registrant’s Annual Report on Form 10-K (File No. 001-40703), filed with the Securities and Exchange</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Commission on March 31, 2022).</w:t>
            </w:r>
          </w:p>
        </w:tc>
      </w:tr>
      <w:tr>
        <w:trPr>
          <w:trHeight w:val="245"/>
        </w:trPr>
        <w:tc>
          <w:tcPr>
            <w:tcW w:w="1000" w:type="dxa"/>
            <w:vAlign w:val="bottom"/>
          </w:tcPr>
          <w:p>
            <w:pPr>
              <w:spacing w:after="0"/>
              <w:rPr>
                <w:sz w:val="20"/>
                <w:szCs w:val="20"/>
                <w:color w:val="auto"/>
              </w:rPr>
            </w:pPr>
            <w:r>
              <w:rPr>
                <w:rFonts w:ascii="Arial" w:cs="Arial" w:eastAsia="Arial" w:hAnsi="Arial"/>
                <w:sz w:val="20"/>
                <w:szCs w:val="20"/>
                <w:b w:val="1"/>
                <w:bCs w:val="1"/>
                <w:color w:val="auto"/>
              </w:rPr>
              <w:t>10.9+</w:t>
            </w:r>
          </w:p>
        </w:tc>
        <w:tc>
          <w:tcPr>
            <w:tcW w:w="100" w:type="dxa"/>
            <w:vAlign w:val="bottom"/>
          </w:tcPr>
          <w:p>
            <w:pPr>
              <w:spacing w:after="0"/>
              <w:rPr>
                <w:sz w:val="21"/>
                <w:szCs w:val="21"/>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8"/>
              </w:rPr>
              <w:t>Non-Employee Director Compensation Policy (incorporated by reference to Exhibit 10.5 of the Registrant’s</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w w:val="89"/>
              </w:rPr>
              <w:t>Annual Report on Form 10-K (File No. 001-40703), filed with the Securities and Exchange Commission on</w:t>
            </w:r>
          </w:p>
        </w:tc>
      </w:tr>
      <w:tr>
        <w:trPr>
          <w:trHeight w:val="230"/>
        </w:trPr>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980" w:type="dxa"/>
            <w:vAlign w:val="bottom"/>
          </w:tcPr>
          <w:p>
            <w:pPr>
              <w:spacing w:after="0"/>
              <w:rPr>
                <w:sz w:val="20"/>
                <w:szCs w:val="20"/>
                <w:color w:val="auto"/>
              </w:rPr>
            </w:pPr>
            <w:r>
              <w:rPr>
                <w:rFonts w:ascii="Arial" w:cs="Arial" w:eastAsia="Arial" w:hAnsi="Arial"/>
                <w:sz w:val="20"/>
                <w:szCs w:val="20"/>
                <w:b w:val="1"/>
                <w:bCs w:val="1"/>
                <w:color w:val="auto"/>
              </w:rPr>
              <w:t>March 31, 2022).</w:t>
            </w:r>
          </w:p>
        </w:tc>
      </w:tr>
      <w:tr>
        <w:trPr>
          <w:trHeight w:val="691"/>
        </w:trPr>
        <w:tc>
          <w:tcPr>
            <w:tcW w:w="1000" w:type="dxa"/>
            <w:vAlign w:val="bottom"/>
          </w:tcPr>
          <w:p>
            <w:pPr>
              <w:spacing w:after="0"/>
              <w:rPr>
                <w:sz w:val="24"/>
                <w:szCs w:val="24"/>
                <w:color w:val="auto"/>
              </w:rPr>
            </w:pPr>
          </w:p>
        </w:tc>
        <w:tc>
          <w:tcPr>
            <w:tcW w:w="9080" w:type="dxa"/>
            <w:vAlign w:val="bottom"/>
            <w:gridSpan w:val="2"/>
          </w:tcPr>
          <w:p>
            <w:pPr>
              <w:jc w:val="right"/>
              <w:ind w:right="4781"/>
              <w:spacing w:after="0"/>
              <w:rPr>
                <w:sz w:val="20"/>
                <w:szCs w:val="20"/>
                <w:color w:val="auto"/>
              </w:rPr>
            </w:pPr>
            <w:r>
              <w:rPr>
                <w:rFonts w:ascii="Arial" w:cs="Arial" w:eastAsia="Arial" w:hAnsi="Arial"/>
                <w:sz w:val="20"/>
                <w:szCs w:val="20"/>
                <w:b w:val="1"/>
                <w:bCs w:val="1"/>
                <w:color w:val="auto"/>
              </w:rPr>
              <w:t>115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640080</wp:posOffset>
                </wp:positionH>
                <wp:positionV relativeFrom="paragraph">
                  <wp:posOffset>-7015480</wp:posOffset>
                </wp:positionV>
                <wp:extent cx="63500" cy="0"/>
                <wp:wrapNone/>
                <wp:docPr id="497" name="Shape 4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00"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497" o:spid="_x0000_s15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4pt,-552.3999pt" to="55.4pt,-552.3999pt" o:allowincell="f" strokecolor="#FFFFFF" strokeweight="0.36pt"/>
            </w:pict>
          </mc:Fallback>
        </mc:AlternateContent>
      </w:r>
    </w:p>
    <w:p>
      <w:pPr>
        <w:sectPr>
          <w:pgSz w:w="12240" w:h="15840" w:orient="portrait"/>
          <w:cols w:equalWidth="0" w:num="1">
            <w:col w:w="10080"/>
          </w:cols>
          <w:pgMar w:left="1080" w:top="1079" w:right="1080" w:bottom="157"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20"/>
                <w:szCs w:val="20"/>
                <w:b w:val="1"/>
                <w:bCs w:val="1"/>
                <w:color w:val="auto"/>
              </w:rPr>
              <w:t>10.10+</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93"/>
              </w:rPr>
              <w:t>Employment Agreement by and between the Registrant and Jill Andersen, dated September 24, 2021</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9"/>
              </w:rPr>
              <w:t>(incorporated by reference to Exhibit 10.11 of the Registrant’s Annual Report on Form 10-K (File No. 001-</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40703), filed with the Securities and Exchange Commission on March 31, 2022).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10.11†#</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9"/>
              </w:rPr>
              <w:t>Assignment and License Agreement by and between the Registrant and Adimab, LLC, dated July 8, 2020</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8"/>
              </w:rPr>
              <w:t>(incorporated by reference to Exhibit 10.5 of the Registrant's Registration Statement on Form S-1 (File No.</w:t>
            </w:r>
          </w:p>
        </w:tc>
      </w:tr>
      <w:tr>
        <w:trPr>
          <w:trHeight w:val="228"/>
        </w:trPr>
        <w:tc>
          <w:tcPr>
            <w:tcW w:w="980" w:type="dxa"/>
            <w:vAlign w:val="bottom"/>
          </w:tcPr>
          <w:p>
            <w:pPr>
              <w:spacing w:after="0"/>
              <w:rPr>
                <w:sz w:val="19"/>
                <w:szCs w:val="19"/>
                <w:color w:val="auto"/>
              </w:rPr>
            </w:pPr>
          </w:p>
        </w:tc>
        <w:tc>
          <w:tcPr>
            <w:tcW w:w="9080" w:type="dxa"/>
            <w:vAlign w:val="bottom"/>
          </w:tcPr>
          <w:p>
            <w:pPr>
              <w:ind w:left="120"/>
              <w:spacing w:after="0" w:line="229" w:lineRule="exact"/>
              <w:rPr>
                <w:sz w:val="20"/>
                <w:szCs w:val="20"/>
                <w:color w:val="auto"/>
              </w:rPr>
            </w:pPr>
            <w:r>
              <w:rPr>
                <w:rFonts w:ascii="Arial" w:cs="Arial" w:eastAsia="Arial" w:hAnsi="Arial"/>
                <w:sz w:val="20"/>
                <w:szCs w:val="20"/>
                <w:b w:val="1"/>
                <w:bCs w:val="1"/>
                <w:color w:val="auto"/>
              </w:rPr>
              <w:t>333-257975), filed with the Securities and Exchange Commission on July 16, 2021).</w:t>
            </w:r>
          </w:p>
        </w:tc>
      </w:tr>
      <w:tr>
        <w:trPr>
          <w:trHeight w:val="247"/>
        </w:trPr>
        <w:tc>
          <w:tcPr>
            <w:tcW w:w="980" w:type="dxa"/>
            <w:vAlign w:val="bottom"/>
          </w:tcPr>
          <w:p>
            <w:pPr>
              <w:spacing w:after="0"/>
              <w:rPr>
                <w:sz w:val="20"/>
                <w:szCs w:val="20"/>
                <w:color w:val="auto"/>
              </w:rPr>
            </w:pPr>
            <w:r>
              <w:rPr>
                <w:rFonts w:ascii="Arial" w:cs="Arial" w:eastAsia="Arial" w:hAnsi="Arial"/>
                <w:sz w:val="20"/>
                <w:szCs w:val="20"/>
                <w:b w:val="1"/>
                <w:bCs w:val="1"/>
                <w:color w:val="auto"/>
              </w:rPr>
              <w:t>10.12†#</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6"/>
              </w:rPr>
              <w:t>Collaboration Agreement by and between the Registrant and Adimab, LLC, dated May 21, 2021 (incorporated</w:t>
            </w:r>
          </w:p>
        </w:tc>
      </w:tr>
      <w:tr>
        <w:trPr>
          <w:trHeight w:val="228"/>
        </w:trPr>
        <w:tc>
          <w:tcPr>
            <w:tcW w:w="980" w:type="dxa"/>
            <w:vAlign w:val="bottom"/>
          </w:tcPr>
          <w:p>
            <w:pPr>
              <w:spacing w:after="0"/>
              <w:rPr>
                <w:sz w:val="19"/>
                <w:szCs w:val="19"/>
                <w:color w:val="auto"/>
              </w:rPr>
            </w:pPr>
          </w:p>
        </w:tc>
        <w:tc>
          <w:tcPr>
            <w:tcW w:w="908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89"/>
              </w:rPr>
              <w:t>by reference to Exhibit 10.6 of the Registrant's Registration Statement on Form S-1 (File No. 333-257975),</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filed with the Securities and Exchange Commission on July 16, 2021).</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10.13*†</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7"/>
              </w:rPr>
              <w:t>Amendment Number One to the Collaboration Agreement by and between the Registrant and Adimab, LLC,</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November 18, 2022.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10.14†#</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7"/>
              </w:rPr>
              <w:t>Amended and Restated Commercial Manufacturing Services Agreement by and between the Registrant and</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6"/>
              </w:rPr>
              <w:t>WuXi Biologics (Hong Kong) Limited, dated August 12, 2021 (incorporated by reference to Exhibit 10.2 of the</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90"/>
              </w:rPr>
              <w:t>Registrant's Quarterly Report on Form 10-Q (File No. 001-40703), filed with the Securities and Exchange</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Commission on November 15, 2021).</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10.15†#</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6"/>
              </w:rPr>
              <w:t>Cell Line License Agreement by and between the Registrant and WuXi Biologics (Hong Kong) Limited, dated</w:t>
            </w:r>
          </w:p>
        </w:tc>
      </w:tr>
      <w:tr>
        <w:trPr>
          <w:trHeight w:val="228"/>
        </w:trPr>
        <w:tc>
          <w:tcPr>
            <w:tcW w:w="980" w:type="dxa"/>
            <w:vAlign w:val="bottom"/>
          </w:tcPr>
          <w:p>
            <w:pPr>
              <w:spacing w:after="0"/>
              <w:rPr>
                <w:sz w:val="19"/>
                <w:szCs w:val="19"/>
                <w:color w:val="auto"/>
              </w:rPr>
            </w:pPr>
          </w:p>
        </w:tc>
        <w:tc>
          <w:tcPr>
            <w:tcW w:w="9080" w:type="dxa"/>
            <w:vAlign w:val="bottom"/>
          </w:tcPr>
          <w:p>
            <w:pPr>
              <w:ind w:left="120"/>
              <w:spacing w:after="0" w:line="229" w:lineRule="exact"/>
              <w:rPr>
                <w:sz w:val="20"/>
                <w:szCs w:val="20"/>
                <w:color w:val="auto"/>
              </w:rPr>
            </w:pPr>
            <w:r>
              <w:rPr>
                <w:rFonts w:ascii="Arial" w:cs="Arial" w:eastAsia="Arial" w:hAnsi="Arial"/>
                <w:sz w:val="20"/>
                <w:szCs w:val="20"/>
                <w:b w:val="1"/>
                <w:bCs w:val="1"/>
                <w:color w:val="auto"/>
                <w:w w:val="89"/>
              </w:rPr>
              <w:t>December 2, 2020 (incorporated by reference to Exhibit 10.8 of the Registrant's Registration Statement on</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92"/>
              </w:rPr>
              <w:t>Form S-1 (File No. 333-257975), filed with the Securities and Exchange Commission on July 16, 2021).</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10.16*†</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9"/>
              </w:rPr>
              <w:t>Amendment No. 1 to the Cell Line License Agreement by and between the Registrant and WuXi Biologics</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(Hong Kong) Limited, dated February 2, 2023.</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10.17*†</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9"/>
              </w:rPr>
              <w:t>Clinical Master Services Agreement by between the Registrant and WuXi Biologics (Hong Kong) Limited,</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dated July 21, 2020.</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10.18+</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5"/>
              </w:rPr>
              <w:t>Employment Agreement by and between the Registrant and David Hering, dated July 5, 2022 (incorporated by</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8"/>
              </w:rPr>
              <w:t>reference to Exhibit 10.1 of the Registrant's Current Report on Form 8-K (File No. 001-40703), filed with the</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Securities and Exchange Commission on July 5, 2022).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10.19+</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9"/>
              </w:rPr>
              <w:t>Consulting Services Agreement, effective as of October 13, 2022, by and between the Registrant and Fred</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8"/>
              </w:rPr>
              <w:t>Driscoll (incorporated by reference to Exhibit 10.2 of the Registrant's Current Report on Form 8-K (File No.</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001-40703), filed with the Securities and Exchange Commission on October 13, 2022).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10.20*</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91"/>
              </w:rPr>
              <w:t>Master Services Agreement by and between the Registrant and Population Health Partners, L.P., dated</w:t>
            </w:r>
          </w:p>
        </w:tc>
      </w:tr>
      <w:tr>
        <w:trPr>
          <w:trHeight w:val="228"/>
        </w:trPr>
        <w:tc>
          <w:tcPr>
            <w:tcW w:w="980" w:type="dxa"/>
            <w:vAlign w:val="bottom"/>
          </w:tcPr>
          <w:p>
            <w:pPr>
              <w:spacing w:after="0"/>
              <w:rPr>
                <w:sz w:val="19"/>
                <w:szCs w:val="19"/>
                <w:color w:val="auto"/>
              </w:rPr>
            </w:pPr>
          </w:p>
        </w:tc>
        <w:tc>
          <w:tcPr>
            <w:tcW w:w="9080" w:type="dxa"/>
            <w:vAlign w:val="bottom"/>
          </w:tcPr>
          <w:p>
            <w:pPr>
              <w:ind w:left="120"/>
              <w:spacing w:after="0" w:line="228" w:lineRule="exact"/>
              <w:rPr>
                <w:sz w:val="20"/>
                <w:szCs w:val="20"/>
                <w:color w:val="auto"/>
              </w:rPr>
            </w:pPr>
            <w:r>
              <w:rPr>
                <w:rFonts w:ascii="Arial" w:cs="Arial" w:eastAsia="Arial" w:hAnsi="Arial"/>
                <w:sz w:val="20"/>
                <w:szCs w:val="20"/>
                <w:b w:val="1"/>
                <w:bCs w:val="1"/>
                <w:color w:val="auto"/>
              </w:rPr>
              <w:t>November 15, 2022.</w:t>
            </w:r>
          </w:p>
        </w:tc>
      </w:tr>
      <w:tr>
        <w:trPr>
          <w:trHeight w:val="247"/>
        </w:trPr>
        <w:tc>
          <w:tcPr>
            <w:tcW w:w="980" w:type="dxa"/>
            <w:vAlign w:val="bottom"/>
          </w:tcPr>
          <w:p>
            <w:pPr>
              <w:spacing w:after="0"/>
              <w:rPr>
                <w:sz w:val="20"/>
                <w:szCs w:val="20"/>
                <w:color w:val="auto"/>
              </w:rPr>
            </w:pPr>
            <w:r>
              <w:rPr>
                <w:rFonts w:ascii="Arial" w:cs="Arial" w:eastAsia="Arial" w:hAnsi="Arial"/>
                <w:sz w:val="20"/>
                <w:szCs w:val="20"/>
                <w:b w:val="1"/>
                <w:bCs w:val="1"/>
                <w:color w:val="auto"/>
              </w:rPr>
              <w:t>10.21*†</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8"/>
              </w:rPr>
              <w:t>Work Order by and between the Registrant and Population Health Partners, L.P., dated November 15, 2022.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10.22+</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91"/>
              </w:rPr>
              <w:t>Employment Agreement by and between the Registrant and Jeremy Gowler, dated September 17, 2022</w:t>
            </w:r>
          </w:p>
        </w:tc>
      </w:tr>
      <w:tr>
        <w:trPr>
          <w:trHeight w:val="228"/>
        </w:trPr>
        <w:tc>
          <w:tcPr>
            <w:tcW w:w="980" w:type="dxa"/>
            <w:vAlign w:val="bottom"/>
          </w:tcPr>
          <w:p>
            <w:pPr>
              <w:spacing w:after="0"/>
              <w:rPr>
                <w:sz w:val="19"/>
                <w:szCs w:val="19"/>
                <w:color w:val="auto"/>
              </w:rPr>
            </w:pPr>
          </w:p>
        </w:tc>
        <w:tc>
          <w:tcPr>
            <w:tcW w:w="9080" w:type="dxa"/>
            <w:vAlign w:val="bottom"/>
          </w:tcPr>
          <w:p>
            <w:pPr>
              <w:ind w:left="120"/>
              <w:spacing w:after="0" w:line="229" w:lineRule="exact"/>
              <w:rPr>
                <w:sz w:val="20"/>
                <w:szCs w:val="20"/>
                <w:color w:val="auto"/>
              </w:rPr>
            </w:pPr>
            <w:r>
              <w:rPr>
                <w:rFonts w:ascii="Arial" w:cs="Arial" w:eastAsia="Arial" w:hAnsi="Arial"/>
                <w:sz w:val="20"/>
                <w:szCs w:val="20"/>
                <w:b w:val="1"/>
                <w:bCs w:val="1"/>
                <w:color w:val="auto"/>
                <w:w w:val="91"/>
              </w:rPr>
              <w:t>(incorporated by reference to Exhibit 10.1 of the Registrant's Current Report on Form 8-K (File No. 001-</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40703), filed with the Securities and Exchange Commission on December 6, 2022).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10.23*+#</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4"/>
              </w:rPr>
              <w:t>Separation Agreement by and between the Registrant and Jane Pritchett Henderson, dated November 11, 2022.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21.1*</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Subsidiaries of the Registrant.</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23.1*</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Consent of PricewaterhouseCoopers LLP, Independent Registered Public Accounting Firm.</w:t>
            </w:r>
          </w:p>
        </w:tc>
      </w:tr>
      <w:tr>
        <w:trPr>
          <w:trHeight w:val="247"/>
        </w:trPr>
        <w:tc>
          <w:tcPr>
            <w:tcW w:w="980" w:type="dxa"/>
            <w:vAlign w:val="bottom"/>
          </w:tcPr>
          <w:p>
            <w:pPr>
              <w:spacing w:after="0"/>
              <w:rPr>
                <w:sz w:val="20"/>
                <w:szCs w:val="20"/>
                <w:color w:val="auto"/>
              </w:rPr>
            </w:pPr>
            <w:r>
              <w:rPr>
                <w:rFonts w:ascii="Arial" w:cs="Arial" w:eastAsia="Arial" w:hAnsi="Arial"/>
                <w:sz w:val="20"/>
                <w:szCs w:val="20"/>
                <w:b w:val="1"/>
                <w:bCs w:val="1"/>
                <w:color w:val="auto"/>
              </w:rPr>
              <w:t>31.1*</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9"/>
              </w:rPr>
              <w:t>Certification of Principal Executive Officer Pursuant to Rules 13a-14(a) and 15d-14(a) under the Securities</w:t>
            </w:r>
          </w:p>
        </w:tc>
      </w:tr>
      <w:tr>
        <w:trPr>
          <w:trHeight w:val="228"/>
        </w:trPr>
        <w:tc>
          <w:tcPr>
            <w:tcW w:w="980" w:type="dxa"/>
            <w:vAlign w:val="bottom"/>
          </w:tcPr>
          <w:p>
            <w:pPr>
              <w:spacing w:after="0"/>
              <w:rPr>
                <w:sz w:val="19"/>
                <w:szCs w:val="19"/>
                <w:color w:val="auto"/>
              </w:rPr>
            </w:pPr>
          </w:p>
        </w:tc>
        <w:tc>
          <w:tcPr>
            <w:tcW w:w="9080" w:type="dxa"/>
            <w:vAlign w:val="bottom"/>
          </w:tcPr>
          <w:p>
            <w:pPr>
              <w:ind w:left="120"/>
              <w:spacing w:after="0" w:line="228" w:lineRule="exact"/>
              <w:rPr>
                <w:sz w:val="20"/>
                <w:szCs w:val="20"/>
                <w:color w:val="auto"/>
              </w:rPr>
            </w:pPr>
            <w:r>
              <w:rPr>
                <w:rFonts w:ascii="Arial" w:cs="Arial" w:eastAsia="Arial" w:hAnsi="Arial"/>
                <w:sz w:val="20"/>
                <w:szCs w:val="20"/>
                <w:b w:val="1"/>
                <w:bCs w:val="1"/>
                <w:color w:val="auto"/>
                <w:w w:val="99"/>
              </w:rPr>
              <w:t>Exchange Act of 1934, as Adopted Pursuant to Section 302 of the Sarbanes-Oxley Act of 2002.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31.2*</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9"/>
              </w:rPr>
              <w:t>Certification of Principal Financial Officer Pursuant to Rules 13a-14(a) and 15d-14(a) under the Securities</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99"/>
              </w:rPr>
              <w:t>Exchange Act of 1934, as Adopted Pursuant to Section 302 of the Sarbanes-Oxley Act of 2002.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32.1*^</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5"/>
              </w:rPr>
              <w:t>Certification of Principal Executive Officer Pursuant to 18 U.S.C. Section 1350, as Adopted Pursuant to Section</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906 of the Sarbanes-Oxley Act of 2002.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32.2*^</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5"/>
              </w:rPr>
              <w:t>Certification of Principal Financial Officer Pursuant to 18 U.S.C. Section 1350, as Adopted Pursuant to Section</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906 of the Sarbanes-Oxley Act of 2002.</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101.INS*</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w w:val="85"/>
              </w:rPr>
              <w:t>Inline XBRL Instance Document – the instance document does not appear in the Interactive Data File because</w:t>
            </w:r>
          </w:p>
        </w:tc>
      </w:tr>
      <w:tr>
        <w:trPr>
          <w:trHeight w:val="230"/>
        </w:trPr>
        <w:tc>
          <w:tcPr>
            <w:tcW w:w="980" w:type="dxa"/>
            <w:vAlign w:val="bottom"/>
          </w:tcPr>
          <w:p>
            <w:pPr>
              <w:spacing w:after="0"/>
              <w:rPr>
                <w:sz w:val="20"/>
                <w:szCs w:val="20"/>
                <w:color w:val="auto"/>
              </w:rPr>
            </w:pP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XBRL tags are embedded within the Inline XBRL document.</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101.SCH*</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Inline XBRL Taxonomy Extension Schema Document</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101.CAL*</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Inline XBRL Taxonomy Extension Calculation Linkbase Document</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101.DEF*</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Inline XBRL Taxonomy Extension Definition Linkbase Document</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101.LAB*</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Inline XBRL Taxonomy Extension Label Linkbase Document</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101.PRE*</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Inline XBRL Taxonomy Extension Presentation Linkbase Document</w:t>
            </w:r>
          </w:p>
        </w:tc>
      </w:tr>
      <w:tr>
        <w:trPr>
          <w:trHeight w:val="245"/>
        </w:trPr>
        <w:tc>
          <w:tcPr>
            <w:tcW w:w="980" w:type="dxa"/>
            <w:vAlign w:val="bottom"/>
          </w:tcPr>
          <w:p>
            <w:pPr>
              <w:spacing w:after="0"/>
              <w:rPr>
                <w:sz w:val="20"/>
                <w:szCs w:val="20"/>
                <w:color w:val="auto"/>
              </w:rPr>
            </w:pPr>
            <w:r>
              <w:rPr>
                <w:rFonts w:ascii="Arial" w:cs="Arial" w:eastAsia="Arial" w:hAnsi="Arial"/>
                <w:sz w:val="20"/>
                <w:szCs w:val="20"/>
                <w:b w:val="1"/>
                <w:bCs w:val="1"/>
                <w:color w:val="auto"/>
              </w:rPr>
              <w:t>104*</w:t>
            </w:r>
          </w:p>
        </w:tc>
        <w:tc>
          <w:tcPr>
            <w:tcW w:w="9080" w:type="dxa"/>
            <w:vAlign w:val="bottom"/>
          </w:tcPr>
          <w:p>
            <w:pPr>
              <w:ind w:left="120"/>
              <w:spacing w:after="0"/>
              <w:rPr>
                <w:sz w:val="20"/>
                <w:szCs w:val="20"/>
                <w:color w:val="auto"/>
              </w:rPr>
            </w:pPr>
            <w:r>
              <w:rPr>
                <w:rFonts w:ascii="Arial" w:cs="Arial" w:eastAsia="Arial" w:hAnsi="Arial"/>
                <w:sz w:val="20"/>
                <w:szCs w:val="20"/>
                <w:b w:val="1"/>
                <w:bCs w:val="1"/>
                <w:color w:val="auto"/>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-17780</wp:posOffset>
                </wp:positionH>
                <wp:positionV relativeFrom="paragraph">
                  <wp:posOffset>104140</wp:posOffset>
                </wp:positionV>
                <wp:extent cx="949960" cy="0"/>
                <wp:wrapNone/>
                <wp:docPr id="498" name="Shape 4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960"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498" o:spid="_x0000_s15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8.2pt" to="73.4pt,8.2pt" o:allowincell="f" strokecolor="#000000" strokeweight="0.6pt"/>
            </w:pict>
          </mc:Fallback>
        </mc:AlternateConten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116</w:t>
      </w:r>
    </w:p>
    <w:p>
      <w:pPr>
        <w:sectPr>
          <w:pgSz w:w="12240" w:h="15840" w:orient="portrait"/>
          <w:cols w:equalWidth="0" w:num="1">
            <w:col w:w="10060"/>
          </w:cols>
          <w:pgMar w:left="1080" w:top="1093" w:right="1100" w:bottom="157" w:gutter="0" w:footer="0" w:header="0"/>
        </w:sectPr>
      </w:pPr>
    </w:p>
    <w:bookmarkStart w:id="118" w:name="page119"/>
    <w:bookmarkEnd w:id="118"/>
    <w:p>
      <w:pPr>
        <w:ind w:left="340" w:hanging="340"/>
        <w:spacing w:after="0"/>
        <w:tabs>
          <w:tab w:leader="none" w:pos="34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Indicates management contract or compensatory plan.</w:t>
      </w:r>
    </w:p>
    <w:p>
      <w:pPr>
        <w:spacing w:after="0" w:line="11" w:lineRule="exact"/>
        <w:rPr>
          <w:sz w:val="20"/>
          <w:szCs w:val="20"/>
          <w:color w:val="auto"/>
        </w:rPr>
      </w:pPr>
    </w:p>
    <w:p>
      <w:pPr>
        <w:ind w:left="340" w:right="20" w:hanging="340"/>
        <w:spacing w:after="0" w:line="233" w:lineRule="auto"/>
        <w:tabs>
          <w:tab w:leader="none" w:pos="34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Certain portions of this exhibit (indicated by asterisks) have been omitted pursuant to Item 601(b)(10)(iv) of Regulation S-K.</w:t>
      </w:r>
    </w:p>
    <w:p>
      <w:pPr>
        <w:spacing w:after="0" w:line="12" w:lineRule="exact"/>
        <w:rPr>
          <w:sz w:val="20"/>
          <w:szCs w:val="20"/>
          <w:color w:val="auto"/>
        </w:rPr>
      </w:pPr>
    </w:p>
    <w:p>
      <w:pPr>
        <w:ind w:left="340" w:hanging="340"/>
        <w:spacing w:after="0"/>
        <w:tabs>
          <w:tab w:leader="none" w:pos="3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Certain schedules to this agreement have been omitted in accordance with Item 601(a)(5) of Regulation S-K. A copy of</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auto"/>
        </w:rPr>
        <w:t>any omitted schedules will be furnished supplementally to the SEC upon request.</w:t>
      </w:r>
    </w:p>
    <w:p>
      <w:pPr>
        <w:spacing w:after="0" w:line="11" w:lineRule="exact"/>
        <w:rPr>
          <w:sz w:val="20"/>
          <w:szCs w:val="20"/>
          <w:color w:val="auto"/>
        </w:rPr>
      </w:pPr>
    </w:p>
    <w:p>
      <w:pPr>
        <w:ind w:left="340" w:hanging="340"/>
        <w:spacing w:after="0" w:line="236" w:lineRule="auto"/>
        <w:tabs>
          <w:tab w:leader="none" w:pos="34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These certifications are being furnished solely to accompany this annual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117</w:t>
      </w:r>
    </w:p>
    <w:p>
      <w:pPr>
        <w:sectPr>
          <w:pgSz w:w="12240" w:h="15840" w:orient="portrait"/>
          <w:cols w:equalWidth="0" w:num="1">
            <w:col w:w="9960"/>
          </w:cols>
          <w:pgMar w:left="1080" w:top="1355" w:right="1200" w:bottom="157" w:gutter="0" w:footer="0" w:header="0"/>
        </w:sectPr>
      </w:pPr>
    </w:p>
    <w:bookmarkStart w:id="119" w:name="page120"/>
    <w:bookmarkEnd w:id="119"/>
    <w:p>
      <w:pPr>
        <w:jc w:val="center"/>
        <w:spacing w:after="0"/>
        <w:rPr>
          <w:sz w:val="20"/>
          <w:szCs w:val="20"/>
          <w:color w:val="auto"/>
        </w:rPr>
      </w:pPr>
      <w:r>
        <w:rPr>
          <w:rFonts w:ascii="Arial" w:cs="Arial" w:eastAsia="Arial" w:hAnsi="Arial"/>
          <w:sz w:val="20"/>
          <w:szCs w:val="20"/>
          <w:b w:val="1"/>
          <w:bCs w:val="1"/>
          <w:color w:val="auto"/>
        </w:rPr>
        <w:t>SIGNATURES</w:t>
      </w:r>
    </w:p>
    <w:p>
      <w:pPr>
        <w:spacing w:after="0" w:line="251" w:lineRule="exact"/>
        <w:rPr>
          <w:sz w:val="20"/>
          <w:szCs w:val="20"/>
          <w:color w:val="auto"/>
        </w:rPr>
      </w:pPr>
    </w:p>
    <w:p>
      <w:pPr>
        <w:ind w:firstLine="490"/>
        <w:spacing w:after="0" w:line="278"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as amended, the registrant has duly caused this report to be signed on its behalf by the undersigned, thereunto duly authorized.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19"/>
                <w:szCs w:val="19"/>
                <w:color w:val="auto"/>
              </w:rPr>
            </w:pPr>
          </w:p>
        </w:tc>
        <w:tc>
          <w:tcPr>
            <w:tcW w:w="7040" w:type="dxa"/>
            <w:vAlign w:val="bottom"/>
            <w:gridSpan w:val="2"/>
          </w:tcPr>
          <w:p>
            <w:pPr>
              <w:ind w:left="1300"/>
              <w:spacing w:after="0"/>
              <w:rPr>
                <w:sz w:val="20"/>
                <w:szCs w:val="20"/>
                <w:color w:val="auto"/>
              </w:rPr>
            </w:pPr>
            <w:r>
              <w:rPr>
                <w:rFonts w:ascii="Arial" w:cs="Arial" w:eastAsia="Arial" w:hAnsi="Arial"/>
                <w:sz w:val="20"/>
                <w:szCs w:val="20"/>
                <w:b w:val="1"/>
                <w:bCs w:val="1"/>
                <w:color w:val="auto"/>
              </w:rPr>
              <w:t>INVIVYD, INC.</w:t>
            </w:r>
          </w:p>
        </w:tc>
      </w:tr>
      <w:tr>
        <w:trPr>
          <w:trHeight w:val="487"/>
        </w:trPr>
        <w:tc>
          <w:tcPr>
            <w:tcW w:w="3040" w:type="dxa"/>
            <w:vAlign w:val="bottom"/>
          </w:tcPr>
          <w:p>
            <w:pPr>
              <w:spacing w:after="0"/>
              <w:rPr>
                <w:sz w:val="20"/>
                <w:szCs w:val="20"/>
                <w:color w:val="auto"/>
              </w:rPr>
            </w:pPr>
            <w:r>
              <w:rPr>
                <w:rFonts w:ascii="Arial" w:cs="Arial" w:eastAsia="Arial" w:hAnsi="Arial"/>
                <w:sz w:val="20"/>
                <w:szCs w:val="20"/>
                <w:b w:val="1"/>
                <w:bCs w:val="1"/>
                <w:color w:val="auto"/>
              </w:rPr>
              <w:t>Date: March 23, 2023</w:t>
            </w:r>
          </w:p>
        </w:tc>
        <w:tc>
          <w:tcPr>
            <w:tcW w:w="7040" w:type="dxa"/>
            <w:vAlign w:val="bottom"/>
            <w:gridSpan w:val="2"/>
          </w:tcPr>
          <w:p>
            <w:pPr>
              <w:ind w:left="1300"/>
              <w:spacing w:after="0"/>
              <w:rPr>
                <w:sz w:val="20"/>
                <w:szCs w:val="20"/>
                <w:color w:val="auto"/>
              </w:rPr>
            </w:pPr>
            <w:r>
              <w:rPr>
                <w:rFonts w:ascii="Arial" w:cs="Arial" w:eastAsia="Arial" w:hAnsi="Arial"/>
                <w:sz w:val="20"/>
                <w:szCs w:val="20"/>
                <w:b w:val="1"/>
                <w:bCs w:val="1"/>
                <w:color w:val="auto"/>
              </w:rPr>
              <w:t>By:  /s/ David Hering, M.B.A.</w:t>
            </w:r>
          </w:p>
        </w:tc>
      </w:tr>
      <w:tr>
        <w:trPr>
          <w:trHeight w:val="230"/>
        </w:trPr>
        <w:tc>
          <w:tcPr>
            <w:tcW w:w="30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David Hering, M.B.A.</w:t>
            </w:r>
          </w:p>
        </w:tc>
      </w:tr>
      <w:tr>
        <w:trPr>
          <w:trHeight w:val="245"/>
        </w:trPr>
        <w:tc>
          <w:tcPr>
            <w:tcW w:w="30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b w:val="1"/>
                <w:bCs w:val="1"/>
                <w:color w:val="auto"/>
              </w:rPr>
              <w:t>Chief Executive Officer and Director</w:t>
            </w:r>
          </w:p>
        </w:tc>
      </w:tr>
    </w:tbl>
    <w:p>
      <w:pPr>
        <w:spacing w:after="0" w:line="200" w:lineRule="exact"/>
        <w:rPr>
          <w:sz w:val="20"/>
          <w:szCs w:val="20"/>
          <w:color w:val="auto"/>
        </w:rPr>
      </w:pPr>
    </w:p>
    <w:p>
      <w:pPr>
        <w:spacing w:after="0" w:line="279"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Pursuant to the requirements of the Securities Exchange Act of 1934, as amended, this report has been signed below by the following persons on behalf of the registrant and in the capacities and on the dates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Borders>
              <w:bottom w:val="single" w:sz="8" w:color="auto"/>
            </w:tcBorders>
          </w:tcPr>
          <w:p>
            <w:pPr>
              <w:ind w:left="136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6"/>
                <w:szCs w:val="16"/>
                <w:color w:val="auto"/>
              </w:rPr>
            </w:pPr>
          </w:p>
        </w:tc>
        <w:tc>
          <w:tcPr>
            <w:tcW w:w="5240" w:type="dxa"/>
            <w:vAlign w:val="bottom"/>
            <w:tcBorders>
              <w:bottom w:val="single" w:sz="8" w:color="auto"/>
            </w:tcBorders>
          </w:tcPr>
          <w:p>
            <w:pPr>
              <w:ind w:left="2460"/>
              <w:spacing w:after="0"/>
              <w:rPr>
                <w:sz w:val="20"/>
                <w:szCs w:val="20"/>
                <w:color w:val="auto"/>
              </w:rPr>
            </w:pPr>
            <w:r>
              <w:rPr>
                <w:rFonts w:ascii="Arial" w:cs="Arial" w:eastAsia="Arial" w:hAnsi="Arial"/>
                <w:sz w:val="16"/>
                <w:szCs w:val="16"/>
                <w:b w:val="1"/>
                <w:bCs w:val="1"/>
                <w:color w:val="auto"/>
              </w:rPr>
              <w:t>Title</w:t>
            </w:r>
          </w:p>
        </w:tc>
        <w:tc>
          <w:tcPr>
            <w:tcW w:w="120" w:type="dxa"/>
            <w:vAlign w:val="bottom"/>
          </w:tcPr>
          <w:p>
            <w:pPr>
              <w:spacing w:after="0"/>
              <w:rPr>
                <w:sz w:val="16"/>
                <w:szCs w:val="16"/>
                <w:color w:val="auto"/>
              </w:rPr>
            </w:pP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rPr>
              <w:t>Date</w:t>
            </w:r>
          </w:p>
        </w:tc>
      </w:tr>
      <w:tr>
        <w:trPr>
          <w:trHeight w:val="336"/>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David Hering, M.B.A.</w:t>
            </w:r>
          </w:p>
        </w:tc>
        <w:tc>
          <w:tcPr>
            <w:tcW w:w="5340" w:type="dxa"/>
            <w:vAlign w:val="bottom"/>
            <w:gridSpan w:val="2"/>
          </w:tcPr>
          <w:p>
            <w:pPr>
              <w:ind w:left="100"/>
              <w:spacing w:after="0"/>
              <w:rPr>
                <w:sz w:val="20"/>
                <w:szCs w:val="20"/>
                <w:color w:val="auto"/>
              </w:rPr>
            </w:pPr>
            <w:r>
              <w:rPr>
                <w:rFonts w:ascii="Arial" w:cs="Arial" w:eastAsia="Arial" w:hAnsi="Arial"/>
                <w:sz w:val="20"/>
                <w:szCs w:val="20"/>
                <w:b w:val="1"/>
                <w:bCs w:val="1"/>
                <w:color w:val="auto"/>
              </w:rPr>
              <w:t>Chief Executive Officer and Director</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27"/>
        </w:trPr>
        <w:tc>
          <w:tcPr>
            <w:tcW w:w="3120" w:type="dxa"/>
            <w:vAlign w:val="bottom"/>
          </w:tcPr>
          <w:p>
            <w:pPr>
              <w:spacing w:after="0" w:line="228" w:lineRule="exact"/>
              <w:rPr>
                <w:sz w:val="20"/>
                <w:szCs w:val="20"/>
                <w:color w:val="auto"/>
              </w:rPr>
            </w:pPr>
            <w:r>
              <w:rPr>
                <w:rFonts w:ascii="Arial" w:cs="Arial" w:eastAsia="Arial" w:hAnsi="Arial"/>
                <w:sz w:val="20"/>
                <w:szCs w:val="20"/>
                <w:b w:val="1"/>
                <w:bCs w:val="1"/>
                <w:color w:val="auto"/>
              </w:rPr>
              <w:t>David Hering, M.B.A.</w:t>
            </w:r>
          </w:p>
        </w:tc>
        <w:tc>
          <w:tcPr>
            <w:tcW w:w="100" w:type="dxa"/>
            <w:vAlign w:val="bottom"/>
          </w:tcPr>
          <w:p>
            <w:pPr>
              <w:spacing w:after="0"/>
              <w:rPr>
                <w:sz w:val="19"/>
                <w:szCs w:val="19"/>
                <w:color w:val="auto"/>
              </w:rPr>
            </w:pPr>
          </w:p>
        </w:tc>
        <w:tc>
          <w:tcPr>
            <w:tcW w:w="5240" w:type="dxa"/>
            <w:vAlign w:val="bottom"/>
          </w:tcPr>
          <w:p>
            <w:pPr>
              <w:ind w:left="60"/>
              <w:spacing w:after="0" w:line="228" w:lineRule="exact"/>
              <w:rPr>
                <w:sz w:val="20"/>
                <w:szCs w:val="20"/>
                <w:color w:val="auto"/>
              </w:rPr>
            </w:pPr>
            <w:r>
              <w:rPr>
                <w:rFonts w:ascii="Arial" w:cs="Arial" w:eastAsia="Arial" w:hAnsi="Arial"/>
                <w:sz w:val="20"/>
                <w:szCs w:val="20"/>
                <w:b w:val="1"/>
                <w:bCs w:val="1"/>
                <w:color w:val="auto"/>
              </w:rPr>
              <w:t>(Principal Executive Officer)</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50"/>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Frederick W. Driscoll</w:t>
            </w:r>
          </w:p>
        </w:tc>
        <w:tc>
          <w:tcPr>
            <w:tcW w:w="100" w:type="dxa"/>
            <w:vAlign w:val="bottom"/>
          </w:tcPr>
          <w:p>
            <w:pPr>
              <w:spacing w:after="0"/>
              <w:rPr>
                <w:sz w:val="24"/>
                <w:szCs w:val="24"/>
                <w:color w:val="auto"/>
              </w:rPr>
            </w:pPr>
          </w:p>
        </w:tc>
        <w:tc>
          <w:tcPr>
            <w:tcW w:w="5240" w:type="dxa"/>
            <w:vAlign w:val="bottom"/>
          </w:tcPr>
          <w:p>
            <w:pPr>
              <w:ind w:left="60"/>
              <w:spacing w:after="0"/>
              <w:rPr>
                <w:sz w:val="20"/>
                <w:szCs w:val="20"/>
                <w:color w:val="auto"/>
              </w:rPr>
            </w:pPr>
            <w:r>
              <w:rPr>
                <w:rFonts w:ascii="Arial" w:cs="Arial" w:eastAsia="Arial" w:hAnsi="Arial"/>
                <w:sz w:val="20"/>
                <w:szCs w:val="20"/>
                <w:b w:val="1"/>
                <w:bCs w:val="1"/>
                <w:color w:val="auto"/>
              </w:rPr>
              <w:t>Interim Chief Financial Officer</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34"/>
        </w:trPr>
        <w:tc>
          <w:tcPr>
            <w:tcW w:w="3120" w:type="dxa"/>
            <w:vAlign w:val="bottom"/>
          </w:tcPr>
          <w:p>
            <w:pPr>
              <w:spacing w:after="0"/>
              <w:rPr>
                <w:sz w:val="20"/>
                <w:szCs w:val="20"/>
                <w:color w:val="auto"/>
              </w:rPr>
            </w:pPr>
            <w:r>
              <w:rPr>
                <w:rFonts w:ascii="Arial" w:cs="Arial" w:eastAsia="Arial" w:hAnsi="Arial"/>
                <w:sz w:val="20"/>
                <w:szCs w:val="20"/>
                <w:b w:val="1"/>
                <w:bCs w:val="1"/>
                <w:color w:val="auto"/>
              </w:rPr>
              <w:t>Frederick W. Driscoll</w:t>
            </w:r>
          </w:p>
        </w:tc>
        <w:tc>
          <w:tcPr>
            <w:tcW w:w="100" w:type="dxa"/>
            <w:vAlign w:val="bottom"/>
          </w:tcPr>
          <w:p>
            <w:pPr>
              <w:spacing w:after="0"/>
              <w:rPr>
                <w:sz w:val="20"/>
                <w:szCs w:val="20"/>
                <w:color w:val="auto"/>
              </w:rPr>
            </w:pPr>
          </w:p>
        </w:tc>
        <w:tc>
          <w:tcPr>
            <w:tcW w:w="5240" w:type="dxa"/>
            <w:vAlign w:val="bottom"/>
          </w:tcPr>
          <w:p>
            <w:pPr>
              <w:ind w:left="60"/>
              <w:spacing w:after="0"/>
              <w:rPr>
                <w:sz w:val="20"/>
                <w:szCs w:val="20"/>
                <w:color w:val="auto"/>
              </w:rPr>
            </w:pPr>
            <w:r>
              <w:rPr>
                <w:rFonts w:ascii="Arial" w:cs="Arial" w:eastAsia="Arial" w:hAnsi="Arial"/>
                <w:sz w:val="20"/>
                <w:szCs w:val="20"/>
                <w:b w:val="1"/>
                <w:bCs w:val="1"/>
                <w:color w:val="auto"/>
                <w:w w:val="89"/>
              </w:rPr>
              <w:t>(Principal Financial Officer and Principal Accounting Officer)</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50"/>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Marc Elia</w:t>
            </w:r>
          </w:p>
        </w:tc>
        <w:tc>
          <w:tcPr>
            <w:tcW w:w="5340" w:type="dxa"/>
            <w:vAlign w:val="bottom"/>
            <w:gridSpan w:val="2"/>
          </w:tcPr>
          <w:p>
            <w:pPr>
              <w:ind w:left="100"/>
              <w:spacing w:after="0"/>
              <w:rPr>
                <w:sz w:val="20"/>
                <w:szCs w:val="20"/>
                <w:color w:val="auto"/>
              </w:rPr>
            </w:pPr>
            <w:r>
              <w:rPr>
                <w:rFonts w:ascii="Arial" w:cs="Arial" w:eastAsia="Arial" w:hAnsi="Arial"/>
                <w:sz w:val="20"/>
                <w:szCs w:val="20"/>
                <w:b w:val="1"/>
                <w:bCs w:val="1"/>
                <w:color w:val="auto"/>
              </w:rPr>
              <w:t>Chair of the Board of Directors</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30"/>
        </w:trPr>
        <w:tc>
          <w:tcPr>
            <w:tcW w:w="3120" w:type="dxa"/>
            <w:vAlign w:val="bottom"/>
          </w:tcPr>
          <w:p>
            <w:pPr>
              <w:spacing w:after="0"/>
              <w:rPr>
                <w:sz w:val="20"/>
                <w:szCs w:val="20"/>
                <w:color w:val="auto"/>
              </w:rPr>
            </w:pPr>
            <w:r>
              <w:rPr>
                <w:rFonts w:ascii="Arial" w:cs="Arial" w:eastAsia="Arial" w:hAnsi="Arial"/>
                <w:sz w:val="20"/>
                <w:szCs w:val="20"/>
                <w:b w:val="1"/>
                <w:bCs w:val="1"/>
                <w:color w:val="auto"/>
              </w:rPr>
              <w:t>Marc Elia</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49"/>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Tamsin Berry</w:t>
            </w:r>
          </w:p>
        </w:tc>
        <w:tc>
          <w:tcPr>
            <w:tcW w:w="100" w:type="dxa"/>
            <w:vAlign w:val="bottom"/>
          </w:tcPr>
          <w:p>
            <w:pPr>
              <w:spacing w:after="0"/>
              <w:rPr>
                <w:sz w:val="24"/>
                <w:szCs w:val="24"/>
                <w:color w:val="auto"/>
              </w:rPr>
            </w:pPr>
          </w:p>
        </w:tc>
        <w:tc>
          <w:tcPr>
            <w:tcW w:w="5240" w:type="dxa"/>
            <w:vAlign w:val="bottom"/>
          </w:tcPr>
          <w:p>
            <w:pPr>
              <w:ind w:left="60"/>
              <w:spacing w:after="0"/>
              <w:rPr>
                <w:sz w:val="20"/>
                <w:szCs w:val="20"/>
                <w:color w:val="auto"/>
              </w:rPr>
            </w:pPr>
            <w:r>
              <w:rPr>
                <w:rFonts w:ascii="Arial" w:cs="Arial" w:eastAsia="Arial" w:hAnsi="Arial"/>
                <w:sz w:val="20"/>
                <w:szCs w:val="20"/>
                <w:b w:val="1"/>
                <w:bCs w:val="1"/>
                <w:color w:val="auto"/>
              </w:rPr>
              <w:t>Director</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28"/>
        </w:trPr>
        <w:tc>
          <w:tcPr>
            <w:tcW w:w="3120" w:type="dxa"/>
            <w:vAlign w:val="bottom"/>
          </w:tcPr>
          <w:p>
            <w:pPr>
              <w:spacing w:after="0" w:line="229" w:lineRule="exact"/>
              <w:rPr>
                <w:sz w:val="20"/>
                <w:szCs w:val="20"/>
                <w:color w:val="auto"/>
              </w:rPr>
            </w:pPr>
            <w:r>
              <w:rPr>
                <w:rFonts w:ascii="Arial" w:cs="Arial" w:eastAsia="Arial" w:hAnsi="Arial"/>
                <w:sz w:val="20"/>
                <w:szCs w:val="20"/>
                <w:b w:val="1"/>
                <w:bCs w:val="1"/>
                <w:color w:val="auto"/>
              </w:rPr>
              <w:t>Tamsin Berry</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50"/>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Tom Heyman</w:t>
            </w:r>
          </w:p>
        </w:tc>
        <w:tc>
          <w:tcPr>
            <w:tcW w:w="100" w:type="dxa"/>
            <w:vAlign w:val="bottom"/>
          </w:tcPr>
          <w:p>
            <w:pPr>
              <w:spacing w:after="0"/>
              <w:rPr>
                <w:sz w:val="24"/>
                <w:szCs w:val="24"/>
                <w:color w:val="auto"/>
              </w:rPr>
            </w:pPr>
          </w:p>
        </w:tc>
        <w:tc>
          <w:tcPr>
            <w:tcW w:w="5240" w:type="dxa"/>
            <w:vAlign w:val="bottom"/>
          </w:tcPr>
          <w:p>
            <w:pPr>
              <w:ind w:left="60"/>
              <w:spacing w:after="0"/>
              <w:rPr>
                <w:sz w:val="20"/>
                <w:szCs w:val="20"/>
                <w:color w:val="auto"/>
              </w:rPr>
            </w:pPr>
            <w:r>
              <w:rPr>
                <w:rFonts w:ascii="Arial" w:cs="Arial" w:eastAsia="Arial" w:hAnsi="Arial"/>
                <w:sz w:val="20"/>
                <w:szCs w:val="20"/>
                <w:b w:val="1"/>
                <w:bCs w:val="1"/>
                <w:color w:val="auto"/>
              </w:rPr>
              <w:t>Director</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30"/>
        </w:trPr>
        <w:tc>
          <w:tcPr>
            <w:tcW w:w="3120" w:type="dxa"/>
            <w:vAlign w:val="bottom"/>
          </w:tcPr>
          <w:p>
            <w:pPr>
              <w:spacing w:after="0"/>
              <w:rPr>
                <w:sz w:val="20"/>
                <w:szCs w:val="20"/>
                <w:color w:val="auto"/>
              </w:rPr>
            </w:pPr>
            <w:r>
              <w:rPr>
                <w:rFonts w:ascii="Arial" w:cs="Arial" w:eastAsia="Arial" w:hAnsi="Arial"/>
                <w:sz w:val="20"/>
                <w:szCs w:val="20"/>
                <w:b w:val="1"/>
                <w:bCs w:val="1"/>
                <w:color w:val="auto"/>
              </w:rPr>
              <w:t>Tom Heyman</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50"/>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Christine Lindenboom</w:t>
            </w:r>
          </w:p>
        </w:tc>
        <w:tc>
          <w:tcPr>
            <w:tcW w:w="100" w:type="dxa"/>
            <w:vAlign w:val="bottom"/>
          </w:tcPr>
          <w:p>
            <w:pPr>
              <w:spacing w:after="0"/>
              <w:rPr>
                <w:sz w:val="24"/>
                <w:szCs w:val="24"/>
                <w:color w:val="auto"/>
              </w:rPr>
            </w:pPr>
          </w:p>
        </w:tc>
        <w:tc>
          <w:tcPr>
            <w:tcW w:w="5240" w:type="dxa"/>
            <w:vAlign w:val="bottom"/>
          </w:tcPr>
          <w:p>
            <w:pPr>
              <w:ind w:left="60"/>
              <w:spacing w:after="0"/>
              <w:rPr>
                <w:sz w:val="20"/>
                <w:szCs w:val="20"/>
                <w:color w:val="auto"/>
              </w:rPr>
            </w:pPr>
            <w:r>
              <w:rPr>
                <w:rFonts w:ascii="Arial" w:cs="Arial" w:eastAsia="Arial" w:hAnsi="Arial"/>
                <w:sz w:val="20"/>
                <w:szCs w:val="20"/>
                <w:b w:val="1"/>
                <w:bCs w:val="1"/>
                <w:color w:val="auto"/>
              </w:rPr>
              <w:t>Director</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27"/>
        </w:trPr>
        <w:tc>
          <w:tcPr>
            <w:tcW w:w="3120" w:type="dxa"/>
            <w:vAlign w:val="bottom"/>
          </w:tcPr>
          <w:p>
            <w:pPr>
              <w:spacing w:after="0" w:line="228" w:lineRule="exact"/>
              <w:rPr>
                <w:sz w:val="20"/>
                <w:szCs w:val="20"/>
                <w:color w:val="auto"/>
              </w:rPr>
            </w:pPr>
            <w:r>
              <w:rPr>
                <w:rFonts w:ascii="Arial" w:cs="Arial" w:eastAsia="Arial" w:hAnsi="Arial"/>
                <w:sz w:val="20"/>
                <w:szCs w:val="20"/>
                <w:b w:val="1"/>
                <w:bCs w:val="1"/>
                <w:color w:val="auto"/>
              </w:rPr>
              <w:t>Christine Lindenboom</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50"/>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Terry McGuire</w:t>
            </w:r>
          </w:p>
        </w:tc>
        <w:tc>
          <w:tcPr>
            <w:tcW w:w="100" w:type="dxa"/>
            <w:vAlign w:val="bottom"/>
          </w:tcPr>
          <w:p>
            <w:pPr>
              <w:spacing w:after="0"/>
              <w:rPr>
                <w:sz w:val="24"/>
                <w:szCs w:val="24"/>
                <w:color w:val="auto"/>
              </w:rPr>
            </w:pPr>
          </w:p>
        </w:tc>
        <w:tc>
          <w:tcPr>
            <w:tcW w:w="5240" w:type="dxa"/>
            <w:vAlign w:val="bottom"/>
          </w:tcPr>
          <w:p>
            <w:pPr>
              <w:ind w:left="60"/>
              <w:spacing w:after="0"/>
              <w:rPr>
                <w:sz w:val="20"/>
                <w:szCs w:val="20"/>
                <w:color w:val="auto"/>
              </w:rPr>
            </w:pPr>
            <w:r>
              <w:rPr>
                <w:rFonts w:ascii="Arial" w:cs="Arial" w:eastAsia="Arial" w:hAnsi="Arial"/>
                <w:sz w:val="20"/>
                <w:szCs w:val="20"/>
                <w:b w:val="1"/>
                <w:bCs w:val="1"/>
                <w:color w:val="auto"/>
              </w:rPr>
              <w:t>Director</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30"/>
        </w:trPr>
        <w:tc>
          <w:tcPr>
            <w:tcW w:w="3120" w:type="dxa"/>
            <w:vAlign w:val="bottom"/>
          </w:tcPr>
          <w:p>
            <w:pPr>
              <w:spacing w:after="0"/>
              <w:rPr>
                <w:sz w:val="20"/>
                <w:szCs w:val="20"/>
                <w:color w:val="auto"/>
              </w:rPr>
            </w:pPr>
            <w:r>
              <w:rPr>
                <w:rFonts w:ascii="Arial" w:cs="Arial" w:eastAsia="Arial" w:hAnsi="Arial"/>
                <w:sz w:val="20"/>
                <w:szCs w:val="20"/>
                <w:b w:val="1"/>
                <w:bCs w:val="1"/>
                <w:color w:val="auto"/>
              </w:rPr>
              <w:t>Terry McGuire</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50"/>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Clive A. Meanwell, M.D.</w:t>
            </w:r>
          </w:p>
        </w:tc>
        <w:tc>
          <w:tcPr>
            <w:tcW w:w="100" w:type="dxa"/>
            <w:vAlign w:val="bottom"/>
          </w:tcPr>
          <w:p>
            <w:pPr>
              <w:spacing w:after="0"/>
              <w:rPr>
                <w:sz w:val="24"/>
                <w:szCs w:val="24"/>
                <w:color w:val="auto"/>
              </w:rPr>
            </w:pPr>
          </w:p>
        </w:tc>
        <w:tc>
          <w:tcPr>
            <w:tcW w:w="5240" w:type="dxa"/>
            <w:vAlign w:val="bottom"/>
          </w:tcPr>
          <w:p>
            <w:pPr>
              <w:ind w:left="60"/>
              <w:spacing w:after="0"/>
              <w:rPr>
                <w:sz w:val="20"/>
                <w:szCs w:val="20"/>
                <w:color w:val="auto"/>
              </w:rPr>
            </w:pPr>
            <w:r>
              <w:rPr>
                <w:rFonts w:ascii="Arial" w:cs="Arial" w:eastAsia="Arial" w:hAnsi="Arial"/>
                <w:sz w:val="20"/>
                <w:szCs w:val="20"/>
                <w:b w:val="1"/>
                <w:bCs w:val="1"/>
                <w:color w:val="auto"/>
              </w:rPr>
              <w:t>Director</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27"/>
        </w:trPr>
        <w:tc>
          <w:tcPr>
            <w:tcW w:w="3120" w:type="dxa"/>
            <w:vAlign w:val="bottom"/>
          </w:tcPr>
          <w:p>
            <w:pPr>
              <w:spacing w:after="0" w:line="227" w:lineRule="exact"/>
              <w:rPr>
                <w:sz w:val="20"/>
                <w:szCs w:val="20"/>
                <w:color w:val="auto"/>
              </w:rPr>
            </w:pPr>
            <w:r>
              <w:rPr>
                <w:rFonts w:ascii="Arial" w:cs="Arial" w:eastAsia="Arial" w:hAnsi="Arial"/>
                <w:sz w:val="20"/>
                <w:szCs w:val="20"/>
                <w:b w:val="1"/>
                <w:bCs w:val="1"/>
                <w:color w:val="auto"/>
              </w:rPr>
              <w:t>Clive A. Meanwell, M.D.</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50"/>
        </w:trPr>
        <w:tc>
          <w:tcPr>
            <w:tcW w:w="3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 Michael S. Wyzga</w:t>
            </w:r>
          </w:p>
        </w:tc>
        <w:tc>
          <w:tcPr>
            <w:tcW w:w="100" w:type="dxa"/>
            <w:vAlign w:val="bottom"/>
          </w:tcPr>
          <w:p>
            <w:pPr>
              <w:spacing w:after="0"/>
              <w:rPr>
                <w:sz w:val="24"/>
                <w:szCs w:val="24"/>
                <w:color w:val="auto"/>
              </w:rPr>
            </w:pPr>
          </w:p>
        </w:tc>
        <w:tc>
          <w:tcPr>
            <w:tcW w:w="5240" w:type="dxa"/>
            <w:vAlign w:val="bottom"/>
          </w:tcPr>
          <w:p>
            <w:pPr>
              <w:ind w:left="60"/>
              <w:spacing w:after="0"/>
              <w:rPr>
                <w:sz w:val="20"/>
                <w:szCs w:val="20"/>
                <w:color w:val="auto"/>
              </w:rPr>
            </w:pPr>
            <w:r>
              <w:rPr>
                <w:rFonts w:ascii="Arial" w:cs="Arial" w:eastAsia="Arial" w:hAnsi="Arial"/>
                <w:sz w:val="20"/>
                <w:szCs w:val="20"/>
                <w:b w:val="1"/>
                <w:bCs w:val="1"/>
                <w:color w:val="auto"/>
              </w:rPr>
              <w:t>Director</w:t>
            </w:r>
          </w:p>
        </w:tc>
        <w:tc>
          <w:tcPr>
            <w:tcW w:w="12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20"/>
                <w:szCs w:val="20"/>
                <w:b w:val="1"/>
                <w:bCs w:val="1"/>
                <w:color w:val="auto"/>
              </w:rPr>
              <w:t>March 23, 2023</w:t>
            </w:r>
          </w:p>
        </w:tc>
      </w:tr>
      <w:tr>
        <w:trPr>
          <w:trHeight w:val="230"/>
        </w:trPr>
        <w:tc>
          <w:tcPr>
            <w:tcW w:w="3120" w:type="dxa"/>
            <w:vAlign w:val="bottom"/>
          </w:tcPr>
          <w:p>
            <w:pPr>
              <w:spacing w:after="0"/>
              <w:rPr>
                <w:sz w:val="20"/>
                <w:szCs w:val="20"/>
                <w:color w:val="auto"/>
              </w:rPr>
            </w:pPr>
            <w:r>
              <w:rPr>
                <w:rFonts w:ascii="Arial" w:cs="Arial" w:eastAsia="Arial" w:hAnsi="Arial"/>
                <w:sz w:val="20"/>
                <w:szCs w:val="20"/>
                <w:b w:val="1"/>
                <w:bCs w:val="1"/>
                <w:color w:val="auto"/>
              </w:rPr>
              <w:t>Michael S. Wyzga</w:t>
            </w:r>
          </w:p>
        </w:tc>
        <w:tc>
          <w:tcPr>
            <w:tcW w:w="10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1983740</wp:posOffset>
                </wp:positionH>
                <wp:positionV relativeFrom="paragraph">
                  <wp:posOffset>-3426460</wp:posOffset>
                </wp:positionV>
                <wp:extent cx="64135" cy="0"/>
                <wp:wrapNone/>
                <wp:docPr id="499" name="Shape 4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499" o:spid="_x0000_s15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269.7999pt" to="161.25pt,-269.7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5377815</wp:posOffset>
                </wp:positionH>
                <wp:positionV relativeFrom="paragraph">
                  <wp:posOffset>-3426460</wp:posOffset>
                </wp:positionV>
                <wp:extent cx="64135" cy="0"/>
                <wp:wrapNone/>
                <wp:docPr id="500" name="Shape 5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0" o:spid="_x0000_s15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3.45pt,-269.7999pt" to="428.5pt,-269.7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-3201035</wp:posOffset>
                </wp:positionV>
                <wp:extent cx="64135" cy="0"/>
                <wp:wrapNone/>
                <wp:docPr id="501" name="Shape 5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1" o:spid="_x0000_s15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252.0499pt" to="161.25pt,-252.0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-2821305</wp:posOffset>
                </wp:positionV>
                <wp:extent cx="64135" cy="0"/>
                <wp:wrapNone/>
                <wp:docPr id="502" name="Shape 5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2" o:spid="_x0000_s15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222.1499pt" to="161.25pt,-222.1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-2437130</wp:posOffset>
                </wp:positionV>
                <wp:extent cx="64135" cy="0"/>
                <wp:wrapNone/>
                <wp:docPr id="503" name="Shape 5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3" o:spid="_x0000_s15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191.8999pt" to="161.25pt,-191.8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-2056130</wp:posOffset>
                </wp:positionV>
                <wp:extent cx="64135" cy="0"/>
                <wp:wrapNone/>
                <wp:docPr id="504" name="Shape 5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4" o:spid="_x0000_s15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161.8999pt" to="161.25pt,-161.89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-1677035</wp:posOffset>
                </wp:positionV>
                <wp:extent cx="64135" cy="0"/>
                <wp:wrapNone/>
                <wp:docPr id="505" name="Shape 5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5" o:spid="_x0000_s15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132.0499pt" to="161.25pt,-132.0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-1296035</wp:posOffset>
                </wp:positionV>
                <wp:extent cx="64135" cy="0"/>
                <wp:wrapNone/>
                <wp:docPr id="506" name="Shape 5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6" o:spid="_x0000_s15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102.0499pt" to="161.25pt,-102.0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-916305</wp:posOffset>
                </wp:positionV>
                <wp:extent cx="64135" cy="0"/>
                <wp:wrapNone/>
                <wp:docPr id="507" name="Shape 5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7" o:spid="_x0000_s15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72.1499pt" to="161.25pt,-72.1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-535305</wp:posOffset>
                </wp:positionV>
                <wp:extent cx="64135" cy="0"/>
                <wp:wrapNone/>
                <wp:docPr id="508" name="Shape 5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8" o:spid="_x0000_s15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42.1499pt" to="161.25pt,-42.1499pt" o:allowincell="f" strokecolor="#FFFFFF" strokeweight="0.36pt"/>
            </w:pict>
          </mc:Fallback>
        </mc:AlternateContent>
        <mc:AlternateContent>
          <mc:Choice Requires="wps">
            <w:drawing>
              <wp:anchor simplePos="0" relativeHeight="251657728" behindDoc="1" locked="0" layoutInCell="0" allowOverlap="1">
                <wp:simplePos x="0" y="0"/>
                <wp:positionH relativeFrom="column">
                  <wp:posOffset>1983740</wp:posOffset>
                </wp:positionH>
                <wp:positionV relativeFrom="paragraph">
                  <wp:posOffset>-155575</wp:posOffset>
                </wp:positionV>
                <wp:extent cx="64135" cy="0"/>
                <wp:wrapNone/>
                <wp:docPr id="509" name="Shape 5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135" cy="4763"/>
                        </a:xfrm>
                        <a:prstGeom prst="line">
                          <a:avLst/>
                        </a:prstGeom>
                        <a:solidFill>
                          <a:srgbClr val="FFFFFF"/>
                        </a:solidFill>
                        <a:ln w="4572">
                          <a:solidFill>
                            <a:srgbClr val="FFFFFF"/>
                          </a:solidFill>
                          <a:miter lim="800000"/>
                          <a:headEnd/>
                          <a:tailEnd/>
                        </a:ln>
                      </wps:spPr>
                      <wps:bodyPr/>
                    </wps:wsp>
                  </a:graphicData>
                </a:graphic>
              </wp:anchor>
            </w:drawing>
          </mc:Choice>
          <mc:Fallback>
            <w:pict>
              <v:line id="Shape 509" o:spid="_x0000_s15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6.2pt,-12.2499pt" to="161.25pt,-12.2499pt" o:allowincell="f" strokecolor="#FFFFFF" strokeweight="0.36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118</w:t>
      </w:r>
    </w:p>
    <w:p>
      <w:pPr>
        <w:sectPr>
          <w:pgSz w:w="12240" w:h="15840" w:orient="portrait"/>
          <w:cols w:equalWidth="0" w:num="1">
            <w:col w:w="10080"/>
          </w:cols>
          <w:pgMar w:left="1080" w:top="1079" w:right="1080" w:bottom="157"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20"/>
          <w:szCs w:val="20"/>
          <w:b w:val="1"/>
          <w:bCs w:val="1"/>
          <w:color w:val="auto"/>
        </w:rPr>
        <w:t>INDEX TO CONSOLIDATED FINANCIAL STATEMENTS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tcPr>
          <w:p>
            <w:pPr>
              <w:spacing w:after="0"/>
              <w:rPr>
                <w:sz w:val="16"/>
                <w:szCs w:val="16"/>
                <w:color w:val="auto"/>
              </w:rPr>
            </w:pPr>
          </w:p>
        </w:tc>
        <w:tc>
          <w:tcPr>
            <w:tcW w:w="820" w:type="dxa"/>
            <w:vAlign w:val="bottom"/>
          </w:tcPr>
          <w:p>
            <w:pPr>
              <w:ind w:left="160"/>
              <w:spacing w:after="0"/>
              <w:rPr>
                <w:sz w:val="20"/>
                <w:szCs w:val="20"/>
                <w:color w:val="auto"/>
              </w:rPr>
            </w:pPr>
            <w:r>
              <w:rPr>
                <w:rFonts w:ascii="Arial" w:cs="Arial" w:eastAsia="Arial" w:hAnsi="Arial"/>
                <w:sz w:val="16"/>
                <w:szCs w:val="16"/>
                <w:b w:val="1"/>
                <w:bCs w:val="1"/>
                <w:color w:val="auto"/>
              </w:rPr>
              <w:t>Page</w:t>
            </w:r>
          </w:p>
        </w:tc>
      </w:tr>
      <w:tr>
        <w:trPr>
          <w:trHeight w:val="265"/>
        </w:trPr>
        <w:tc>
          <w:tcPr>
            <w:tcW w:w="9240" w:type="dxa"/>
            <w:vAlign w:val="bottom"/>
          </w:tcPr>
          <w:p>
            <w:pPr>
              <w:spacing w:after="0"/>
              <w:rPr>
                <w:sz w:val="20"/>
                <w:szCs w:val="20"/>
                <w:color w:val="auto"/>
              </w:rPr>
            </w:pPr>
            <w:r>
              <w:rPr>
                <w:rFonts w:ascii="Arial" w:cs="Arial" w:eastAsia="Arial" w:hAnsi="Arial"/>
                <w:sz w:val="20"/>
                <w:szCs w:val="20"/>
                <w:b w:val="1"/>
                <w:bCs w:val="1"/>
                <w:color w:val="auto"/>
                <w:w w:val="89"/>
              </w:rPr>
              <w:t>Report of Independent Registered Public Accounting Firm (PCAOB ID 238)..........................................................</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w w:val="79"/>
              </w:rPr>
              <w:t>F-2</w:t>
            </w:r>
          </w:p>
        </w:tc>
      </w:tr>
      <w:tr>
        <w:trPr>
          <w:trHeight w:val="250"/>
        </w:trPr>
        <w:tc>
          <w:tcPr>
            <w:tcW w:w="9240" w:type="dxa"/>
            <w:vAlign w:val="bottom"/>
          </w:tcPr>
          <w:p>
            <w:pPr>
              <w:spacing w:after="0"/>
              <w:rPr>
                <w:sz w:val="20"/>
                <w:szCs w:val="20"/>
                <w:color w:val="auto"/>
              </w:rPr>
            </w:pPr>
            <w:r>
              <w:rPr>
                <w:rFonts w:ascii="Arial" w:cs="Arial" w:eastAsia="Arial" w:hAnsi="Arial"/>
                <w:sz w:val="20"/>
                <w:szCs w:val="20"/>
                <w:b w:val="1"/>
                <w:bCs w:val="1"/>
                <w:color w:val="auto"/>
                <w:w w:val="89"/>
              </w:rPr>
              <w:t>Consolidated Balance Sheets ......................................................................................................................................</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w w:val="79"/>
              </w:rPr>
              <w:t>F-3</w:t>
            </w:r>
          </w:p>
        </w:tc>
      </w:tr>
      <w:tr>
        <w:trPr>
          <w:trHeight w:val="250"/>
        </w:trPr>
        <w:tc>
          <w:tcPr>
            <w:tcW w:w="9240" w:type="dxa"/>
            <w:vAlign w:val="bottom"/>
          </w:tcPr>
          <w:p>
            <w:pPr>
              <w:spacing w:after="0"/>
              <w:rPr>
                <w:sz w:val="20"/>
                <w:szCs w:val="20"/>
                <w:color w:val="auto"/>
              </w:rPr>
            </w:pPr>
            <w:r>
              <w:rPr>
                <w:rFonts w:ascii="Arial" w:cs="Arial" w:eastAsia="Arial" w:hAnsi="Arial"/>
                <w:sz w:val="20"/>
                <w:szCs w:val="20"/>
                <w:b w:val="1"/>
                <w:bCs w:val="1"/>
                <w:color w:val="auto"/>
                <w:w w:val="87"/>
              </w:rPr>
              <w:t>Consolidated Statements of Operations and Comprehensive Loss.............................................................................</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w w:val="79"/>
              </w:rPr>
              <w:t>F-4</w:t>
            </w:r>
          </w:p>
        </w:tc>
      </w:tr>
      <w:tr>
        <w:trPr>
          <w:trHeight w:val="250"/>
        </w:trPr>
        <w:tc>
          <w:tcPr>
            <w:tcW w:w="9240" w:type="dxa"/>
            <w:vAlign w:val="bottom"/>
          </w:tcPr>
          <w:p>
            <w:pPr>
              <w:spacing w:after="0"/>
              <w:rPr>
                <w:sz w:val="20"/>
                <w:szCs w:val="20"/>
                <w:color w:val="auto"/>
              </w:rPr>
            </w:pPr>
            <w:r>
              <w:rPr>
                <w:rFonts w:ascii="Arial" w:cs="Arial" w:eastAsia="Arial" w:hAnsi="Arial"/>
                <w:sz w:val="20"/>
                <w:szCs w:val="20"/>
                <w:b w:val="1"/>
                <w:bCs w:val="1"/>
                <w:color w:val="auto"/>
                <w:w w:val="87"/>
              </w:rPr>
              <w:t>Consolidated Statements of Convertible Preferred Stock and Stockholders’ Equity (Deficit) ..................................</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w w:val="79"/>
              </w:rPr>
              <w:t>F-5</w:t>
            </w:r>
          </w:p>
        </w:tc>
      </w:tr>
      <w:tr>
        <w:trPr>
          <w:trHeight w:val="250"/>
        </w:trPr>
        <w:tc>
          <w:tcPr>
            <w:tcW w:w="9240" w:type="dxa"/>
            <w:vAlign w:val="bottom"/>
          </w:tcPr>
          <w:p>
            <w:pPr>
              <w:spacing w:after="0"/>
              <w:rPr>
                <w:sz w:val="20"/>
                <w:szCs w:val="20"/>
                <w:color w:val="auto"/>
              </w:rPr>
            </w:pPr>
            <w:r>
              <w:rPr>
                <w:rFonts w:ascii="Arial" w:cs="Arial" w:eastAsia="Arial" w:hAnsi="Arial"/>
                <w:sz w:val="20"/>
                <w:szCs w:val="20"/>
                <w:b w:val="1"/>
                <w:bCs w:val="1"/>
                <w:color w:val="auto"/>
                <w:w w:val="89"/>
              </w:rPr>
              <w:t>Consolidated Statements of Cash Flows.....................................................................................................................</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w w:val="79"/>
              </w:rPr>
              <w:t>F-7</w:t>
            </w:r>
          </w:p>
        </w:tc>
      </w:tr>
      <w:tr>
        <w:trPr>
          <w:trHeight w:val="252"/>
        </w:trPr>
        <w:tc>
          <w:tcPr>
            <w:tcW w:w="9240" w:type="dxa"/>
            <w:vAlign w:val="bottom"/>
          </w:tcPr>
          <w:p>
            <w:pPr>
              <w:spacing w:after="0"/>
              <w:rPr>
                <w:sz w:val="20"/>
                <w:szCs w:val="20"/>
                <w:color w:val="auto"/>
              </w:rPr>
            </w:pPr>
            <w:r>
              <w:rPr>
                <w:rFonts w:ascii="Arial" w:cs="Arial" w:eastAsia="Arial" w:hAnsi="Arial"/>
                <w:sz w:val="20"/>
                <w:szCs w:val="20"/>
                <w:b w:val="1"/>
                <w:bCs w:val="1"/>
                <w:color w:val="auto"/>
                <w:w w:val="89"/>
              </w:rPr>
              <w:t>Notes to Consolidated Financial Statements...............................................................................................................</w:t>
            </w:r>
          </w:p>
        </w:tc>
        <w:tc>
          <w:tcPr>
            <w:tcW w:w="820" w:type="dxa"/>
            <w:vAlign w:val="bottom"/>
          </w:tcPr>
          <w:p>
            <w:pPr>
              <w:ind w:left="560"/>
              <w:spacing w:after="0"/>
              <w:rPr>
                <w:sz w:val="20"/>
                <w:szCs w:val="20"/>
                <w:color w:val="auto"/>
              </w:rPr>
            </w:pPr>
            <w:r>
              <w:rPr>
                <w:rFonts w:ascii="Arial" w:cs="Arial" w:eastAsia="Arial" w:hAnsi="Arial"/>
                <w:sz w:val="20"/>
                <w:szCs w:val="20"/>
                <w:b w:val="1"/>
                <w:bCs w:val="1"/>
                <w:color w:val="auto"/>
                <w:w w:val="79"/>
              </w:rPr>
              <w:t>F-8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5754370</wp:posOffset>
            </wp:positionH>
            <wp:positionV relativeFrom="paragraph">
              <wp:posOffset>-949325</wp:posOffset>
            </wp:positionV>
            <wp:extent cx="641350" cy="120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497">
                      <a:extLst>
                        <a:ext uri="{28A0092B-C50C-407E-A947-70E740481C1C}"/>
                      </a:extLst>
                    </a:blip>
                    <a:srcRect/>
                    <a:stretch>
                      <a:fillRect/>
                    </a:stretch>
                  </pic:blipFill>
                  <pic:spPr bwMode="auto">
                    <a:xfrm>
                      <a:off x="0" y="0"/>
                      <a:ext cx="641350" cy="12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F-1</w:t>
      </w:r>
    </w:p>
    <w:p>
      <w:pPr>
        <w:sectPr>
          <w:pgSz w:w="12240" w:h="15840" w:orient="portrait"/>
          <w:cols w:equalWidth="0" w:num="1">
            <w:col w:w="10060"/>
          </w:cols>
          <w:pgMar w:left="1080" w:top="1079" w:right="1100" w:bottom="157" w:gutter="0" w:footer="0" w:header="0"/>
        </w:sectPr>
      </w:pPr>
    </w:p>
    <w:bookmarkStart w:id="121" w:name="page122"/>
    <w:bookmarkEnd w:id="121"/>
    <w:p>
      <w:pPr>
        <w:ind w:left="162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Board of Directors and Stockholders of Invivyd, Inc.</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41" w:lineRule="exact"/>
        <w:rPr>
          <w:sz w:val="20"/>
          <w:szCs w:val="20"/>
          <w:color w:val="auto"/>
        </w:rPr>
      </w:pPr>
    </w:p>
    <w:p>
      <w:pPr>
        <w:ind w:right="200"/>
        <w:spacing w:after="0" w:line="269" w:lineRule="auto"/>
        <w:rPr>
          <w:sz w:val="20"/>
          <w:szCs w:val="20"/>
          <w:color w:val="auto"/>
        </w:rPr>
      </w:pPr>
      <w:r>
        <w:rPr>
          <w:rFonts w:ascii="Arial" w:cs="Arial" w:eastAsia="Arial" w:hAnsi="Arial"/>
          <w:sz w:val="18"/>
          <w:szCs w:val="18"/>
          <w:b w:val="1"/>
          <w:bCs w:val="1"/>
          <w:color w:val="auto"/>
        </w:rPr>
        <w:t>We have audited the accompanying consolidated balance sheets of Invivyd, Inc. and its subsidiaries (the “Company”) as of December 31, 2022 and 2021, and the related consolidated statements of operations and comprehensive loss, of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spacing w:after="0" w:line="333" w:lineRule="auto"/>
        <w:rPr>
          <w:sz w:val="20"/>
          <w:szCs w:val="20"/>
          <w:color w:val="auto"/>
        </w:rPr>
      </w:pPr>
      <w:r>
        <w:rPr>
          <w:rFonts w:ascii="Arial" w:cs="Arial" w:eastAsia="Arial" w:hAnsi="Arial"/>
          <w:sz w:val="15"/>
          <w:szCs w:val="15"/>
          <w:b w:val="1"/>
          <w:bCs w:val="1"/>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b w:val="1"/>
          <w:bCs w:val="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PricewaterhouseCoopers LLP</w:t>
      </w:r>
    </w:p>
    <w:p>
      <w:pPr>
        <w:spacing w:after="0"/>
        <w:rPr>
          <w:sz w:val="20"/>
          <w:szCs w:val="20"/>
          <w:color w:val="auto"/>
        </w:rPr>
      </w:pPr>
      <w:r>
        <w:rPr>
          <w:rFonts w:ascii="Arial" w:cs="Arial" w:eastAsia="Arial" w:hAnsi="Arial"/>
          <w:sz w:val="20"/>
          <w:szCs w:val="20"/>
          <w:b w:val="1"/>
          <w:bCs w:val="1"/>
          <w:color w:val="auto"/>
        </w:rPr>
        <w:t>Boston, Massachusetts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23, 2023</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F-2</w:t>
      </w:r>
    </w:p>
    <w:p>
      <w:pPr>
        <w:sectPr>
          <w:pgSz w:w="12240" w:h="15840" w:orient="portrait"/>
          <w:cols w:equalWidth="0" w:num="1">
            <w:col w:w="10060"/>
          </w:cols>
          <w:pgMar w:left="1080" w:top="1079" w:right="1100" w:bottom="157" w:gutter="0" w:footer="0" w:header="0"/>
        </w:sectPr>
      </w:pPr>
    </w:p>
    <w:bookmarkStart w:id="122" w:name="page123"/>
    <w:bookmarkEnd w:id="122"/>
    <w:p>
      <w:pPr>
        <w:jc w:val="center"/>
        <w:ind w:right="-39"/>
        <w:spacing w:after="0"/>
        <w:rPr>
          <w:sz w:val="20"/>
          <w:szCs w:val="20"/>
          <w:color w:val="auto"/>
        </w:rPr>
      </w:pPr>
      <w:r>
        <w:rPr>
          <w:rFonts w:ascii="Arial" w:cs="Arial" w:eastAsia="Arial" w:hAnsi="Arial"/>
          <w:sz w:val="20"/>
          <w:szCs w:val="20"/>
          <w:b w:val="1"/>
          <w:bCs w:val="1"/>
          <w:color w:val="auto"/>
        </w:rPr>
        <w:t>INVIVYD, INC.</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BALANCE SHEETS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6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2"/>
              <w:spacing w:after="0" w:line="175" w:lineRule="exact"/>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1"/>
              <w:spacing w:after="0" w:line="175"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r>
      <w:tr>
        <w:trPr>
          <w:trHeight w:val="220"/>
        </w:trPr>
        <w:tc>
          <w:tcPr>
            <w:tcW w:w="6960" w:type="dxa"/>
            <w:vAlign w:val="bottom"/>
          </w:tcPr>
          <w:p>
            <w:pPr>
              <w:spacing w:after="0" w:line="220" w:lineRule="exact"/>
              <w:rPr>
                <w:sz w:val="20"/>
                <w:szCs w:val="20"/>
                <w:color w:val="auto"/>
              </w:rPr>
            </w:pPr>
            <w:r>
              <w:rPr>
                <w:rFonts w:ascii="Arial" w:cs="Arial" w:eastAsia="Arial" w:hAnsi="Arial"/>
                <w:sz w:val="20"/>
                <w:szCs w:val="20"/>
                <w:b w:val="1"/>
                <w:bCs w:val="1"/>
                <w:color w:val="auto"/>
              </w:rPr>
              <w:t>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Current assets: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960" w:type="dxa"/>
            <w:vAlign w:val="bottom"/>
          </w:tcPr>
          <w:p>
            <w:pPr>
              <w:ind w:left="200"/>
              <w:spacing w:after="0"/>
              <w:rPr>
                <w:sz w:val="20"/>
                <w:szCs w:val="20"/>
                <w:color w:val="auto"/>
              </w:rPr>
            </w:pPr>
            <w:r>
              <w:rPr>
                <w:rFonts w:ascii="Arial" w:cs="Arial" w:eastAsia="Arial" w:hAnsi="Arial"/>
                <w:sz w:val="20"/>
                <w:szCs w:val="20"/>
                <w:b w:val="1"/>
                <w:bCs w:val="1"/>
                <w:color w:val="auto"/>
              </w:rPr>
              <w:t>Cash and cash equivalents</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1320" w:type="dxa"/>
            <w:vAlign w:val="bottom"/>
            <w:gridSpan w:val="3"/>
          </w:tcPr>
          <w:p>
            <w:pPr>
              <w:jc w:val="right"/>
              <w:ind w:right="260"/>
              <w:spacing w:after="0"/>
              <w:rPr>
                <w:sz w:val="20"/>
                <w:szCs w:val="20"/>
                <w:color w:val="auto"/>
              </w:rPr>
            </w:pPr>
            <w:r>
              <w:rPr>
                <w:rFonts w:ascii="Arial" w:cs="Arial" w:eastAsia="Arial" w:hAnsi="Arial"/>
                <w:sz w:val="20"/>
                <w:szCs w:val="20"/>
                <w:b w:val="1"/>
                <w:bCs w:val="1"/>
                <w:color w:val="auto"/>
              </w:rPr>
              <w:t>92,076</w:t>
            </w:r>
          </w:p>
        </w:tc>
        <w:tc>
          <w:tcPr>
            <w:tcW w:w="440" w:type="dxa"/>
            <w:vAlign w:val="bottom"/>
          </w:tcPr>
          <w:p>
            <w:pPr>
              <w:jc w:val="right"/>
              <w:ind w:right="240"/>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542,224</w:t>
            </w:r>
          </w:p>
        </w:tc>
        <w:tc>
          <w:tcPr>
            <w:tcW w:w="60" w:type="dxa"/>
            <w:vAlign w:val="bottom"/>
          </w:tcPr>
          <w:p>
            <w:pPr>
              <w:spacing w:after="0"/>
              <w:rPr>
                <w:sz w:val="20"/>
                <w:szCs w:val="20"/>
                <w:color w:val="auto"/>
              </w:rPr>
            </w:pPr>
          </w:p>
        </w:tc>
      </w:tr>
      <w:tr>
        <w:trPr>
          <w:trHeight w:val="228"/>
        </w:trPr>
        <w:tc>
          <w:tcPr>
            <w:tcW w:w="696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Marketable securities</w:t>
            </w:r>
          </w:p>
        </w:tc>
        <w:tc>
          <w:tcPr>
            <w:tcW w:w="320" w:type="dxa"/>
            <w:vAlign w:val="bottom"/>
          </w:tcPr>
          <w:p>
            <w:pPr>
              <w:spacing w:after="0"/>
              <w:rPr>
                <w:sz w:val="19"/>
                <w:szCs w:val="19"/>
                <w:color w:val="auto"/>
              </w:rPr>
            </w:pPr>
          </w:p>
        </w:tc>
        <w:tc>
          <w:tcPr>
            <w:tcW w:w="10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279,915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49,194</w:t>
            </w:r>
          </w:p>
        </w:tc>
      </w:tr>
      <w:tr>
        <w:trPr>
          <w:trHeight w:val="230"/>
        </w:trPr>
        <w:tc>
          <w:tcPr>
            <w:tcW w:w="6960" w:type="dxa"/>
            <w:vAlign w:val="bottom"/>
          </w:tcPr>
          <w:p>
            <w:pPr>
              <w:ind w:left="200"/>
              <w:spacing w:after="0"/>
              <w:rPr>
                <w:sz w:val="20"/>
                <w:szCs w:val="20"/>
                <w:color w:val="auto"/>
              </w:rPr>
            </w:pPr>
            <w:r>
              <w:rPr>
                <w:rFonts w:ascii="Arial" w:cs="Arial" w:eastAsia="Arial" w:hAnsi="Arial"/>
                <w:sz w:val="20"/>
                <w:szCs w:val="20"/>
                <w:b w:val="1"/>
                <w:bCs w:val="1"/>
                <w:color w:val="auto"/>
              </w:rPr>
              <w:t>Prepaid expenses and other current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4,926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25,293</w:t>
            </w:r>
          </w:p>
        </w:tc>
      </w:tr>
      <w:tr>
        <w:trPr>
          <w:trHeight w:val="220"/>
        </w:trPr>
        <w:tc>
          <w:tcPr>
            <w:tcW w:w="696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current assets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376,917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616,711</w:t>
            </w:r>
          </w:p>
        </w:tc>
        <w:tc>
          <w:tcPr>
            <w:tcW w:w="60" w:type="dxa"/>
            <w:vAlign w:val="bottom"/>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Property and equipment, net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2,282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83</w:t>
            </w: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Operating lease right-of-use assets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3,777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Other non-current assets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191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3,297</w:t>
            </w:r>
          </w:p>
        </w:tc>
        <w:tc>
          <w:tcPr>
            <w:tcW w:w="60" w:type="dxa"/>
            <w:vAlign w:val="bottom"/>
          </w:tcPr>
          <w:p>
            <w:pPr>
              <w:spacing w:after="0"/>
              <w:rPr>
                <w:sz w:val="20"/>
                <w:szCs w:val="20"/>
                <w:color w:val="auto"/>
              </w:rPr>
            </w:pPr>
          </w:p>
        </w:tc>
      </w:tr>
      <w:tr>
        <w:trPr>
          <w:trHeight w:val="220"/>
        </w:trPr>
        <w:tc>
          <w:tcPr>
            <w:tcW w:w="696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assets</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383,167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ind w:right="240"/>
              <w:spacing w:after="0" w:line="220" w:lineRule="exact"/>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620,091</w:t>
            </w:r>
          </w:p>
        </w:tc>
        <w:tc>
          <w:tcPr>
            <w:tcW w:w="60" w:type="dxa"/>
            <w:vAlign w:val="bottom"/>
          </w:tcPr>
          <w:p>
            <w:pPr>
              <w:spacing w:after="0"/>
              <w:rPr>
                <w:sz w:val="19"/>
                <w:szCs w:val="19"/>
                <w:color w:val="auto"/>
              </w:rPr>
            </w:pPr>
          </w:p>
        </w:tc>
      </w:tr>
      <w:tr>
        <w:trPr>
          <w:trHeight w:val="274"/>
        </w:trPr>
        <w:tc>
          <w:tcPr>
            <w:tcW w:w="6960" w:type="dxa"/>
            <w:vAlign w:val="bottom"/>
          </w:tcPr>
          <w:p>
            <w:pPr>
              <w:spacing w:after="0"/>
              <w:rPr>
                <w:sz w:val="20"/>
                <w:szCs w:val="20"/>
                <w:color w:val="auto"/>
              </w:rPr>
            </w:pPr>
            <w:r>
              <w:rPr>
                <w:rFonts w:ascii="Arial" w:cs="Arial" w:eastAsia="Arial" w:hAnsi="Arial"/>
                <w:sz w:val="20"/>
                <w:szCs w:val="20"/>
                <w:b w:val="1"/>
                <w:bCs w:val="1"/>
                <w:color w:val="auto"/>
              </w:rPr>
              <w:t>Liabilities, Convertible Preferred Stock and Stockholders’ Equity (Deficit)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Current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960" w:type="dxa"/>
            <w:vAlign w:val="bottom"/>
          </w:tcPr>
          <w:p>
            <w:pPr>
              <w:ind w:left="200"/>
              <w:spacing w:after="0"/>
              <w:rPr>
                <w:sz w:val="20"/>
                <w:szCs w:val="20"/>
                <w:color w:val="auto"/>
              </w:rPr>
            </w:pPr>
            <w:r>
              <w:rPr>
                <w:rFonts w:ascii="Arial" w:cs="Arial" w:eastAsia="Arial" w:hAnsi="Arial"/>
                <w:sz w:val="20"/>
                <w:szCs w:val="20"/>
                <w:b w:val="1"/>
                <w:bCs w:val="1"/>
                <w:color w:val="auto"/>
              </w:rPr>
              <w:t>Accounts payable</w:t>
            </w:r>
          </w:p>
        </w:tc>
        <w:tc>
          <w:tcPr>
            <w:tcW w:w="320" w:type="dxa"/>
            <w:vAlign w:val="bottom"/>
          </w:tcPr>
          <w:p>
            <w:pPr>
              <w:jc w:val="right"/>
              <w:ind w:right="120"/>
              <w:spacing w:after="0"/>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1,517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5,783</w:t>
            </w:r>
          </w:p>
        </w:tc>
        <w:tc>
          <w:tcPr>
            <w:tcW w:w="60" w:type="dxa"/>
            <w:vAlign w:val="bottom"/>
          </w:tcPr>
          <w:p>
            <w:pPr>
              <w:spacing w:after="0"/>
              <w:rPr>
                <w:sz w:val="20"/>
                <w:szCs w:val="20"/>
                <w:color w:val="auto"/>
              </w:rPr>
            </w:pPr>
          </w:p>
        </w:tc>
      </w:tr>
      <w:tr>
        <w:trPr>
          <w:trHeight w:val="230"/>
        </w:trPr>
        <w:tc>
          <w:tcPr>
            <w:tcW w:w="6960" w:type="dxa"/>
            <w:vAlign w:val="bottom"/>
          </w:tcPr>
          <w:p>
            <w:pPr>
              <w:ind w:left="200"/>
              <w:spacing w:after="0"/>
              <w:rPr>
                <w:sz w:val="20"/>
                <w:szCs w:val="20"/>
                <w:color w:val="auto"/>
              </w:rPr>
            </w:pPr>
            <w:r>
              <w:rPr>
                <w:rFonts w:ascii="Arial" w:cs="Arial" w:eastAsia="Arial" w:hAnsi="Arial"/>
                <w:sz w:val="20"/>
                <w:szCs w:val="20"/>
                <w:b w:val="1"/>
                <w:bCs w:val="1"/>
                <w:color w:val="auto"/>
              </w:rPr>
              <w:t>Accrued expenses</w:t>
            </w:r>
          </w:p>
        </w:tc>
        <w:tc>
          <w:tcPr>
            <w:tcW w:w="32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20"/>
                <w:szCs w:val="20"/>
                <w:b w:val="1"/>
                <w:bCs w:val="1"/>
                <w:color w:val="auto"/>
              </w:rPr>
              <w:t>21,911</w:t>
            </w: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56,277</w:t>
            </w:r>
          </w:p>
        </w:tc>
      </w:tr>
      <w:tr>
        <w:trPr>
          <w:trHeight w:val="230"/>
        </w:trPr>
        <w:tc>
          <w:tcPr>
            <w:tcW w:w="6960" w:type="dxa"/>
            <w:vAlign w:val="bottom"/>
          </w:tcPr>
          <w:p>
            <w:pPr>
              <w:ind w:left="200"/>
              <w:spacing w:after="0"/>
              <w:rPr>
                <w:sz w:val="20"/>
                <w:szCs w:val="20"/>
                <w:color w:val="auto"/>
              </w:rPr>
            </w:pPr>
            <w:r>
              <w:rPr>
                <w:rFonts w:ascii="Arial" w:cs="Arial" w:eastAsia="Arial" w:hAnsi="Arial"/>
                <w:sz w:val="20"/>
                <w:szCs w:val="20"/>
                <w:b w:val="1"/>
                <w:bCs w:val="1"/>
                <w:color w:val="auto"/>
              </w:rPr>
              <w:t>Operating lease liabilities, current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1,559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28"/>
        </w:trPr>
        <w:tc>
          <w:tcPr>
            <w:tcW w:w="696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Other current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20"/>
              <w:spacing w:after="0" w:line="228" w:lineRule="exact"/>
              <w:rPr>
                <w:sz w:val="20"/>
                <w:szCs w:val="20"/>
                <w:color w:val="auto"/>
              </w:rPr>
            </w:pPr>
            <w:r>
              <w:rPr>
                <w:rFonts w:ascii="Arial" w:cs="Arial" w:eastAsia="Arial" w:hAnsi="Arial"/>
                <w:sz w:val="20"/>
                <w:szCs w:val="20"/>
                <w:b w:val="1"/>
                <w:bCs w:val="1"/>
                <w:color w:val="auto"/>
              </w:rPr>
              <w:t>44</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19"/>
                <w:szCs w:val="19"/>
                <w:color w:val="auto"/>
              </w:rPr>
            </w:pPr>
          </w:p>
        </w:tc>
      </w:tr>
      <w:tr>
        <w:trPr>
          <w:trHeight w:val="220"/>
        </w:trPr>
        <w:tc>
          <w:tcPr>
            <w:tcW w:w="696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current liabilities</w:t>
            </w:r>
          </w:p>
        </w:tc>
        <w:tc>
          <w:tcPr>
            <w:tcW w:w="320" w:type="dxa"/>
            <w:vAlign w:val="bottom"/>
          </w:tcPr>
          <w:p>
            <w:pPr>
              <w:spacing w:after="0"/>
              <w:rPr>
                <w:sz w:val="19"/>
                <w:szCs w:val="19"/>
                <w:color w:val="auto"/>
              </w:rPr>
            </w:pPr>
          </w:p>
        </w:tc>
        <w:tc>
          <w:tcPr>
            <w:tcW w:w="1320" w:type="dxa"/>
            <w:vAlign w:val="bottom"/>
            <w:gridSpan w:val="3"/>
          </w:tcPr>
          <w:p>
            <w:pPr>
              <w:jc w:val="right"/>
              <w:ind w:right="260"/>
              <w:spacing w:after="0" w:line="220" w:lineRule="exact"/>
              <w:rPr>
                <w:sz w:val="20"/>
                <w:szCs w:val="20"/>
                <w:color w:val="auto"/>
              </w:rPr>
            </w:pPr>
            <w:r>
              <w:rPr>
                <w:rFonts w:ascii="Arial" w:cs="Arial" w:eastAsia="Arial" w:hAnsi="Arial"/>
                <w:sz w:val="20"/>
                <w:szCs w:val="20"/>
                <w:b w:val="1"/>
                <w:bCs w:val="1"/>
                <w:color w:val="auto"/>
              </w:rPr>
              <w:t>25,031</w:t>
            </w:r>
          </w:p>
        </w:tc>
        <w:tc>
          <w:tcPr>
            <w:tcW w:w="440" w:type="dxa"/>
            <w:vAlign w:val="bottom"/>
          </w:tcPr>
          <w:p>
            <w:pPr>
              <w:spacing w:after="0"/>
              <w:rPr>
                <w:sz w:val="19"/>
                <w:szCs w:val="19"/>
                <w:color w:val="auto"/>
              </w:rPr>
            </w:pPr>
          </w:p>
        </w:tc>
        <w:tc>
          <w:tcPr>
            <w:tcW w:w="100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auto"/>
              </w:rPr>
              <w:t>62,060</w:t>
            </w: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Operating lease liabilities, non-current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2,165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Early-exercise liability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6</w:t>
            </w:r>
          </w:p>
        </w:tc>
        <w:tc>
          <w:tcPr>
            <w:tcW w:w="60" w:type="dxa"/>
            <w:vAlign w:val="bottom"/>
          </w:tcPr>
          <w:p>
            <w:pPr>
              <w:spacing w:after="0"/>
              <w:rPr>
                <w:sz w:val="20"/>
                <w:szCs w:val="20"/>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Other non-current liability</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60" w:type="dxa"/>
            <w:vAlign w:val="bottom"/>
            <w:gridSpan w:val="2"/>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w:t>
            </w:r>
          </w:p>
        </w:tc>
        <w:tc>
          <w:tcPr>
            <w:tcW w:w="60" w:type="dxa"/>
            <w:vAlign w:val="bottom"/>
          </w:tcPr>
          <w:p>
            <w:pPr>
              <w:spacing w:after="0"/>
              <w:rPr>
                <w:sz w:val="20"/>
                <w:szCs w:val="20"/>
                <w:color w:val="auto"/>
              </w:rPr>
            </w:pPr>
          </w:p>
        </w:tc>
      </w:tr>
      <w:tr>
        <w:trPr>
          <w:trHeight w:val="220"/>
        </w:trPr>
        <w:tc>
          <w:tcPr>
            <w:tcW w:w="696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liabilities</w:t>
            </w:r>
          </w:p>
        </w:tc>
        <w:tc>
          <w:tcPr>
            <w:tcW w:w="320" w:type="dxa"/>
            <w:vAlign w:val="bottom"/>
          </w:tcPr>
          <w:p>
            <w:pPr>
              <w:spacing w:after="0"/>
              <w:rPr>
                <w:sz w:val="19"/>
                <w:szCs w:val="19"/>
                <w:color w:val="auto"/>
              </w:rPr>
            </w:pPr>
          </w:p>
        </w:tc>
        <w:tc>
          <w:tcPr>
            <w:tcW w:w="1320" w:type="dxa"/>
            <w:vAlign w:val="bottom"/>
            <w:gridSpan w:val="3"/>
          </w:tcPr>
          <w:p>
            <w:pPr>
              <w:jc w:val="right"/>
              <w:ind w:right="260"/>
              <w:spacing w:after="0" w:line="220" w:lineRule="exact"/>
              <w:rPr>
                <w:sz w:val="20"/>
                <w:szCs w:val="20"/>
                <w:color w:val="auto"/>
              </w:rPr>
            </w:pPr>
            <w:r>
              <w:rPr>
                <w:rFonts w:ascii="Arial" w:cs="Arial" w:eastAsia="Arial" w:hAnsi="Arial"/>
                <w:sz w:val="20"/>
                <w:szCs w:val="20"/>
                <w:b w:val="1"/>
                <w:bCs w:val="1"/>
                <w:color w:val="auto"/>
              </w:rPr>
              <w:t>27,197</w:t>
            </w:r>
          </w:p>
        </w:tc>
        <w:tc>
          <w:tcPr>
            <w:tcW w:w="440" w:type="dxa"/>
            <w:vAlign w:val="bottom"/>
          </w:tcPr>
          <w:p>
            <w:pPr>
              <w:spacing w:after="0"/>
              <w:rPr>
                <w:sz w:val="19"/>
                <w:szCs w:val="19"/>
                <w:color w:val="auto"/>
              </w:rPr>
            </w:pPr>
          </w:p>
        </w:tc>
        <w:tc>
          <w:tcPr>
            <w:tcW w:w="100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auto"/>
              </w:rPr>
              <w:t>62,072</w:t>
            </w:r>
          </w:p>
        </w:tc>
      </w:tr>
      <w:tr>
        <w:trPr>
          <w:trHeight w:val="220"/>
        </w:trPr>
        <w:tc>
          <w:tcPr>
            <w:tcW w:w="6960" w:type="dxa"/>
            <w:vAlign w:val="bottom"/>
          </w:tcPr>
          <w:p>
            <w:pPr>
              <w:spacing w:after="0" w:line="220" w:lineRule="exact"/>
              <w:rPr>
                <w:sz w:val="20"/>
                <w:szCs w:val="20"/>
                <w:color w:val="auto"/>
              </w:rPr>
            </w:pPr>
            <w:r>
              <w:rPr>
                <w:rFonts w:ascii="Arial" w:cs="Arial" w:eastAsia="Arial" w:hAnsi="Arial"/>
                <w:sz w:val="20"/>
                <w:szCs w:val="20"/>
                <w:b w:val="1"/>
                <w:bCs w:val="1"/>
                <w:color w:val="auto"/>
              </w:rPr>
              <w:t>Commitments and contingencies (Note 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20"/>
                <w:szCs w:val="20"/>
                <w:b w:val="1"/>
                <w:bCs w:val="1"/>
                <w:color w:val="auto"/>
              </w:rPr>
              <w:t>Stockholders’ equity (deficit):</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6960" w:type="dxa"/>
            <w:vAlign w:val="bottom"/>
          </w:tcPr>
          <w:p>
            <w:pPr>
              <w:ind w:left="400"/>
              <w:spacing w:after="0" w:line="229" w:lineRule="exact"/>
              <w:rPr>
                <w:sz w:val="20"/>
                <w:szCs w:val="20"/>
                <w:color w:val="auto"/>
              </w:rPr>
            </w:pPr>
            <w:r>
              <w:rPr>
                <w:rFonts w:ascii="Arial" w:cs="Arial" w:eastAsia="Arial" w:hAnsi="Arial"/>
                <w:sz w:val="20"/>
                <w:szCs w:val="20"/>
                <w:b w:val="1"/>
                <w:bCs w:val="1"/>
                <w:color w:val="auto"/>
                <w:w w:val="99"/>
              </w:rPr>
              <w:t>Preferred stock (undesignated), $0.0001 par value; 10,000,000 shares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60" w:type="dxa"/>
            <w:vAlign w:val="bottom"/>
          </w:tcPr>
          <w:p>
            <w:pPr>
              <w:ind w:left="540"/>
              <w:spacing w:after="0"/>
              <w:rPr>
                <w:sz w:val="20"/>
                <w:szCs w:val="20"/>
                <w:color w:val="auto"/>
              </w:rPr>
            </w:pPr>
            <w:r>
              <w:rPr>
                <w:rFonts w:ascii="Arial" w:cs="Arial" w:eastAsia="Arial" w:hAnsi="Arial"/>
                <w:sz w:val="20"/>
                <w:szCs w:val="20"/>
                <w:b w:val="1"/>
                <w:bCs w:val="1"/>
                <w:color w:val="auto"/>
                <w:w w:val="93"/>
              </w:rPr>
              <w:t>authorized and no shares issued and outstanding at December 31, 2022</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960" w:type="dxa"/>
            <w:vAlign w:val="bottom"/>
          </w:tcPr>
          <w:p>
            <w:pPr>
              <w:ind w:left="540"/>
              <w:spacing w:after="0"/>
              <w:rPr>
                <w:sz w:val="20"/>
                <w:szCs w:val="20"/>
                <w:color w:val="auto"/>
              </w:rPr>
            </w:pPr>
            <w:r>
              <w:rPr>
                <w:rFonts w:ascii="Arial" w:cs="Arial" w:eastAsia="Arial" w:hAnsi="Arial"/>
                <w:sz w:val="20"/>
                <w:szCs w:val="20"/>
                <w:b w:val="1"/>
                <w:bCs w:val="1"/>
                <w:color w:val="auto"/>
              </w:rPr>
              <w:t>and December 31, 2021</w:t>
            </w:r>
          </w:p>
        </w:tc>
        <w:tc>
          <w:tcPr>
            <w:tcW w:w="32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20"/>
                <w:szCs w:val="20"/>
                <w:b w:val="1"/>
                <w:bCs w:val="1"/>
                <w:color w:val="auto"/>
              </w:rPr>
              <w:t>—</w:t>
            </w: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30"/>
        </w:trPr>
        <w:tc>
          <w:tcPr>
            <w:tcW w:w="6960" w:type="dxa"/>
            <w:vAlign w:val="bottom"/>
          </w:tcPr>
          <w:p>
            <w:pPr>
              <w:ind w:left="400"/>
              <w:spacing w:after="0"/>
              <w:rPr>
                <w:sz w:val="20"/>
                <w:szCs w:val="20"/>
                <w:color w:val="auto"/>
              </w:rPr>
            </w:pPr>
            <w:r>
              <w:rPr>
                <w:rFonts w:ascii="Arial" w:cs="Arial" w:eastAsia="Arial" w:hAnsi="Arial"/>
                <w:sz w:val="20"/>
                <w:szCs w:val="20"/>
                <w:b w:val="1"/>
                <w:bCs w:val="1"/>
                <w:color w:val="auto"/>
              </w:rPr>
              <w:t>Common stock, $0.0001 par value; 1,000,000,000 shares authorized,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960" w:type="dxa"/>
            <w:vAlign w:val="bottom"/>
          </w:tcPr>
          <w:p>
            <w:pPr>
              <w:ind w:left="540"/>
              <w:spacing w:after="0"/>
              <w:rPr>
                <w:sz w:val="20"/>
                <w:szCs w:val="20"/>
                <w:color w:val="auto"/>
              </w:rPr>
            </w:pPr>
            <w:r>
              <w:rPr>
                <w:rFonts w:ascii="Arial" w:cs="Arial" w:eastAsia="Arial" w:hAnsi="Arial"/>
                <w:sz w:val="20"/>
                <w:szCs w:val="20"/>
                <w:b w:val="1"/>
                <w:bCs w:val="1"/>
                <w:color w:val="auto"/>
              </w:rPr>
              <w:t>109,044,046 shares issued and outstanding at December 31, 2022;</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960" w:type="dxa"/>
            <w:vAlign w:val="bottom"/>
          </w:tcPr>
          <w:p>
            <w:pPr>
              <w:ind w:left="540"/>
              <w:spacing w:after="0"/>
              <w:rPr>
                <w:sz w:val="20"/>
                <w:szCs w:val="20"/>
                <w:color w:val="auto"/>
              </w:rPr>
            </w:pPr>
            <w:r>
              <w:rPr>
                <w:rFonts w:ascii="Arial" w:cs="Arial" w:eastAsia="Arial" w:hAnsi="Arial"/>
                <w:sz w:val="20"/>
                <w:szCs w:val="20"/>
                <w:b w:val="1"/>
                <w:bCs w:val="1"/>
                <w:color w:val="auto"/>
              </w:rPr>
              <w:t>1,000,000,000 shares authorized, 111,251,660 shares issued and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6960" w:type="dxa"/>
            <w:vAlign w:val="bottom"/>
          </w:tcPr>
          <w:p>
            <w:pPr>
              <w:ind w:left="540"/>
              <w:spacing w:after="0" w:line="229" w:lineRule="exact"/>
              <w:rPr>
                <w:sz w:val="20"/>
                <w:szCs w:val="20"/>
                <w:color w:val="auto"/>
              </w:rPr>
            </w:pPr>
            <w:r>
              <w:rPr>
                <w:rFonts w:ascii="Arial" w:cs="Arial" w:eastAsia="Arial" w:hAnsi="Arial"/>
                <w:sz w:val="20"/>
                <w:szCs w:val="20"/>
                <w:b w:val="1"/>
                <w:bCs w:val="1"/>
                <w:color w:val="auto"/>
              </w:rPr>
              <w:t>110,782,909 shares outstanding at December 31, 2021</w:t>
            </w:r>
          </w:p>
        </w:tc>
        <w:tc>
          <w:tcPr>
            <w:tcW w:w="320" w:type="dxa"/>
            <w:vAlign w:val="bottom"/>
          </w:tcPr>
          <w:p>
            <w:pPr>
              <w:spacing w:after="0"/>
              <w:rPr>
                <w:sz w:val="19"/>
                <w:szCs w:val="19"/>
                <w:color w:val="auto"/>
              </w:rPr>
            </w:pPr>
          </w:p>
        </w:tc>
        <w:tc>
          <w:tcPr>
            <w:tcW w:w="1080" w:type="dxa"/>
            <w:vAlign w:val="bottom"/>
            <w:gridSpan w:val="2"/>
          </w:tcPr>
          <w:p>
            <w:pPr>
              <w:jc w:val="right"/>
              <w:ind w:right="20"/>
              <w:spacing w:after="0" w:line="229" w:lineRule="exact"/>
              <w:rPr>
                <w:sz w:val="20"/>
                <w:szCs w:val="20"/>
                <w:color w:val="auto"/>
              </w:rPr>
            </w:pPr>
            <w:r>
              <w:rPr>
                <w:rFonts w:ascii="Arial" w:cs="Arial" w:eastAsia="Arial" w:hAnsi="Arial"/>
                <w:sz w:val="20"/>
                <w:szCs w:val="20"/>
                <w:b w:val="1"/>
                <w:bCs w:val="1"/>
                <w:color w:val="auto"/>
              </w:rPr>
              <w:t>11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60"/>
              <w:spacing w:after="0" w:line="229" w:lineRule="exact"/>
              <w:rPr>
                <w:sz w:val="20"/>
                <w:szCs w:val="20"/>
                <w:color w:val="auto"/>
              </w:rPr>
            </w:pPr>
            <w:r>
              <w:rPr>
                <w:rFonts w:ascii="Arial" w:cs="Arial" w:eastAsia="Arial" w:hAnsi="Arial"/>
                <w:sz w:val="20"/>
                <w:szCs w:val="20"/>
                <w:b w:val="1"/>
                <w:bCs w:val="1"/>
                <w:color w:val="auto"/>
              </w:rPr>
              <w:t>11</w:t>
            </w:r>
          </w:p>
        </w:tc>
      </w:tr>
      <w:tr>
        <w:trPr>
          <w:trHeight w:val="230"/>
        </w:trPr>
        <w:tc>
          <w:tcPr>
            <w:tcW w:w="6960" w:type="dxa"/>
            <w:vAlign w:val="bottom"/>
          </w:tcPr>
          <w:p>
            <w:pPr>
              <w:ind w:left="400"/>
              <w:spacing w:after="0"/>
              <w:rPr>
                <w:sz w:val="20"/>
                <w:szCs w:val="20"/>
                <w:color w:val="auto"/>
              </w:rPr>
            </w:pPr>
            <w:r>
              <w:rPr>
                <w:rFonts w:ascii="Arial" w:cs="Arial" w:eastAsia="Arial" w:hAnsi="Arial"/>
                <w:sz w:val="20"/>
                <w:szCs w:val="20"/>
                <w:b w:val="1"/>
                <w:bCs w:val="1"/>
                <w:color w:val="auto"/>
              </w:rPr>
              <w:t>Treasury stock, at cost; 0 shares and 468,751 shares at</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960" w:type="dxa"/>
            <w:vAlign w:val="bottom"/>
          </w:tcPr>
          <w:p>
            <w:pPr>
              <w:ind w:left="500"/>
              <w:spacing w:after="0"/>
              <w:rPr>
                <w:sz w:val="20"/>
                <w:szCs w:val="20"/>
                <w:color w:val="auto"/>
              </w:rPr>
            </w:pPr>
            <w:r>
              <w:rPr>
                <w:rFonts w:ascii="Arial" w:cs="Arial" w:eastAsia="Arial" w:hAnsi="Arial"/>
                <w:sz w:val="20"/>
                <w:szCs w:val="20"/>
                <w:b w:val="1"/>
                <w:bCs w:val="1"/>
                <w:color w:val="auto"/>
              </w:rPr>
              <w:t>December 31, 2022 and December 31, 2021, respectively</w:t>
            </w:r>
          </w:p>
        </w:tc>
        <w:tc>
          <w:tcPr>
            <w:tcW w:w="320" w:type="dxa"/>
            <w:vAlign w:val="bottom"/>
          </w:tcPr>
          <w:p>
            <w:pPr>
              <w:spacing w:after="0"/>
              <w:rPr>
                <w:sz w:val="20"/>
                <w:szCs w:val="20"/>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20"/>
                <w:szCs w:val="20"/>
                <w:b w:val="1"/>
                <w:bCs w:val="1"/>
                <w:color w:val="auto"/>
              </w:rPr>
              <w:t>—</w:t>
            </w:r>
          </w:p>
        </w:tc>
        <w:tc>
          <w:tcPr>
            <w:tcW w:w="4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30"/>
        </w:trPr>
        <w:tc>
          <w:tcPr>
            <w:tcW w:w="6960" w:type="dxa"/>
            <w:vAlign w:val="bottom"/>
          </w:tcPr>
          <w:p>
            <w:pPr>
              <w:ind w:left="200"/>
              <w:spacing w:after="0"/>
              <w:rPr>
                <w:sz w:val="20"/>
                <w:szCs w:val="20"/>
                <w:color w:val="auto"/>
              </w:rPr>
            </w:pPr>
            <w:r>
              <w:rPr>
                <w:rFonts w:ascii="Arial" w:cs="Arial" w:eastAsia="Arial" w:hAnsi="Arial"/>
                <w:sz w:val="20"/>
                <w:szCs w:val="20"/>
                <w:b w:val="1"/>
                <w:bCs w:val="1"/>
                <w:color w:val="auto"/>
              </w:rPr>
              <w:t>Additional paid-in capital</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889,657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850,125</w:t>
            </w:r>
          </w:p>
        </w:tc>
        <w:tc>
          <w:tcPr>
            <w:tcW w:w="60" w:type="dxa"/>
            <w:vAlign w:val="bottom"/>
          </w:tcPr>
          <w:p>
            <w:pPr>
              <w:spacing w:after="0"/>
              <w:rPr>
                <w:sz w:val="20"/>
                <w:szCs w:val="20"/>
                <w:color w:val="auto"/>
              </w:rPr>
            </w:pPr>
          </w:p>
        </w:tc>
      </w:tr>
      <w:tr>
        <w:trPr>
          <w:trHeight w:val="230"/>
        </w:trPr>
        <w:tc>
          <w:tcPr>
            <w:tcW w:w="6960" w:type="dxa"/>
            <w:vAlign w:val="bottom"/>
          </w:tcPr>
          <w:p>
            <w:pPr>
              <w:ind w:left="200"/>
              <w:spacing w:after="0"/>
              <w:rPr>
                <w:sz w:val="20"/>
                <w:szCs w:val="20"/>
                <w:color w:val="auto"/>
              </w:rPr>
            </w:pPr>
            <w:r>
              <w:rPr>
                <w:rFonts w:ascii="Arial" w:cs="Arial" w:eastAsia="Arial" w:hAnsi="Arial"/>
                <w:sz w:val="20"/>
                <w:szCs w:val="20"/>
                <w:b w:val="1"/>
                <w:bCs w:val="1"/>
                <w:color w:val="auto"/>
              </w:rPr>
              <w:t>Accumulated other comprehensive income (loss)</w:t>
            </w:r>
          </w:p>
        </w:tc>
        <w:tc>
          <w:tcPr>
            <w:tcW w:w="32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20"/>
                <w:szCs w:val="20"/>
                <w:b w:val="1"/>
                <w:bCs w:val="1"/>
                <w:color w:val="auto"/>
              </w:rPr>
              <w:t>(272)</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(8)</w:t>
            </w:r>
          </w:p>
        </w:tc>
      </w:tr>
      <w:tr>
        <w:trPr>
          <w:trHeight w:val="230"/>
        </w:trPr>
        <w:tc>
          <w:tcPr>
            <w:tcW w:w="6960" w:type="dxa"/>
            <w:vAlign w:val="bottom"/>
          </w:tcPr>
          <w:p>
            <w:pPr>
              <w:ind w:left="200"/>
              <w:spacing w:after="0"/>
              <w:rPr>
                <w:sz w:val="20"/>
                <w:szCs w:val="20"/>
                <w:color w:val="auto"/>
              </w:rPr>
            </w:pPr>
            <w:r>
              <w:rPr>
                <w:rFonts w:ascii="Arial" w:cs="Arial" w:eastAsia="Arial" w:hAnsi="Arial"/>
                <w:sz w:val="20"/>
                <w:szCs w:val="20"/>
                <w:b w:val="1"/>
                <w:bCs w:val="1"/>
                <w:color w:val="auto"/>
              </w:rPr>
              <w:t>Accumulated deficit</w:t>
            </w:r>
          </w:p>
        </w:tc>
        <w:tc>
          <w:tcPr>
            <w:tcW w:w="32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20"/>
                <w:szCs w:val="20"/>
                <w:b w:val="1"/>
                <w:bCs w:val="1"/>
                <w:color w:val="auto"/>
              </w:rPr>
              <w:t>(533,426)</w:t>
            </w:r>
          </w:p>
        </w:tc>
        <w:tc>
          <w:tcPr>
            <w:tcW w:w="4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20"/>
                <w:szCs w:val="20"/>
                <w:b w:val="1"/>
                <w:bCs w:val="1"/>
                <w:color w:val="auto"/>
              </w:rPr>
              <w:t>(292,109)</w:t>
            </w:r>
          </w:p>
        </w:tc>
      </w:tr>
      <w:tr>
        <w:trPr>
          <w:trHeight w:val="220"/>
        </w:trPr>
        <w:tc>
          <w:tcPr>
            <w:tcW w:w="696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355,970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558,019</w:t>
            </w:r>
          </w:p>
        </w:tc>
        <w:tc>
          <w:tcPr>
            <w:tcW w:w="60" w:type="dxa"/>
            <w:vAlign w:val="bottom"/>
          </w:tcPr>
          <w:p>
            <w:pPr>
              <w:spacing w:after="0"/>
              <w:rPr>
                <w:sz w:val="19"/>
                <w:szCs w:val="19"/>
                <w:color w:val="auto"/>
              </w:rPr>
            </w:pPr>
          </w:p>
        </w:tc>
      </w:tr>
      <w:tr>
        <w:trPr>
          <w:trHeight w:val="220"/>
        </w:trPr>
        <w:tc>
          <w:tcPr>
            <w:tcW w:w="696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liabilities, convertible preferred stock and stockholders’ equity</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383,167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ind w:right="240"/>
              <w:spacing w:after="0" w:line="220" w:lineRule="exact"/>
              <w:rPr>
                <w:sz w:val="20"/>
                <w:szCs w:val="20"/>
                <w:color w:val="auto"/>
              </w:rPr>
            </w:pPr>
            <w:r>
              <w:rPr>
                <w:rFonts w:ascii="Arial" w:cs="Arial" w:eastAsia="Arial" w:hAnsi="Arial"/>
                <w:sz w:val="20"/>
                <w:szCs w:val="20"/>
                <w:b w:val="1"/>
                <w:bCs w:val="1"/>
                <w:color w:val="auto"/>
                <w:w w:val="71"/>
              </w:rPr>
              <w:t>$</w:t>
            </w:r>
          </w:p>
        </w:tc>
        <w:tc>
          <w:tcPr>
            <w:tcW w:w="94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620,091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-5495925</wp:posOffset>
            </wp:positionV>
            <wp:extent cx="6427470" cy="55391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498">
                      <a:extLst>
                        <a:ext uri="{28A0092B-C50C-407E-A947-70E740481C1C}"/>
                      </a:extLst>
                    </a:blip>
                    <a:srcRect/>
                    <a:stretch>
                      <a:fillRect/>
                    </a:stretch>
                  </pic:blipFill>
                  <pic:spPr bwMode="auto">
                    <a:xfrm>
                      <a:off x="0" y="0"/>
                      <a:ext cx="6427470" cy="5539105"/>
                    </a:xfrm>
                    <a:prstGeom prst="rect">
                      <a:avLst/>
                    </a:prstGeom>
                    <a:noFill/>
                  </pic:spPr>
                </pic:pic>
              </a:graphicData>
            </a:graphic>
          </wp:anchor>
        </w:drawing>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F-3</w:t>
      </w:r>
    </w:p>
    <w:p>
      <w:pPr>
        <w:sectPr>
          <w:pgSz w:w="12240" w:h="15840" w:orient="portrait"/>
          <w:cols w:equalWidth="0" w:num="1">
            <w:col w:w="10040"/>
          </w:cols>
          <w:pgMar w:left="1080" w:top="1079" w:right="1120" w:bottom="157"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INVIVYD,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Year Ended December 31,</w:t>
            </w:r>
          </w:p>
        </w:tc>
      </w:tr>
      <w:tr>
        <w:trPr>
          <w:trHeight w:val="174"/>
        </w:trPr>
        <w:tc>
          <w:tcPr>
            <w:tcW w:w="68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43"/>
              <w:spacing w:after="0" w:line="175" w:lineRule="exact"/>
              <w:rPr>
                <w:sz w:val="20"/>
                <w:szCs w:val="20"/>
                <w:color w:val="auto"/>
              </w:rPr>
            </w:pPr>
            <w:r>
              <w:rPr>
                <w:rFonts w:ascii="Arial" w:cs="Arial" w:eastAsia="Arial" w:hAnsi="Arial"/>
                <w:sz w:val="16"/>
                <w:szCs w:val="16"/>
                <w:b w:val="1"/>
                <w:bCs w:val="1"/>
                <w:color w:val="auto"/>
              </w:rPr>
              <w:t>2022</w:t>
            </w: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2"/>
              <w:spacing w:after="0" w:line="175" w:lineRule="exact"/>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5"/>
                <w:szCs w:val="15"/>
                <w:color w:val="auto"/>
              </w:rPr>
            </w:pPr>
          </w:p>
        </w:tc>
      </w:tr>
      <w:tr>
        <w:trPr>
          <w:trHeight w:val="220"/>
        </w:trPr>
        <w:tc>
          <w:tcPr>
            <w:tcW w:w="6860" w:type="dxa"/>
            <w:vAlign w:val="bottom"/>
          </w:tcPr>
          <w:p>
            <w:pPr>
              <w:spacing w:after="0" w:line="220" w:lineRule="exact"/>
              <w:rPr>
                <w:sz w:val="20"/>
                <w:szCs w:val="20"/>
                <w:color w:val="auto"/>
              </w:rPr>
            </w:pPr>
            <w:r>
              <w:rPr>
                <w:rFonts w:ascii="Arial" w:cs="Arial" w:eastAsia="Arial" w:hAnsi="Arial"/>
                <w:sz w:val="20"/>
                <w:szCs w:val="20"/>
                <w:b w:val="1"/>
                <w:bCs w:val="1"/>
                <w:color w:val="auto"/>
              </w:rPr>
              <w:t>Operating expenses: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1"/>
        </w:trPr>
        <w:tc>
          <w:tcPr>
            <w:tcW w:w="6860" w:type="dxa"/>
            <w:vAlign w:val="bottom"/>
          </w:tcPr>
          <w:p>
            <w:pPr>
              <w:ind w:left="200"/>
              <w:spacing w:after="0" w:line="241" w:lineRule="exact"/>
              <w:rPr>
                <w:sz w:val="20"/>
                <w:szCs w:val="20"/>
                <w:color w:val="auto"/>
              </w:rPr>
            </w:pPr>
            <w:r>
              <w:rPr>
                <w:rFonts w:ascii="Arial" w:cs="Arial" w:eastAsia="Arial" w:hAnsi="Arial"/>
                <w:sz w:val="20"/>
                <w:szCs w:val="20"/>
                <w:b w:val="1"/>
                <w:bCs w:val="1"/>
                <w:color w:val="auto"/>
              </w:rPr>
              <w:t>Research and development</w:t>
            </w:r>
            <w:r>
              <w:rPr>
                <w:rFonts w:ascii="Arial" w:cs="Arial" w:eastAsia="Arial" w:hAnsi="Arial"/>
                <w:sz w:val="25"/>
                <w:szCs w:val="25"/>
                <w:b w:val="1"/>
                <w:bCs w:val="1"/>
                <w:color w:val="auto"/>
                <w:vertAlign w:val="superscript"/>
              </w:rPr>
              <w:t>(1)</w:t>
            </w: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179,214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Arial" w:cs="Arial" w:eastAsia="Arial" w:hAnsi="Arial"/>
                <w:sz w:val="20"/>
                <w:szCs w:val="2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182,891</w:t>
            </w:r>
          </w:p>
        </w:tc>
        <w:tc>
          <w:tcPr>
            <w:tcW w:w="60" w:type="dxa"/>
            <w:vAlign w:val="bottom"/>
          </w:tcPr>
          <w:p>
            <w:pPr>
              <w:spacing w:after="0"/>
              <w:rPr>
                <w:sz w:val="20"/>
                <w:szCs w:val="20"/>
                <w:color w:val="auto"/>
              </w:rPr>
            </w:pPr>
          </w:p>
        </w:tc>
      </w:tr>
      <w:tr>
        <w:trPr>
          <w:trHeight w:val="228"/>
        </w:trPr>
        <w:tc>
          <w:tcPr>
            <w:tcW w:w="686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Acquired in-process research and development</w:t>
            </w:r>
            <w:r>
              <w:rPr>
                <w:rFonts w:ascii="Arial" w:cs="Arial" w:eastAsia="Arial" w:hAnsi="Arial"/>
                <w:sz w:val="25"/>
                <w:szCs w:val="25"/>
                <w:b w:val="1"/>
                <w:bCs w:val="1"/>
                <w:color w:val="auto"/>
                <w:vertAlign w:val="superscript"/>
              </w:rPr>
              <w:t>(2)</w:t>
            </w:r>
          </w:p>
        </w:tc>
        <w:tc>
          <w:tcPr>
            <w:tcW w:w="240" w:type="dxa"/>
            <w:vAlign w:val="bottom"/>
          </w:tcPr>
          <w:p>
            <w:pPr>
              <w:spacing w:after="0"/>
              <w:rPr>
                <w:sz w:val="19"/>
                <w:szCs w:val="19"/>
                <w:color w:val="auto"/>
              </w:rPr>
            </w:pPr>
          </w:p>
        </w:tc>
        <w:tc>
          <w:tcPr>
            <w:tcW w:w="116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4,400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7,500</w:t>
            </w:r>
          </w:p>
        </w:tc>
        <w:tc>
          <w:tcPr>
            <w:tcW w:w="60" w:type="dxa"/>
            <w:vAlign w:val="bottom"/>
          </w:tcPr>
          <w:p>
            <w:pPr>
              <w:spacing w:after="0"/>
              <w:rPr>
                <w:sz w:val="19"/>
                <w:szCs w:val="19"/>
                <w:color w:val="auto"/>
              </w:rPr>
            </w:pPr>
          </w:p>
        </w:tc>
      </w:tr>
      <w:tr>
        <w:trPr>
          <w:trHeight w:val="219"/>
        </w:trPr>
        <w:tc>
          <w:tcPr>
            <w:tcW w:w="686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Selling, general and administrative</w:t>
            </w:r>
          </w:p>
        </w:tc>
        <w:tc>
          <w:tcPr>
            <w:tcW w:w="240" w:type="dxa"/>
            <w:vAlign w:val="bottom"/>
          </w:tcPr>
          <w:p>
            <w:pPr>
              <w:spacing w:after="0"/>
              <w:rPr>
                <w:sz w:val="19"/>
                <w:szCs w:val="19"/>
                <w:color w:val="auto"/>
              </w:rPr>
            </w:pPr>
          </w:p>
        </w:tc>
        <w:tc>
          <w:tcPr>
            <w:tcW w:w="1400" w:type="dxa"/>
            <w:vAlign w:val="bottom"/>
            <w:gridSpan w:val="3"/>
          </w:tcPr>
          <w:p>
            <w:pPr>
              <w:jc w:val="right"/>
              <w:ind w:right="260"/>
              <w:spacing w:after="0" w:line="220" w:lineRule="exact"/>
              <w:rPr>
                <w:sz w:val="20"/>
                <w:szCs w:val="20"/>
                <w:color w:val="auto"/>
              </w:rPr>
            </w:pPr>
            <w:r>
              <w:rPr>
                <w:rFonts w:ascii="Arial" w:cs="Arial" w:eastAsia="Arial" w:hAnsi="Arial"/>
                <w:sz w:val="20"/>
                <w:szCs w:val="20"/>
                <w:b w:val="1"/>
                <w:bCs w:val="1"/>
                <w:color w:val="auto"/>
              </w:rPr>
              <w:t>47,044</w:t>
            </w:r>
          </w:p>
        </w:tc>
        <w:tc>
          <w:tcPr>
            <w:tcW w:w="340" w:type="dxa"/>
            <w:vAlign w:val="bottom"/>
          </w:tcPr>
          <w:p>
            <w:pPr>
              <w:spacing w:after="0"/>
              <w:rPr>
                <w:sz w:val="19"/>
                <w:szCs w:val="19"/>
                <w:color w:val="auto"/>
              </w:rPr>
            </w:pPr>
          </w:p>
        </w:tc>
        <w:tc>
          <w:tcPr>
            <w:tcW w:w="120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auto"/>
              </w:rPr>
              <w:t>36,517</w:t>
            </w:r>
          </w:p>
        </w:tc>
      </w:tr>
      <w:tr>
        <w:trPr>
          <w:trHeight w:val="230"/>
        </w:trPr>
        <w:tc>
          <w:tcPr>
            <w:tcW w:w="6860" w:type="dxa"/>
            <w:vAlign w:val="bottom"/>
          </w:tcPr>
          <w:p>
            <w:pPr>
              <w:ind w:left="200"/>
              <w:spacing w:after="0" w:line="230" w:lineRule="exact"/>
              <w:rPr>
                <w:sz w:val="20"/>
                <w:szCs w:val="20"/>
                <w:color w:val="auto"/>
              </w:rPr>
            </w:pPr>
            <w:r>
              <w:rPr>
                <w:rFonts w:ascii="Arial" w:cs="Arial" w:eastAsia="Arial" w:hAnsi="Arial"/>
                <w:sz w:val="20"/>
                <w:szCs w:val="20"/>
                <w:b w:val="1"/>
                <w:bCs w:val="1"/>
                <w:color w:val="auto"/>
              </w:rPr>
              <w:t>Warrant expense</w:t>
            </w:r>
            <w:r>
              <w:rPr>
                <w:rFonts w:ascii="Arial" w:cs="Arial" w:eastAsia="Arial" w:hAnsi="Arial"/>
                <w:sz w:val="25"/>
                <w:szCs w:val="25"/>
                <w:b w:val="1"/>
                <w:bCs w:val="1"/>
                <w:color w:val="auto"/>
                <w:vertAlign w:val="superscript"/>
              </w:rPr>
              <w:t>(3)</w:t>
            </w:r>
          </w:p>
        </w:tc>
        <w:tc>
          <w:tcPr>
            <w:tcW w:w="240" w:type="dxa"/>
            <w:vAlign w:val="bottom"/>
          </w:tcPr>
          <w:p>
            <w:pPr>
              <w:spacing w:after="0"/>
              <w:rPr>
                <w:sz w:val="20"/>
                <w:szCs w:val="20"/>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20"/>
                <w:szCs w:val="20"/>
                <w:b w:val="1"/>
                <w:bCs w:val="1"/>
                <w:color w:val="auto"/>
              </w:rPr>
              <w:t>17,373</w:t>
            </w:r>
          </w:p>
        </w:tc>
        <w:tc>
          <w:tcPr>
            <w:tcW w:w="34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20"/>
        </w:trPr>
        <w:tc>
          <w:tcPr>
            <w:tcW w:w="686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248,031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226,908</w:t>
            </w:r>
          </w:p>
        </w:tc>
        <w:tc>
          <w:tcPr>
            <w:tcW w:w="60" w:type="dxa"/>
            <w:vAlign w:val="bottom"/>
          </w:tcPr>
          <w:p>
            <w:pPr>
              <w:spacing w:after="0"/>
              <w:rPr>
                <w:sz w:val="19"/>
                <w:szCs w:val="19"/>
                <w:color w:val="auto"/>
              </w:rPr>
            </w:pPr>
          </w:p>
        </w:tc>
      </w:tr>
      <w:tr>
        <w:trPr>
          <w:trHeight w:val="220"/>
        </w:trPr>
        <w:tc>
          <w:tcPr>
            <w:tcW w:w="6860" w:type="dxa"/>
            <w:vAlign w:val="bottom"/>
          </w:tcPr>
          <w:p>
            <w:pPr>
              <w:spacing w:after="0" w:line="220" w:lineRule="exact"/>
              <w:rPr>
                <w:sz w:val="20"/>
                <w:szCs w:val="20"/>
                <w:color w:val="auto"/>
              </w:rPr>
            </w:pPr>
            <w:r>
              <w:rPr>
                <w:rFonts w:ascii="Arial" w:cs="Arial" w:eastAsia="Arial" w:hAnsi="Arial"/>
                <w:sz w:val="20"/>
                <w:szCs w:val="20"/>
                <w:b w:val="1"/>
                <w:bCs w:val="1"/>
                <w:color w:val="auto"/>
              </w:rPr>
              <w:t>Loss from operations</w:t>
            </w:r>
          </w:p>
        </w:tc>
        <w:tc>
          <w:tcPr>
            <w:tcW w:w="240" w:type="dxa"/>
            <w:vAlign w:val="bottom"/>
          </w:tcPr>
          <w:p>
            <w:pPr>
              <w:spacing w:after="0"/>
              <w:rPr>
                <w:sz w:val="19"/>
                <w:szCs w:val="19"/>
                <w:color w:val="auto"/>
              </w:rPr>
            </w:pPr>
          </w:p>
        </w:tc>
        <w:tc>
          <w:tcPr>
            <w:tcW w:w="1400" w:type="dxa"/>
            <w:vAlign w:val="bottom"/>
            <w:gridSpan w:val="3"/>
          </w:tcPr>
          <w:p>
            <w:pPr>
              <w:jc w:val="right"/>
              <w:ind w:right="200"/>
              <w:spacing w:after="0" w:line="220" w:lineRule="exact"/>
              <w:rPr>
                <w:sz w:val="20"/>
                <w:szCs w:val="20"/>
                <w:color w:val="auto"/>
              </w:rPr>
            </w:pPr>
            <w:r>
              <w:rPr>
                <w:rFonts w:ascii="Arial" w:cs="Arial" w:eastAsia="Arial" w:hAnsi="Arial"/>
                <w:sz w:val="20"/>
                <w:szCs w:val="20"/>
                <w:b w:val="1"/>
                <w:bCs w:val="1"/>
                <w:color w:val="auto"/>
              </w:rPr>
              <w:t>(248,031)</w:t>
            </w:r>
          </w:p>
        </w:tc>
        <w:tc>
          <w:tcPr>
            <w:tcW w:w="340" w:type="dxa"/>
            <w:vAlign w:val="bottom"/>
          </w:tcPr>
          <w:p>
            <w:pPr>
              <w:spacing w:after="0"/>
              <w:rPr>
                <w:sz w:val="19"/>
                <w:szCs w:val="19"/>
                <w:color w:val="auto"/>
              </w:rPr>
            </w:pPr>
          </w:p>
        </w:tc>
        <w:tc>
          <w:tcPr>
            <w:tcW w:w="12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(226,908)</w:t>
            </w:r>
          </w:p>
        </w:tc>
      </w:tr>
      <w:tr>
        <w:trPr>
          <w:trHeight w:val="220"/>
        </w:trPr>
        <w:tc>
          <w:tcPr>
            <w:tcW w:w="6860" w:type="dxa"/>
            <w:vAlign w:val="bottom"/>
          </w:tcPr>
          <w:p>
            <w:pPr>
              <w:spacing w:after="0" w:line="220" w:lineRule="exact"/>
              <w:rPr>
                <w:sz w:val="20"/>
                <w:szCs w:val="20"/>
                <w:color w:val="auto"/>
              </w:rPr>
            </w:pPr>
            <w:r>
              <w:rPr>
                <w:rFonts w:ascii="Arial" w:cs="Arial" w:eastAsia="Arial" w:hAnsi="Arial"/>
                <w:sz w:val="20"/>
                <w:szCs w:val="20"/>
                <w:b w:val="1"/>
                <w:bCs w:val="1"/>
                <w:color w:val="auto"/>
              </w:rPr>
              <w:t>Other income (expense):</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20"/>
                <w:szCs w:val="20"/>
                <w:b w:val="1"/>
                <w:bCs w:val="1"/>
                <w:color w:val="auto"/>
              </w:rPr>
              <w:t>Other income (expense), net</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rPr>
              <w:t>6,714</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118</w:t>
            </w:r>
          </w:p>
        </w:tc>
        <w:tc>
          <w:tcPr>
            <w:tcW w:w="60" w:type="dxa"/>
            <w:vAlign w:val="bottom"/>
          </w:tcPr>
          <w:p>
            <w:pPr>
              <w:spacing w:after="0"/>
              <w:rPr>
                <w:sz w:val="20"/>
                <w:szCs w:val="20"/>
                <w:color w:val="auto"/>
              </w:rPr>
            </w:pPr>
          </w:p>
        </w:tc>
      </w:tr>
      <w:tr>
        <w:trPr>
          <w:trHeight w:val="220"/>
        </w:trPr>
        <w:tc>
          <w:tcPr>
            <w:tcW w:w="686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other income (expense), net</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6,714</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118</w:t>
            </w:r>
          </w:p>
        </w:tc>
        <w:tc>
          <w:tcPr>
            <w:tcW w:w="60" w:type="dxa"/>
            <w:vAlign w:val="bottom"/>
          </w:tcPr>
          <w:p>
            <w:pPr>
              <w:spacing w:after="0"/>
              <w:rPr>
                <w:sz w:val="19"/>
                <w:szCs w:val="19"/>
                <w:color w:val="auto"/>
              </w:rPr>
            </w:pPr>
          </w:p>
        </w:tc>
      </w:tr>
      <w:tr>
        <w:trPr>
          <w:trHeight w:val="220"/>
        </w:trPr>
        <w:tc>
          <w:tcPr>
            <w:tcW w:w="6860" w:type="dxa"/>
            <w:vAlign w:val="bottom"/>
          </w:tcPr>
          <w:p>
            <w:pPr>
              <w:spacing w:after="0" w:line="220" w:lineRule="exact"/>
              <w:rPr>
                <w:sz w:val="20"/>
                <w:szCs w:val="20"/>
                <w:color w:val="auto"/>
              </w:rPr>
            </w:pPr>
            <w:r>
              <w:rPr>
                <w:rFonts w:ascii="Arial" w:cs="Arial" w:eastAsia="Arial" w:hAnsi="Arial"/>
                <w:sz w:val="20"/>
                <w:szCs w:val="20"/>
                <w:b w:val="1"/>
                <w:bCs w:val="1"/>
                <w:color w:val="auto"/>
              </w:rPr>
              <w:t>Net loss</w:t>
            </w:r>
          </w:p>
        </w:tc>
        <w:tc>
          <w:tcPr>
            <w:tcW w:w="240" w:type="dxa"/>
            <w:vAlign w:val="bottom"/>
          </w:tcPr>
          <w:p>
            <w:pPr>
              <w:spacing w:after="0"/>
              <w:rPr>
                <w:sz w:val="19"/>
                <w:szCs w:val="19"/>
                <w:color w:val="auto"/>
              </w:rPr>
            </w:pPr>
          </w:p>
        </w:tc>
        <w:tc>
          <w:tcPr>
            <w:tcW w:w="1400" w:type="dxa"/>
            <w:vAlign w:val="bottom"/>
            <w:gridSpan w:val="3"/>
          </w:tcPr>
          <w:p>
            <w:pPr>
              <w:jc w:val="right"/>
              <w:ind w:right="200"/>
              <w:spacing w:after="0" w:line="220" w:lineRule="exact"/>
              <w:rPr>
                <w:sz w:val="20"/>
                <w:szCs w:val="20"/>
                <w:color w:val="auto"/>
              </w:rPr>
            </w:pPr>
            <w:r>
              <w:rPr>
                <w:rFonts w:ascii="Arial" w:cs="Arial" w:eastAsia="Arial" w:hAnsi="Arial"/>
                <w:sz w:val="20"/>
                <w:szCs w:val="20"/>
                <w:b w:val="1"/>
                <w:bCs w:val="1"/>
                <w:color w:val="auto"/>
              </w:rPr>
              <w:t>(241,317)</w:t>
            </w:r>
          </w:p>
        </w:tc>
        <w:tc>
          <w:tcPr>
            <w:tcW w:w="340" w:type="dxa"/>
            <w:vAlign w:val="bottom"/>
          </w:tcPr>
          <w:p>
            <w:pPr>
              <w:spacing w:after="0"/>
              <w:rPr>
                <w:sz w:val="19"/>
                <w:szCs w:val="19"/>
                <w:color w:val="auto"/>
              </w:rPr>
            </w:pPr>
          </w:p>
        </w:tc>
        <w:tc>
          <w:tcPr>
            <w:tcW w:w="12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(226,790)</w:t>
            </w:r>
          </w:p>
        </w:tc>
      </w:tr>
      <w:tr>
        <w:trPr>
          <w:trHeight w:val="220"/>
        </w:trPr>
        <w:tc>
          <w:tcPr>
            <w:tcW w:w="6860" w:type="dxa"/>
            <w:vAlign w:val="bottom"/>
          </w:tcPr>
          <w:p>
            <w:pPr>
              <w:spacing w:after="0" w:line="220" w:lineRule="exact"/>
              <w:rPr>
                <w:sz w:val="20"/>
                <w:szCs w:val="20"/>
                <w:color w:val="auto"/>
              </w:rPr>
            </w:pPr>
            <w:r>
              <w:rPr>
                <w:rFonts w:ascii="Arial" w:cs="Arial" w:eastAsia="Arial" w:hAnsi="Arial"/>
                <w:sz w:val="20"/>
                <w:szCs w:val="20"/>
                <w:b w:val="1"/>
                <w:bCs w:val="1"/>
                <w:color w:val="auto"/>
              </w:rPr>
              <w:t>Other comprehensive loss:</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860" w:type="dxa"/>
            <w:vAlign w:val="bottom"/>
          </w:tcPr>
          <w:p>
            <w:pPr>
              <w:ind w:left="200"/>
              <w:spacing w:after="0"/>
              <w:rPr>
                <w:sz w:val="20"/>
                <w:szCs w:val="20"/>
                <w:color w:val="auto"/>
              </w:rPr>
            </w:pPr>
            <w:r>
              <w:rPr>
                <w:rFonts w:ascii="Arial" w:cs="Arial" w:eastAsia="Arial" w:hAnsi="Arial"/>
                <w:sz w:val="20"/>
                <w:szCs w:val="20"/>
                <w:b w:val="1"/>
                <w:bCs w:val="1"/>
                <w:color w:val="auto"/>
              </w:rPr>
              <w:t>Unrealized loss on available-for-sale securities, net of tax</w:t>
            </w:r>
          </w:p>
        </w:tc>
        <w:tc>
          <w:tcPr>
            <w:tcW w:w="24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20"/>
                <w:szCs w:val="20"/>
                <w:b w:val="1"/>
                <w:bCs w:val="1"/>
                <w:color w:val="auto"/>
              </w:rPr>
              <w:t>(264)</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(8)</w:t>
            </w:r>
          </w:p>
        </w:tc>
      </w:tr>
      <w:tr>
        <w:trPr>
          <w:trHeight w:val="20"/>
        </w:trPr>
        <w:tc>
          <w:tcPr>
            <w:tcW w:w="6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6860" w:type="dxa"/>
            <w:vAlign w:val="bottom"/>
          </w:tcPr>
          <w:p>
            <w:pPr>
              <w:spacing w:after="0" w:line="220" w:lineRule="exact"/>
              <w:rPr>
                <w:sz w:val="20"/>
                <w:szCs w:val="20"/>
                <w:color w:val="auto"/>
              </w:rPr>
            </w:pPr>
            <w:r>
              <w:rPr>
                <w:rFonts w:ascii="Arial" w:cs="Arial" w:eastAsia="Arial" w:hAnsi="Arial"/>
                <w:sz w:val="20"/>
                <w:szCs w:val="20"/>
                <w:b w:val="1"/>
                <w:bCs w:val="1"/>
                <w:color w:val="auto"/>
              </w:rPr>
              <w:t>Comprehensive loss</w:t>
            </w:r>
          </w:p>
        </w:tc>
        <w:tc>
          <w:tcPr>
            <w:tcW w:w="240" w:type="dxa"/>
            <w:vAlign w:val="bottom"/>
          </w:tcPr>
          <w:p>
            <w:pPr>
              <w:jc w:val="right"/>
              <w:ind w:right="40"/>
              <w:spacing w:after="0" w:line="220" w:lineRule="exact"/>
              <w:rPr>
                <w:sz w:val="20"/>
                <w:szCs w:val="20"/>
                <w:color w:val="auto"/>
              </w:rPr>
            </w:pPr>
            <w:r>
              <w:rPr>
                <w:rFonts w:ascii="Arial" w:cs="Arial" w:eastAsia="Arial" w:hAnsi="Arial"/>
                <w:sz w:val="20"/>
                <w:szCs w:val="20"/>
                <w:b w:val="1"/>
                <w:bCs w:val="1"/>
                <w:color w:val="auto"/>
                <w:w w:val="71"/>
              </w:rPr>
              <w:t>$</w:t>
            </w:r>
          </w:p>
        </w:tc>
        <w:tc>
          <w:tcPr>
            <w:tcW w:w="1400" w:type="dxa"/>
            <w:vAlign w:val="bottom"/>
            <w:gridSpan w:val="3"/>
          </w:tcPr>
          <w:p>
            <w:pPr>
              <w:jc w:val="right"/>
              <w:ind w:right="200"/>
              <w:spacing w:after="0" w:line="220" w:lineRule="exact"/>
              <w:rPr>
                <w:sz w:val="20"/>
                <w:szCs w:val="20"/>
                <w:color w:val="auto"/>
              </w:rPr>
            </w:pPr>
            <w:r>
              <w:rPr>
                <w:rFonts w:ascii="Arial" w:cs="Arial" w:eastAsia="Arial" w:hAnsi="Arial"/>
                <w:sz w:val="20"/>
                <w:szCs w:val="20"/>
                <w:b w:val="1"/>
                <w:bCs w:val="1"/>
                <w:color w:val="auto"/>
              </w:rPr>
              <w:t>(241,581)</w:t>
            </w:r>
          </w:p>
        </w:tc>
        <w:tc>
          <w:tcPr>
            <w:tcW w:w="340" w:type="dxa"/>
            <w:vAlign w:val="bottom"/>
          </w:tcPr>
          <w:p>
            <w:pPr>
              <w:jc w:val="right"/>
              <w:ind w:right="140"/>
              <w:spacing w:after="0" w:line="220" w:lineRule="exact"/>
              <w:rPr>
                <w:sz w:val="20"/>
                <w:szCs w:val="20"/>
                <w:color w:val="auto"/>
              </w:rPr>
            </w:pPr>
            <w:r>
              <w:rPr>
                <w:rFonts w:ascii="Arial" w:cs="Arial" w:eastAsia="Arial" w:hAnsi="Arial"/>
                <w:sz w:val="20"/>
                <w:szCs w:val="20"/>
                <w:b w:val="1"/>
                <w:bCs w:val="1"/>
                <w:color w:val="auto"/>
                <w:w w:val="71"/>
              </w:rPr>
              <w:t>$</w:t>
            </w:r>
          </w:p>
        </w:tc>
        <w:tc>
          <w:tcPr>
            <w:tcW w:w="120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(226,798)</w:t>
            </w:r>
          </w:p>
        </w:tc>
      </w:tr>
      <w:tr>
        <w:trPr>
          <w:trHeight w:val="274"/>
        </w:trPr>
        <w:tc>
          <w:tcPr>
            <w:tcW w:w="6860" w:type="dxa"/>
            <w:vAlign w:val="bottom"/>
          </w:tcPr>
          <w:p>
            <w:pPr>
              <w:spacing w:after="0"/>
              <w:rPr>
                <w:sz w:val="20"/>
                <w:szCs w:val="20"/>
                <w:color w:val="auto"/>
              </w:rPr>
            </w:pPr>
            <w:r>
              <w:rPr>
                <w:rFonts w:ascii="Arial" w:cs="Arial" w:eastAsia="Arial" w:hAnsi="Arial"/>
                <w:sz w:val="20"/>
                <w:szCs w:val="20"/>
                <w:b w:val="1"/>
                <w:bCs w:val="1"/>
                <w:color w:val="auto"/>
                <w:w w:val="96"/>
              </w:rPr>
              <w:t>Net loss per share attributable to common stockholders, basic and diluted</w:t>
            </w: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400" w:type="dxa"/>
            <w:vAlign w:val="bottom"/>
            <w:gridSpan w:val="3"/>
          </w:tcPr>
          <w:p>
            <w:pPr>
              <w:jc w:val="right"/>
              <w:ind w:right="200"/>
              <w:spacing w:after="0"/>
              <w:rPr>
                <w:sz w:val="20"/>
                <w:szCs w:val="20"/>
                <w:color w:val="auto"/>
              </w:rPr>
            </w:pPr>
            <w:r>
              <w:rPr>
                <w:rFonts w:ascii="Arial" w:cs="Arial" w:eastAsia="Arial" w:hAnsi="Arial"/>
                <w:sz w:val="20"/>
                <w:szCs w:val="20"/>
                <w:b w:val="1"/>
                <w:bCs w:val="1"/>
                <w:color w:val="auto"/>
              </w:rPr>
              <w:t>(2.23)</w:t>
            </w:r>
          </w:p>
        </w:tc>
        <w:tc>
          <w:tcPr>
            <w:tcW w:w="340" w:type="dxa"/>
            <w:vAlign w:val="bottom"/>
          </w:tcPr>
          <w:p>
            <w:pPr>
              <w:jc w:val="right"/>
              <w:ind w:right="140"/>
              <w:spacing w:after="0"/>
              <w:rPr>
                <w:sz w:val="20"/>
                <w:szCs w:val="20"/>
                <w:color w:val="auto"/>
              </w:rPr>
            </w:pPr>
            <w:r>
              <w:rPr>
                <w:rFonts w:ascii="Arial" w:cs="Arial" w:eastAsia="Arial" w:hAnsi="Arial"/>
                <w:sz w:val="20"/>
                <w:szCs w:val="20"/>
                <w:b w:val="1"/>
                <w:bCs w:val="1"/>
                <w:color w:val="auto"/>
                <w:w w:val="71"/>
              </w:rPr>
              <w:t>$</w:t>
            </w: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(5.32)</w:t>
            </w:r>
          </w:p>
        </w:tc>
      </w:tr>
      <w:tr>
        <w:trPr>
          <w:trHeight w:val="276"/>
        </w:trPr>
        <w:tc>
          <w:tcPr>
            <w:tcW w:w="6860" w:type="dxa"/>
            <w:vAlign w:val="bottom"/>
          </w:tcPr>
          <w:p>
            <w:pPr>
              <w:spacing w:after="0"/>
              <w:rPr>
                <w:sz w:val="20"/>
                <w:szCs w:val="20"/>
                <w:color w:val="auto"/>
              </w:rPr>
            </w:pPr>
            <w:r>
              <w:rPr>
                <w:rFonts w:ascii="Arial" w:cs="Arial" w:eastAsia="Arial" w:hAnsi="Arial"/>
                <w:sz w:val="20"/>
                <w:szCs w:val="20"/>
                <w:b w:val="1"/>
                <w:bCs w:val="1"/>
                <w:color w:val="auto"/>
              </w:rPr>
              <w:t>Weighted-average common shares outstanding, basic and diluted</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108,268,289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42,621,265</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-2457450</wp:posOffset>
            </wp:positionV>
            <wp:extent cx="6433185" cy="25869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499">
                      <a:extLst>
                        <a:ext uri="{28A0092B-C50C-407E-A947-70E740481C1C}"/>
                      </a:extLst>
                    </a:blip>
                    <a:srcRect/>
                    <a:stretch>
                      <a:fillRect/>
                    </a:stretch>
                  </pic:blipFill>
                  <pic:spPr bwMode="auto">
                    <a:xfrm>
                      <a:off x="0" y="0"/>
                      <a:ext cx="6433185" cy="2586990"/>
                    </a:xfrm>
                    <a:prstGeom prst="rect">
                      <a:avLst/>
                    </a:prstGeom>
                    <a:noFill/>
                  </pic:spPr>
                </pic:pic>
              </a:graphicData>
            </a:graphic>
          </wp:anchor>
        </w:drawing>
      </w:r>
    </w:p>
    <w:p>
      <w:pPr>
        <w:spacing w:after="0" w:line="310" w:lineRule="exact"/>
        <w:rPr>
          <w:sz w:val="20"/>
          <w:szCs w:val="20"/>
          <w:color w:val="auto"/>
        </w:rPr>
      </w:pPr>
    </w:p>
    <w:p>
      <w:pPr>
        <w:ind w:left="480" w:hanging="480"/>
        <w:spacing w:after="0" w:line="234" w:lineRule="auto"/>
        <w:tabs>
          <w:tab w:leader="none" w:pos="4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Includes related-party amounts of $8,154 and $4,150 for the years ended December 31, 2022 and 2021, respectively (see Notes 7 and 8).</w:t>
      </w:r>
    </w:p>
    <w:p>
      <w:pPr>
        <w:spacing w:after="0" w:line="12" w:lineRule="exact"/>
        <w:rPr>
          <w:rFonts w:ascii="Arial" w:cs="Arial" w:eastAsia="Arial" w:hAnsi="Arial"/>
          <w:sz w:val="20"/>
          <w:szCs w:val="20"/>
          <w:b w:val="1"/>
          <w:bCs w:val="1"/>
          <w:color w:val="auto"/>
        </w:rPr>
      </w:pPr>
    </w:p>
    <w:p>
      <w:pPr>
        <w:ind w:left="480" w:hanging="480"/>
        <w:spacing w:after="0" w:line="234" w:lineRule="auto"/>
        <w:tabs>
          <w:tab w:leader="none" w:pos="4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Includes related-party amounts of $4,400 and $7,500 for the years ended December 31, 2022 and 2021, respectively (see Note 7).</w:t>
      </w:r>
    </w:p>
    <w:p>
      <w:pPr>
        <w:spacing w:after="0" w:line="9" w:lineRule="exact"/>
        <w:rPr>
          <w:rFonts w:ascii="Arial" w:cs="Arial" w:eastAsia="Arial" w:hAnsi="Arial"/>
          <w:sz w:val="20"/>
          <w:szCs w:val="20"/>
          <w:b w:val="1"/>
          <w:bCs w:val="1"/>
          <w:color w:val="auto"/>
        </w:rPr>
      </w:pPr>
    </w:p>
    <w:p>
      <w:pPr>
        <w:ind w:left="480" w:hanging="480"/>
        <w:spacing w:after="0" w:line="234" w:lineRule="auto"/>
        <w:tabs>
          <w:tab w:leader="none" w:pos="4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Includes related-party amounts of $17,373 and $0 for the years ended December 31, 2022 and 2021, respectively (see Note 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F-4</w:t>
      </w:r>
    </w:p>
    <w:p>
      <w:pPr>
        <w:sectPr>
          <w:pgSz w:w="12240" w:h="15840" w:orient="portrait"/>
          <w:cols w:equalWidth="0" w:num="1">
            <w:col w:w="10080"/>
          </w:cols>
          <w:pgMar w:left="1080" w:top="1079" w:right="1080" w:bottom="157"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20"/>
          <w:szCs w:val="20"/>
          <w:b w:val="1"/>
          <w:bCs w:val="1"/>
          <w:color w:val="auto"/>
        </w:rPr>
        <w:t>INVIVYD, INC.</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CONSOLIDATED STATEMENTS OF CONVERTIBLE PREFERRED STOCK AND STOCKHOLDERS’ EQUITY (DEFICIT)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(In thousands, except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1880" w:type="dxa"/>
            <w:vAlign w:val="bottom"/>
            <w:tcBorders>
              <w:right w:val="single" w:sz="8" w:color="auto"/>
            </w:tcBorders>
            <w:gridSpan w:val="6"/>
          </w:tcPr>
          <w:p>
            <w:pPr>
              <w:jc w:val="center"/>
              <w:ind w:right="300"/>
              <w:spacing w:after="0" w:line="154" w:lineRule="exact"/>
              <w:rPr>
                <w:sz w:val="20"/>
                <w:szCs w:val="20"/>
                <w:color w:val="auto"/>
              </w:rPr>
            </w:pPr>
            <w:r>
              <w:rPr>
                <w:rFonts w:ascii="Arial" w:cs="Arial" w:eastAsia="Arial" w:hAnsi="Arial"/>
                <w:sz w:val="14"/>
                <w:szCs w:val="14"/>
                <w:b w:val="1"/>
                <w:bCs w:val="1"/>
                <w:color w:val="auto"/>
                <w:w w:val="93"/>
              </w:rPr>
              <w:t>Convertible Preferred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0"/>
              <w:spacing w:after="0" w:line="154" w:lineRule="exact"/>
              <w:rPr>
                <w:sz w:val="20"/>
                <w:szCs w:val="20"/>
                <w:color w:val="auto"/>
              </w:rPr>
            </w:pPr>
            <w:r>
              <w:rPr>
                <w:rFonts w:ascii="Arial" w:cs="Arial" w:eastAsia="Arial" w:hAnsi="Arial"/>
                <w:sz w:val="14"/>
                <w:szCs w:val="14"/>
                <w:b w:val="1"/>
                <w:bCs w:val="1"/>
                <w:color w:val="auto"/>
                <w:w w:val="90"/>
              </w:rPr>
              <w:t>Additional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Stock</w:t>
            </w: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3"/>
                <w:szCs w:val="13"/>
                <w:color w:val="auto"/>
              </w:rPr>
            </w:pPr>
          </w:p>
        </w:tc>
        <w:tc>
          <w:tcPr>
            <w:tcW w:w="1860" w:type="dxa"/>
            <w:vAlign w:val="bottom"/>
            <w:gridSpan w:val="4"/>
          </w:tcPr>
          <w:p>
            <w:pPr>
              <w:ind w:left="460"/>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1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3"/>
                <w:szCs w:val="13"/>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Comprehensive</w:t>
            </w:r>
          </w:p>
        </w:tc>
        <w:tc>
          <w:tcPr>
            <w:tcW w:w="11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Accumulated</w:t>
            </w: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23"/>
        </w:trPr>
        <w:tc>
          <w:tcPr>
            <w:tcW w:w="3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620" w:type="dxa"/>
            <w:vAlign w:val="bottom"/>
          </w:tcPr>
          <w:p>
            <w:pPr>
              <w:jc w:val="right"/>
              <w:ind w:right="3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10"/>
              <w:spacing w:after="0"/>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3"/>
                <w:szCs w:val="13"/>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8"/>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2021</w:t>
            </w:r>
          </w:p>
        </w:tc>
        <w:tc>
          <w:tcPr>
            <w:tcW w:w="5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right w:val="single" w:sz="8" w:color="auto"/>
            </w:tcBorders>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20" w:type="dxa"/>
            <w:vAlign w:val="bottom"/>
            <w:vMerge w:val="continue"/>
          </w:tcPr>
          <w:p>
            <w:pPr>
              <w:spacing w:after="0"/>
              <w:rPr>
                <w:sz w:val="11"/>
                <w:szCs w:val="11"/>
                <w:color w:val="auto"/>
              </w:rPr>
            </w:pPr>
          </w:p>
        </w:tc>
        <w:tc>
          <w:tcPr>
            <w:tcW w:w="580" w:type="dxa"/>
            <w:vAlign w:val="bottom"/>
          </w:tcPr>
          <w:p>
            <w:pPr>
              <w:ind w:left="440"/>
              <w:spacing w:after="0" w:line="130" w:lineRule="exact"/>
              <w:rPr>
                <w:sz w:val="20"/>
                <w:szCs w:val="20"/>
                <w:color w:val="auto"/>
              </w:rPr>
            </w:pPr>
            <w:r>
              <w:rPr>
                <w:rFonts w:ascii="Arial" w:cs="Arial" w:eastAsia="Arial" w:hAnsi="Arial"/>
                <w:sz w:val="14"/>
                <w:szCs w:val="14"/>
                <w:b w:val="1"/>
                <w:bCs w:val="1"/>
                <w:color w:val="auto"/>
                <w:w w:val="85"/>
              </w:rPr>
              <w:t>—</w:t>
            </w:r>
          </w:p>
        </w:tc>
        <w:tc>
          <w:tcPr>
            <w:tcW w:w="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80"/>
              <w:spacing w:after="0" w:line="130" w:lineRule="exact"/>
              <w:rPr>
                <w:sz w:val="20"/>
                <w:szCs w:val="20"/>
                <w:color w:val="auto"/>
              </w:rPr>
            </w:pPr>
            <w:r>
              <w:rPr>
                <w:rFonts w:ascii="Arial" w:cs="Arial" w:eastAsia="Arial" w:hAnsi="Arial"/>
                <w:sz w:val="14"/>
                <w:szCs w:val="14"/>
                <w:b w:val="1"/>
                <w:bCs w:val="1"/>
                <w:color w:val="auto"/>
                <w:w w:val="85"/>
              </w:rPr>
              <w:t>—</w:t>
            </w:r>
          </w:p>
        </w:tc>
        <w:tc>
          <w:tcPr>
            <w:tcW w:w="300" w:type="dxa"/>
            <w:vAlign w:val="bottom"/>
            <w:tcBorders>
              <w:right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110,782,909</w:t>
            </w:r>
          </w:p>
        </w:tc>
        <w:tc>
          <w:tcPr>
            <w:tcW w:w="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11</w:t>
            </w:r>
          </w:p>
        </w:tc>
        <w:tc>
          <w:tcPr>
            <w:tcW w:w="300" w:type="dxa"/>
            <w:vAlign w:val="bottom"/>
            <w:vMerge w:val="continue"/>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468,751</w:t>
            </w:r>
          </w:p>
        </w:tc>
        <w:tc>
          <w:tcPr>
            <w:tcW w:w="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480"/>
              <w:spacing w:after="0" w:line="130" w:lineRule="exact"/>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850,125</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240"/>
              <w:spacing w:after="0" w:line="130" w:lineRule="exact"/>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1"/>
                <w:szCs w:val="11"/>
                <w:color w:val="auto"/>
              </w:rPr>
            </w:pPr>
          </w:p>
        </w:tc>
        <w:tc>
          <w:tcPr>
            <w:tcW w:w="74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(292,109)</w:t>
            </w:r>
          </w:p>
        </w:tc>
        <w:tc>
          <w:tcPr>
            <w:tcW w:w="2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558,019</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line="154" w:lineRule="exact"/>
              <w:rPr>
                <w:sz w:val="20"/>
                <w:szCs w:val="20"/>
                <w:color w:val="auto"/>
              </w:rPr>
            </w:pPr>
            <w:r>
              <w:rPr>
                <w:rFonts w:ascii="Arial" w:cs="Arial" w:eastAsia="Arial" w:hAnsi="Arial"/>
                <w:sz w:val="14"/>
                <w:szCs w:val="14"/>
                <w:b w:val="1"/>
                <w:bCs w:val="1"/>
                <w:color w:val="auto"/>
              </w:rPr>
              <w:t>Issuance of warrants for common stock</w:t>
            </w:r>
          </w:p>
        </w:tc>
        <w:tc>
          <w:tcPr>
            <w:tcW w:w="600" w:type="dxa"/>
            <w:vAlign w:val="bottom"/>
            <w:gridSpan w:val="2"/>
          </w:tcPr>
          <w:p>
            <w:pPr>
              <w:ind w:left="440"/>
              <w:spacing w:after="0" w:line="154" w:lineRule="exact"/>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80"/>
              <w:spacing w:after="0" w:line="154"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ind w:left="480"/>
              <w:spacing w:after="0" w:line="154" w:lineRule="exact"/>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17,373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line="154"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line="154" w:lineRule="exact"/>
              <w:rPr>
                <w:sz w:val="20"/>
                <w:szCs w:val="20"/>
                <w:color w:val="auto"/>
              </w:rPr>
            </w:pPr>
            <w:r>
              <w:rPr>
                <w:rFonts w:ascii="Arial" w:cs="Arial" w:eastAsia="Arial" w:hAnsi="Arial"/>
                <w:sz w:val="14"/>
                <w:szCs w:val="14"/>
                <w:b w:val="1"/>
                <w:bCs w:val="1"/>
                <w:color w:val="auto"/>
              </w:rPr>
              <w:t>17,373</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Exercise of stock options</w:t>
            </w:r>
          </w:p>
        </w:tc>
        <w:tc>
          <w:tcPr>
            <w:tcW w:w="60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298,353</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w w:val="99"/>
              </w:rPr>
              <w:t>Repurchase of unvested restricted common stock</w:t>
            </w:r>
          </w:p>
        </w:tc>
        <w:tc>
          <w:tcPr>
            <w:tcW w:w="60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(2,150,737)</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2,150,737</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Retirement of treasury stock</w:t>
            </w:r>
          </w:p>
        </w:tc>
        <w:tc>
          <w:tcPr>
            <w:tcW w:w="60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(2,619,488)</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Stock-based compensation expense</w:t>
            </w:r>
          </w:p>
        </w:tc>
        <w:tc>
          <w:tcPr>
            <w:tcW w:w="60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21,648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21,648</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w w:val="92"/>
              </w:rPr>
              <w:t>Issuance of common stock under the employee stock</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purchase plan</w:t>
            </w:r>
          </w:p>
        </w:tc>
        <w:tc>
          <w:tcPr>
            <w:tcW w:w="60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113,521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269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Vesting of restricted common stock from early-</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exercised options</w:t>
            </w:r>
          </w:p>
        </w:tc>
        <w:tc>
          <w:tcPr>
            <w:tcW w:w="60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w w:val="92"/>
              </w:rPr>
              <w:t>Unrealized loss on available-for-sale securities, net of</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tax</w:t>
            </w:r>
          </w:p>
        </w:tc>
        <w:tc>
          <w:tcPr>
            <w:tcW w:w="60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(264)</w:t>
            </w:r>
          </w:p>
        </w:tc>
        <w:tc>
          <w:tcPr>
            <w:tcW w:w="160" w:type="dxa"/>
            <w:vAlign w:val="bottom"/>
          </w:tcPr>
          <w:p>
            <w:pPr>
              <w:spacing w:after="0"/>
              <w:rPr>
                <w:sz w:val="13"/>
                <w:szCs w:val="13"/>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(264)</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600" w:type="dxa"/>
            <w:vAlign w:val="bottom"/>
            <w:gridSpan w:val="2"/>
          </w:tcPr>
          <w:p>
            <w:pPr>
              <w:ind w:left="440"/>
              <w:spacing w:after="0"/>
              <w:rPr>
                <w:sz w:val="20"/>
                <w:szCs w:val="20"/>
                <w:color w:val="auto"/>
              </w:rPr>
            </w:pPr>
            <w:r>
              <w:rPr>
                <w:rFonts w:ascii="Arial" w:cs="Arial" w:eastAsia="Arial" w:hAnsi="Arial"/>
                <w:sz w:val="14"/>
                <w:szCs w:val="14"/>
                <w:b w:val="1"/>
                <w:bCs w:val="1"/>
                <w:color w:val="auto"/>
                <w:w w:val="99"/>
              </w:rPr>
              <w: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ind w:left="480"/>
              <w:spacing w:after="0"/>
              <w:rPr>
                <w:sz w:val="20"/>
                <w:szCs w:val="20"/>
                <w:color w:val="auto"/>
              </w:rPr>
            </w:pPr>
            <w:r>
              <w:rPr>
                <w:rFonts w:ascii="Arial" w:cs="Arial" w:eastAsia="Arial" w:hAnsi="Arial"/>
                <w:sz w:val="14"/>
                <w:szCs w:val="14"/>
                <w:b w:val="1"/>
                <w:bCs w:val="1"/>
                <w:color w:val="auto"/>
                <w:w w:val="85"/>
              </w:rPr>
              <w:t>—</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3"/>
                <w:szCs w:val="1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(241,317)</w:t>
            </w: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(241,317)</w:t>
            </w:r>
          </w:p>
        </w:tc>
        <w:tc>
          <w:tcPr>
            <w:tcW w:w="0" w:type="dxa"/>
            <w:vAlign w:val="bottom"/>
          </w:tcPr>
          <w:p>
            <w:pPr>
              <w:spacing w:after="0"/>
              <w:rPr>
                <w:sz w:val="1"/>
                <w:szCs w:val="1"/>
                <w:color w:val="auto"/>
              </w:rPr>
            </w:pPr>
          </w:p>
        </w:tc>
      </w:tr>
      <w:tr>
        <w:trPr>
          <w:trHeight w:val="30"/>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2022</w:t>
            </w:r>
          </w:p>
        </w:tc>
        <w:tc>
          <w:tcPr>
            <w:tcW w:w="600" w:type="dxa"/>
            <w:vAlign w:val="bottom"/>
            <w:tcBorders>
              <w:bottom w:val="single" w:sz="8" w:color="auto"/>
            </w:tcBorders>
            <w:gridSpan w:val="2"/>
          </w:tcPr>
          <w:p>
            <w:pPr>
              <w:spacing w:after="0"/>
              <w:rPr>
                <w:sz w:val="2"/>
                <w:szCs w:val="2"/>
                <w:color w:val="auto"/>
              </w:rPr>
            </w:pPr>
          </w:p>
        </w:tc>
        <w:tc>
          <w:tcPr>
            <w:tcW w:w="26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right w:val="single" w:sz="8" w:color="auto"/>
            </w:tcBorders>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3320" w:type="dxa"/>
            <w:vAlign w:val="bottom"/>
            <w:vMerge w:val="continue"/>
          </w:tcPr>
          <w:p>
            <w:pPr>
              <w:spacing w:after="0"/>
              <w:rPr>
                <w:sz w:val="13"/>
                <w:szCs w:val="13"/>
                <w:color w:val="auto"/>
              </w:rPr>
            </w:pPr>
          </w:p>
        </w:tc>
        <w:tc>
          <w:tcPr>
            <w:tcW w:w="600" w:type="dxa"/>
            <w:vAlign w:val="bottom"/>
            <w:gridSpan w:val="2"/>
          </w:tcPr>
          <w:p>
            <w:pPr>
              <w:ind w:left="440"/>
              <w:spacing w:after="0" w:line="151" w:lineRule="exact"/>
              <w:rPr>
                <w:sz w:val="20"/>
                <w:szCs w:val="20"/>
                <w:color w:val="auto"/>
              </w:rPr>
            </w:pPr>
            <w:r>
              <w:rPr>
                <w:rFonts w:ascii="Arial" w:cs="Arial" w:eastAsia="Arial" w:hAnsi="Arial"/>
                <w:sz w:val="14"/>
                <w:szCs w:val="14"/>
                <w:b w:val="1"/>
                <w:bCs w:val="1"/>
                <w:color w:val="auto"/>
                <w:w w:val="99"/>
              </w:rPr>
              <w:t>—</w:t>
            </w:r>
          </w:p>
        </w:tc>
        <w:tc>
          <w:tcPr>
            <w:tcW w:w="26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ind w:left="480"/>
              <w:spacing w:after="0" w:line="151" w:lineRule="exact"/>
              <w:rPr>
                <w:sz w:val="20"/>
                <w:szCs w:val="20"/>
                <w:color w:val="auto"/>
              </w:rPr>
            </w:pPr>
            <w:r>
              <w:rPr>
                <w:rFonts w:ascii="Arial" w:cs="Arial" w:eastAsia="Arial" w:hAnsi="Arial"/>
                <w:sz w:val="14"/>
                <w:szCs w:val="14"/>
                <w:b w:val="1"/>
                <w:bCs w:val="1"/>
                <w:color w:val="auto"/>
                <w:w w:val="85"/>
              </w:rPr>
              <w:t>—</w:t>
            </w:r>
          </w:p>
        </w:tc>
        <w:tc>
          <w:tcPr>
            <w:tcW w:w="300" w:type="dxa"/>
            <w:vAlign w:val="bottom"/>
            <w:tcBorders>
              <w:right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109,044,046</w:t>
            </w:r>
          </w:p>
        </w:tc>
        <w:tc>
          <w:tcPr>
            <w:tcW w:w="280" w:type="dxa"/>
            <w:vAlign w:val="bottom"/>
            <w:vMerge w:val="continue"/>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11</w:t>
            </w:r>
          </w:p>
        </w:tc>
        <w:tc>
          <w:tcPr>
            <w:tcW w:w="30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280" w:type="dxa"/>
            <w:vAlign w:val="bottom"/>
            <w:vMerge w:val="continue"/>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ind w:left="480"/>
              <w:spacing w:after="0" w:line="151" w:lineRule="exact"/>
              <w:rPr>
                <w:sz w:val="20"/>
                <w:szCs w:val="20"/>
                <w:color w:val="auto"/>
              </w:rPr>
            </w:pPr>
            <w:r>
              <w:rPr>
                <w:rFonts w:ascii="Arial" w:cs="Arial" w:eastAsia="Arial" w:hAnsi="Arial"/>
                <w:sz w:val="14"/>
                <w:szCs w:val="14"/>
                <w:b w:val="1"/>
                <w:bCs w:val="1"/>
                <w:color w:val="auto"/>
                <w:w w:val="85"/>
              </w:rPr>
              <w:t>—</w:t>
            </w:r>
          </w:p>
        </w:tc>
        <w:tc>
          <w:tcPr>
            <w:tcW w:w="3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889,657</w:t>
            </w:r>
          </w:p>
        </w:tc>
        <w:tc>
          <w:tcPr>
            <w:tcW w:w="280" w:type="dxa"/>
            <w:vAlign w:val="bottom"/>
            <w:vMerge w:val="continue"/>
          </w:tcPr>
          <w:p>
            <w:pPr>
              <w:spacing w:after="0"/>
              <w:rPr>
                <w:sz w:val="13"/>
                <w:szCs w:val="13"/>
                <w:color w:val="auto"/>
              </w:rPr>
            </w:pPr>
          </w:p>
        </w:tc>
        <w:tc>
          <w:tcPr>
            <w:tcW w:w="1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(272)</w:t>
            </w:r>
          </w:p>
        </w:tc>
        <w:tc>
          <w:tcPr>
            <w:tcW w:w="280" w:type="dxa"/>
            <w:vAlign w:val="bottom"/>
            <w:vMerge w:val="continue"/>
          </w:tcPr>
          <w:p>
            <w:pPr>
              <w:spacing w:after="0"/>
              <w:rPr>
                <w:sz w:val="13"/>
                <w:szCs w:val="13"/>
                <w:color w:val="auto"/>
              </w:rPr>
            </w:pPr>
          </w:p>
        </w:tc>
        <w:tc>
          <w:tcPr>
            <w:tcW w:w="160" w:type="dxa"/>
            <w:vAlign w:val="bottom"/>
          </w:tcPr>
          <w:p>
            <w:pPr>
              <w:jc w:val="right"/>
              <w:ind w:right="10"/>
              <w:spacing w:after="0" w:line="151" w:lineRule="exact"/>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(533,426)</w:t>
            </w:r>
          </w:p>
        </w:tc>
        <w:tc>
          <w:tcPr>
            <w:tcW w:w="280" w:type="dxa"/>
            <w:vAlign w:val="bottom"/>
            <w:vMerge w:val="continue"/>
          </w:tcPr>
          <w:p>
            <w:pPr>
              <w:spacing w:after="0"/>
              <w:rPr>
                <w:sz w:val="13"/>
                <w:szCs w:val="13"/>
                <w:color w:val="auto"/>
              </w:rPr>
            </w:pPr>
          </w:p>
        </w:tc>
        <w:tc>
          <w:tcPr>
            <w:tcW w:w="14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355,970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9169400" cy="14992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00">
                      <a:extLst>
                        <a:ext uri="{28A0092B-C50C-407E-A947-70E740481C1C}"/>
                      </a:extLst>
                    </a:blip>
                    <a:srcRect/>
                    <a:stretch>
                      <a:fillRect/>
                    </a:stretch>
                  </pic:blipFill>
                  <pic:spPr bwMode="auto">
                    <a:xfrm>
                      <a:off x="0" y="0"/>
                      <a:ext cx="9169400" cy="1499235"/>
                    </a:xfrm>
                    <a:prstGeom prst="rect">
                      <a:avLst/>
                    </a:prstGeom>
                    <a:noFill/>
                  </pic:spPr>
                </pic:pic>
              </a:graphicData>
            </a:graphic>
          </wp:anchor>
        </w:drawing>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wp:posOffset>
            </wp:positionH>
            <wp:positionV relativeFrom="paragraph">
              <wp:posOffset>-19685</wp:posOffset>
            </wp:positionV>
            <wp:extent cx="110490" cy="1917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01">
                      <a:extLst>
                        <a:ext uri="{28A0092B-C50C-407E-A947-70E740481C1C}"/>
                      </a:extLst>
                    </a:blip>
                    <a:srcRect/>
                    <a:stretch>
                      <a:fillRect/>
                    </a:stretch>
                  </pic:blipFill>
                  <pic:spPr bwMode="auto">
                    <a:xfrm>
                      <a:off x="0" y="0"/>
                      <a:ext cx="110490" cy="191770"/>
                    </a:xfrm>
                    <a:prstGeom prst="rect">
                      <a:avLst/>
                    </a:prstGeom>
                    <a:noFill/>
                  </pic:spPr>
                </pic:pic>
              </a:graphicData>
            </a:graphic>
          </wp:anchor>
        </w:drawing>
      </w:r>
    </w:p>
    <w:p>
      <w:pPr>
        <w:sectPr>
          <w:pgSz w:w="15840" w:h="12240" w:orient="landscape"/>
          <w:cols w:equalWidth="0" w:num="1">
            <w:col w:w="14300"/>
          </w:cols>
          <w:pgMar w:left="720" w:top="1169" w:right="820" w:bottom="1440" w:gutter="0" w:footer="0" w:header="0"/>
        </w:sectPr>
      </w:pPr>
    </w:p>
    <w:bookmarkStart w:id="125" w:name="page126"/>
    <w:bookmarkEnd w:id="125"/>
    <w:p>
      <w:pPr>
        <w:jc w:val="center"/>
        <w:ind w:right="-99"/>
        <w:spacing w:after="0"/>
        <w:rPr>
          <w:sz w:val="20"/>
          <w:szCs w:val="20"/>
          <w:color w:val="auto"/>
        </w:rPr>
      </w:pPr>
      <w:r>
        <w:rPr>
          <w:rFonts w:ascii="Arial" w:cs="Arial" w:eastAsia="Arial" w:hAnsi="Arial"/>
          <w:sz w:val="20"/>
          <w:szCs w:val="20"/>
          <w:b w:val="1"/>
          <w:bCs w:val="1"/>
          <w:color w:val="auto"/>
        </w:rPr>
        <w:t>INVIVYD, INC.</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CONSOLIDATED STATEMENTS OF CONVERTIBLE PREFERRED STOCK AND STOCKHOLDERS’ EQUITY (DEFICIT)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(In thousands, except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gridSpan w:val="3"/>
          </w:tcPr>
          <w:p>
            <w:pPr>
              <w:jc w:val="right"/>
              <w:ind w:right="200"/>
              <w:spacing w:after="0" w:line="154"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0"/>
              <w:spacing w:after="0" w:line="154"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3"/>
                <w:szCs w:val="13"/>
                <w:color w:val="auto"/>
              </w:rPr>
            </w:pPr>
          </w:p>
        </w:tc>
        <w:tc>
          <w:tcPr>
            <w:tcW w:w="2160" w:type="dxa"/>
            <w:vAlign w:val="bottom"/>
            <w:tcBorders>
              <w:right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5"/>
              </w:rPr>
              <w:t>Convertible Preferred Stock</w:t>
            </w:r>
          </w:p>
        </w:tc>
        <w:tc>
          <w:tcPr>
            <w:tcW w:w="140" w:type="dxa"/>
            <w:vAlign w:val="bottom"/>
          </w:tcPr>
          <w:p>
            <w:pPr>
              <w:spacing w:after="0"/>
              <w:rPr>
                <w:sz w:val="13"/>
                <w:szCs w:val="13"/>
                <w:color w:val="auto"/>
              </w:rPr>
            </w:pPr>
          </w:p>
        </w:tc>
        <w:tc>
          <w:tcPr>
            <w:tcW w:w="15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ind w:right="83"/>
              <w:spacing w:after="0"/>
              <w:rPr>
                <w:sz w:val="20"/>
                <w:szCs w:val="20"/>
                <w:color w:val="auto"/>
              </w:rPr>
            </w:pPr>
            <w:r>
              <w:rPr>
                <w:rFonts w:ascii="Arial" w:cs="Arial" w:eastAsia="Arial" w:hAnsi="Arial"/>
                <w:sz w:val="14"/>
                <w:szCs w:val="14"/>
                <w:b w:val="1"/>
                <w:bCs w:val="1"/>
                <w:color w:val="auto"/>
              </w:rPr>
              <w:t>Treasury Stock</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3"/>
                <w:szCs w:val="13"/>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Comprehensive</w:t>
            </w: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30"/>
        </w:trPr>
        <w:tc>
          <w:tcPr>
            <w:tcW w:w="33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20"/>
        </w:trPr>
        <w:tc>
          <w:tcPr>
            <w:tcW w:w="3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3"/>
                <w:szCs w:val="13"/>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30"/>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2020</w:t>
            </w:r>
          </w:p>
        </w:tc>
        <w:tc>
          <w:tcPr>
            <w:tcW w:w="8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4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320" w:type="dxa"/>
            <w:vAlign w:val="bottom"/>
            <w:vMerge w:val="continue"/>
          </w:tcPr>
          <w:p>
            <w:pPr>
              <w:spacing w:after="0"/>
              <w:rPr>
                <w:sz w:val="11"/>
                <w:szCs w:val="11"/>
                <w:color w:val="auto"/>
              </w:rPr>
            </w:pPr>
          </w:p>
        </w:tc>
        <w:tc>
          <w:tcPr>
            <w:tcW w:w="86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12,647,934</w:t>
            </w:r>
          </w:p>
        </w:tc>
        <w:tc>
          <w:tcPr>
            <w:tcW w:w="280" w:type="dxa"/>
            <w:vAlign w:val="bottom"/>
          </w:tcPr>
          <w:p>
            <w:pPr>
              <w:spacing w:after="0"/>
              <w:rPr>
                <w:sz w:val="11"/>
                <w:szCs w:val="11"/>
                <w:color w:val="auto"/>
              </w:rPr>
            </w:pPr>
          </w:p>
        </w:tc>
        <w:tc>
          <w:tcPr>
            <w:tcW w:w="1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169,548</w:t>
            </w:r>
          </w:p>
        </w:tc>
        <w:tc>
          <w:tcPr>
            <w:tcW w:w="300" w:type="dxa"/>
            <w:vAlign w:val="bottom"/>
            <w:tcBorders>
              <w:right w:val="single" w:sz="8" w:color="auto"/>
            </w:tcBorders>
          </w:tcPr>
          <w:p>
            <w:pPr>
              <w:spacing w:after="0"/>
              <w:rPr>
                <w:sz w:val="11"/>
                <w:szCs w:val="11"/>
                <w:color w:val="auto"/>
              </w:rPr>
            </w:pPr>
          </w:p>
        </w:tc>
        <w:tc>
          <w:tcPr>
            <w:tcW w:w="140" w:type="dxa"/>
            <w:vAlign w:val="bottom"/>
            <w:vMerge w:val="continue"/>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5,593,240</w:t>
            </w:r>
          </w:p>
        </w:tc>
        <w:tc>
          <w:tcPr>
            <w:tcW w:w="280" w:type="dxa"/>
            <w:vAlign w:val="bottom"/>
            <w:vMerge w:val="continue"/>
          </w:tcPr>
          <w:p>
            <w:pPr>
              <w:spacing w:after="0"/>
              <w:rPr>
                <w:sz w:val="11"/>
                <w:szCs w:val="11"/>
                <w:color w:val="auto"/>
              </w:rPr>
            </w:pPr>
          </w:p>
        </w:tc>
        <w:tc>
          <w:tcPr>
            <w:tcW w:w="280" w:type="dxa"/>
            <w:vAlign w:val="bottom"/>
          </w:tcPr>
          <w:p>
            <w:pPr>
              <w:jc w:val="right"/>
              <w:ind w:right="130"/>
              <w:spacing w:after="0" w:line="130"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1</w:t>
            </w:r>
          </w:p>
        </w:tc>
        <w:tc>
          <w:tcPr>
            <w:tcW w:w="280" w:type="dxa"/>
            <w:vAlign w:val="bottom"/>
            <w:vMerge w:val="continue"/>
          </w:tcPr>
          <w:p>
            <w:pPr>
              <w:spacing w:after="0"/>
              <w:rPr>
                <w:sz w:val="11"/>
                <w:szCs w:val="11"/>
                <w:color w:val="auto"/>
              </w:rPr>
            </w:pPr>
          </w:p>
        </w:tc>
        <w:tc>
          <w:tcPr>
            <w:tcW w:w="98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22,600,000</w:t>
            </w:r>
          </w:p>
        </w:tc>
        <w:tc>
          <w:tcPr>
            <w:tcW w:w="300" w:type="dxa"/>
            <w:vAlign w:val="bottom"/>
            <w:vMerge w:val="continue"/>
          </w:tcPr>
          <w:p>
            <w:pPr>
              <w:spacing w:after="0"/>
              <w:rPr>
                <w:sz w:val="11"/>
                <w:szCs w:val="11"/>
                <w:color w:val="auto"/>
              </w:rPr>
            </w:pPr>
          </w:p>
        </w:tc>
        <w:tc>
          <w:tcPr>
            <w:tcW w:w="240" w:type="dxa"/>
            <w:vAlign w:val="bottom"/>
          </w:tcPr>
          <w:p>
            <w:pPr>
              <w:jc w:val="right"/>
              <w:ind w:right="123"/>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(85)</w:t>
            </w:r>
          </w:p>
        </w:tc>
        <w:tc>
          <w:tcPr>
            <w:tcW w:w="300" w:type="dxa"/>
            <w:vAlign w:val="bottom"/>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154</w:t>
            </w:r>
          </w:p>
        </w:tc>
        <w:tc>
          <w:tcPr>
            <w:tcW w:w="1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jc w:val="right"/>
              <w:spacing w:after="0" w:line="130" w:lineRule="exact"/>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w:t>
            </w:r>
          </w:p>
        </w:tc>
        <w:tc>
          <w:tcPr>
            <w:tcW w:w="300" w:type="dxa"/>
            <w:vAlign w:val="bottom"/>
            <w:vMerge w:val="continue"/>
          </w:tcPr>
          <w:p>
            <w:pPr>
              <w:spacing w:after="0"/>
              <w:rPr>
                <w:sz w:val="11"/>
                <w:szCs w:val="11"/>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(65,319)</w:t>
            </w:r>
          </w:p>
        </w:tc>
        <w:tc>
          <w:tcPr>
            <w:tcW w:w="300" w:type="dxa"/>
            <w:vAlign w:val="bottom"/>
            <w:vMerge w:val="continue"/>
          </w:tcPr>
          <w:p>
            <w:pPr>
              <w:spacing w:after="0"/>
              <w:rPr>
                <w:sz w:val="11"/>
                <w:szCs w:val="11"/>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(65,249)</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line="154" w:lineRule="exact"/>
              <w:rPr>
                <w:sz w:val="20"/>
                <w:szCs w:val="20"/>
                <w:color w:val="auto"/>
              </w:rPr>
            </w:pPr>
            <w:r>
              <w:rPr>
                <w:rFonts w:ascii="Arial" w:cs="Arial" w:eastAsia="Arial" w:hAnsi="Arial"/>
                <w:sz w:val="14"/>
                <w:szCs w:val="14"/>
                <w:b w:val="1"/>
                <w:bCs w:val="1"/>
                <w:color w:val="auto"/>
                <w:w w:val="89"/>
              </w:rPr>
              <w:t>Issuance of Series C convertible preferred stock, net of</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issuance costs of $337</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4,296,550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335,163</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Issuance of common stock</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6,000</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w w:val="93"/>
              </w:rPr>
              <w:t>Issuance of common stock upon completion of initial</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w w:val="97"/>
              </w:rPr>
              <w:t>public offering, net of commissions, underwriting</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discounts and offering costs</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20,930,000</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327,518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327,520</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w w:val="92"/>
              </w:rPr>
              <w:t>Conversion of convertible preferred stock to common</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(16,944,484)</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(504,711)</w:t>
            </w:r>
          </w:p>
        </w:tc>
        <w:tc>
          <w:tcPr>
            <w:tcW w:w="14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84,722,420</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504,703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504,711</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Retirement of treasury stock</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(22,600,000)</w:t>
            </w:r>
          </w:p>
        </w:tc>
        <w:tc>
          <w:tcPr>
            <w:tcW w:w="240" w:type="dxa"/>
            <w:vAlign w:val="bottom"/>
          </w:tcPr>
          <w:p>
            <w:pPr>
              <w:jc w:val="right"/>
              <w:ind w:right="123"/>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Vesting of restricted common stock from early-</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exercised options</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w w:val="99"/>
              </w:rPr>
              <w:t>Repurchase of unvested restricted common stock</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(468,751)</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468,751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Stock-based compensation expense</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17,764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17,764</w:t>
            </w:r>
          </w:p>
        </w:tc>
        <w:tc>
          <w:tcPr>
            <w:tcW w:w="0" w:type="dxa"/>
            <w:vAlign w:val="bottom"/>
          </w:tcPr>
          <w:p>
            <w:pPr>
              <w:spacing w:after="0"/>
              <w:rPr>
                <w:sz w:val="1"/>
                <w:szCs w:val="1"/>
                <w:color w:val="auto"/>
              </w:rPr>
            </w:pPr>
          </w:p>
        </w:tc>
      </w:tr>
      <w:tr>
        <w:trPr>
          <w:trHeight w:val="163"/>
        </w:trPr>
        <w:tc>
          <w:tcPr>
            <w:tcW w:w="3320" w:type="dxa"/>
            <w:vAlign w:val="bottom"/>
          </w:tcPr>
          <w:p>
            <w:pPr>
              <w:spacing w:after="0"/>
              <w:rPr>
                <w:sz w:val="20"/>
                <w:szCs w:val="20"/>
                <w:color w:val="auto"/>
              </w:rPr>
            </w:pPr>
            <w:r>
              <w:rPr>
                <w:rFonts w:ascii="Arial" w:cs="Arial" w:eastAsia="Arial" w:hAnsi="Arial"/>
                <w:sz w:val="14"/>
                <w:szCs w:val="14"/>
                <w:b w:val="1"/>
                <w:bCs w:val="1"/>
                <w:color w:val="auto"/>
                <w:w w:val="92"/>
              </w:rPr>
              <w:t>Unrealized loss on available-for-sale securities, net of</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320" w:type="dxa"/>
            <w:vAlign w:val="bottom"/>
          </w:tcPr>
          <w:p>
            <w:pPr>
              <w:ind w:left="100"/>
              <w:spacing w:after="0"/>
              <w:rPr>
                <w:sz w:val="20"/>
                <w:szCs w:val="20"/>
                <w:color w:val="auto"/>
              </w:rPr>
            </w:pPr>
            <w:r>
              <w:rPr>
                <w:rFonts w:ascii="Arial" w:cs="Arial" w:eastAsia="Arial" w:hAnsi="Arial"/>
                <w:sz w:val="14"/>
                <w:szCs w:val="14"/>
                <w:b w:val="1"/>
                <w:bCs w:val="1"/>
                <w:color w:val="auto"/>
              </w:rPr>
              <w:t>tax</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(8)</w:t>
            </w:r>
          </w:p>
        </w:tc>
        <w:tc>
          <w:tcPr>
            <w:tcW w:w="14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61"/>
        </w:trPr>
        <w:tc>
          <w:tcPr>
            <w:tcW w:w="332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9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(226,790)</w:t>
            </w: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(226,790)</w:t>
            </w:r>
          </w:p>
        </w:tc>
        <w:tc>
          <w:tcPr>
            <w:tcW w:w="0" w:type="dxa"/>
            <w:vAlign w:val="bottom"/>
          </w:tcPr>
          <w:p>
            <w:pPr>
              <w:spacing w:after="0"/>
              <w:rPr>
                <w:sz w:val="1"/>
                <w:szCs w:val="1"/>
                <w:color w:val="auto"/>
              </w:rPr>
            </w:pPr>
          </w:p>
        </w:tc>
      </w:tr>
      <w:tr>
        <w:trPr>
          <w:trHeight w:val="28"/>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Balances at December 31, 2021</w:t>
            </w:r>
          </w:p>
        </w:tc>
        <w:tc>
          <w:tcPr>
            <w:tcW w:w="8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right w:val="single" w:sz="8" w:color="auto"/>
            </w:tcBorders>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4"/>
        </w:trPr>
        <w:tc>
          <w:tcPr>
            <w:tcW w:w="3320" w:type="dxa"/>
            <w:vAlign w:val="bottom"/>
            <w:vMerge w:val="continue"/>
          </w:tcPr>
          <w:p>
            <w:pPr>
              <w:spacing w:after="0"/>
              <w:rPr>
                <w:sz w:val="13"/>
                <w:szCs w:val="13"/>
                <w:color w:val="auto"/>
              </w:rPr>
            </w:pPr>
          </w:p>
        </w:tc>
        <w:tc>
          <w:tcPr>
            <w:tcW w:w="86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280" w:type="dxa"/>
            <w:vAlign w:val="bottom"/>
            <w:vMerge w:val="continue"/>
          </w:tcPr>
          <w:p>
            <w:pPr>
              <w:spacing w:after="0"/>
              <w:rPr>
                <w:sz w:val="13"/>
                <w:szCs w:val="13"/>
                <w:color w:val="auto"/>
              </w:rPr>
            </w:pPr>
          </w:p>
        </w:tc>
        <w:tc>
          <w:tcPr>
            <w:tcW w:w="10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76"/>
              </w:rPr>
              <w:t>$</w:t>
            </w:r>
          </w:p>
        </w:tc>
        <w:tc>
          <w:tcPr>
            <w:tcW w:w="6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300" w:type="dxa"/>
            <w:vAlign w:val="bottom"/>
            <w:tcBorders>
              <w:right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110,782,909</w:t>
            </w:r>
          </w:p>
        </w:tc>
        <w:tc>
          <w:tcPr>
            <w:tcW w:w="280" w:type="dxa"/>
            <w:vAlign w:val="bottom"/>
            <w:vMerge w:val="continue"/>
          </w:tcPr>
          <w:p>
            <w:pPr>
              <w:spacing w:after="0"/>
              <w:rPr>
                <w:sz w:val="13"/>
                <w:szCs w:val="13"/>
                <w:color w:val="auto"/>
              </w:rPr>
            </w:pPr>
          </w:p>
        </w:tc>
        <w:tc>
          <w:tcPr>
            <w:tcW w:w="280" w:type="dxa"/>
            <w:vAlign w:val="bottom"/>
          </w:tcPr>
          <w:p>
            <w:pPr>
              <w:jc w:val="right"/>
              <w:ind w:right="130"/>
              <w:spacing w:after="0" w:line="154" w:lineRule="exact"/>
              <w:rPr>
                <w:sz w:val="20"/>
                <w:szCs w:val="20"/>
                <w:color w:val="auto"/>
              </w:rPr>
            </w:pPr>
            <w:r>
              <w:rPr>
                <w:rFonts w:ascii="Arial" w:cs="Arial" w:eastAsia="Arial" w:hAnsi="Arial"/>
                <w:sz w:val="14"/>
                <w:szCs w:val="14"/>
                <w:b w:val="1"/>
                <w:bCs w:val="1"/>
                <w:color w:val="auto"/>
                <w:w w:val="76"/>
              </w:rPr>
              <w:t>$</w:t>
            </w:r>
          </w:p>
        </w:tc>
        <w:tc>
          <w:tcPr>
            <w:tcW w:w="30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11</w:t>
            </w:r>
          </w:p>
        </w:tc>
        <w:tc>
          <w:tcPr>
            <w:tcW w:w="280" w:type="dxa"/>
            <w:vAlign w:val="bottom"/>
            <w:vMerge w:val="continue"/>
          </w:tcPr>
          <w:p>
            <w:pPr>
              <w:spacing w:after="0"/>
              <w:rPr>
                <w:sz w:val="13"/>
                <w:szCs w:val="13"/>
                <w:color w:val="auto"/>
              </w:rPr>
            </w:pPr>
          </w:p>
        </w:tc>
        <w:tc>
          <w:tcPr>
            <w:tcW w:w="98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468,751</w:t>
            </w:r>
          </w:p>
        </w:tc>
        <w:tc>
          <w:tcPr>
            <w:tcW w:w="3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w:t>
            </w:r>
          </w:p>
        </w:tc>
        <w:tc>
          <w:tcPr>
            <w:tcW w:w="3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850,125</w:t>
            </w:r>
          </w:p>
        </w:tc>
        <w:tc>
          <w:tcPr>
            <w:tcW w:w="1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tcPr>
          <w:p>
            <w:pPr>
              <w:jc w:val="right"/>
              <w:spacing w:after="0" w:line="154" w:lineRule="exact"/>
              <w:rPr>
                <w:sz w:val="20"/>
                <w:szCs w:val="20"/>
                <w:color w:val="auto"/>
              </w:rPr>
            </w:pPr>
            <w:r>
              <w:rPr>
                <w:rFonts w:ascii="Arial" w:cs="Arial" w:eastAsia="Arial" w:hAnsi="Arial"/>
                <w:sz w:val="14"/>
                <w:szCs w:val="14"/>
                <w:b w:val="1"/>
                <w:bCs w:val="1"/>
                <w:color w:val="auto"/>
                <w:w w:val="76"/>
              </w:rPr>
              <w:t>$</w:t>
            </w:r>
          </w:p>
        </w:tc>
        <w:tc>
          <w:tcPr>
            <w:tcW w:w="1220" w:type="dxa"/>
            <w:vAlign w:val="bottom"/>
            <w:gridSpan w:val="2"/>
          </w:tcPr>
          <w:p>
            <w:pPr>
              <w:jc w:val="right"/>
              <w:ind w:right="240"/>
              <w:spacing w:after="0" w:line="154" w:lineRule="exact"/>
              <w:rPr>
                <w:sz w:val="20"/>
                <w:szCs w:val="20"/>
                <w:color w:val="auto"/>
              </w:rPr>
            </w:pPr>
            <w:r>
              <w:rPr>
                <w:rFonts w:ascii="Arial" w:cs="Arial" w:eastAsia="Arial" w:hAnsi="Arial"/>
                <w:sz w:val="14"/>
                <w:szCs w:val="14"/>
                <w:b w:val="1"/>
                <w:bCs w:val="1"/>
                <w:color w:val="auto"/>
              </w:rPr>
              <w:t>(8)</w:t>
            </w:r>
          </w:p>
        </w:tc>
        <w:tc>
          <w:tcPr>
            <w:tcW w:w="140" w:type="dxa"/>
            <w:vAlign w:val="bottom"/>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(292,109)</w:t>
            </w:r>
          </w:p>
        </w:tc>
        <w:tc>
          <w:tcPr>
            <w:tcW w:w="300" w:type="dxa"/>
            <w:vAlign w:val="bottom"/>
            <w:vMerge w:val="continue"/>
          </w:tcPr>
          <w:p>
            <w:pPr>
              <w:spacing w:after="0"/>
              <w:rPr>
                <w:sz w:val="13"/>
                <w:szCs w:val="13"/>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558,019</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-1866900</wp:posOffset>
            </wp:positionV>
            <wp:extent cx="9170670" cy="190881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02">
                      <a:extLst>
                        <a:ext uri="{28A0092B-C50C-407E-A947-70E740481C1C}"/>
                      </a:extLst>
                    </a:blip>
                    <a:srcRect/>
                    <a:stretch>
                      <a:fillRect/>
                    </a:stretch>
                  </pic:blipFill>
                  <pic:spPr bwMode="auto">
                    <a:xfrm>
                      <a:off x="0" y="0"/>
                      <a:ext cx="9170670" cy="1908810"/>
                    </a:xfrm>
                    <a:prstGeom prst="rect">
                      <a:avLst/>
                    </a:prstGeom>
                    <a:noFill/>
                  </pic:spPr>
                </pic:pic>
              </a:graphicData>
            </a:graphic>
          </wp:anchor>
        </w:drawing>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-28575</wp:posOffset>
            </wp:positionV>
            <wp:extent cx="112395" cy="19431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03">
                      <a:extLst>
                        <a:ext uri="{28A0092B-C50C-407E-A947-70E740481C1C}"/>
                      </a:extLst>
                    </a:blip>
                    <a:srcRect/>
                    <a:stretch>
                      <a:fillRect/>
                    </a:stretch>
                  </pic:blipFill>
                  <pic:spPr bwMode="auto">
                    <a:xfrm>
                      <a:off x="0" y="0"/>
                      <a:ext cx="112395" cy="194310"/>
                    </a:xfrm>
                    <a:prstGeom prst="rect">
                      <a:avLst/>
                    </a:prstGeom>
                    <a:noFill/>
                  </pic:spPr>
                </pic:pic>
              </a:graphicData>
            </a:graphic>
          </wp:anchor>
        </w:drawing>
      </w:r>
    </w:p>
    <w:p>
      <w:pPr>
        <w:sectPr>
          <w:pgSz w:w="15840" w:h="12240" w:orient="landscape"/>
          <w:cols w:equalWidth="0" w:num="1">
            <w:col w:w="14300"/>
          </w:cols>
          <w:pgMar w:left="720" w:top="907" w:right="820"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20"/>
          <w:szCs w:val="20"/>
          <w:b w:val="1"/>
          <w:bCs w:val="1"/>
          <w:color w:val="auto"/>
        </w:rPr>
        <w:t>INVIVYD, INC.</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w:t>
      </w:r>
    </w:p>
    <w:p>
      <w:pPr>
        <w:spacing w:after="0" w:line="139" w:lineRule="exact"/>
        <w:rPr>
          <w:sz w:val="20"/>
          <w:szCs w:val="20"/>
          <w:color w:val="auto"/>
        </w:rPr>
      </w:pPr>
    </w:p>
    <w:p>
      <w:pPr>
        <w:jc w:val="center"/>
        <w:ind w:left="6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4391660</wp:posOffset>
                </wp:positionH>
                <wp:positionV relativeFrom="paragraph">
                  <wp:posOffset>2540</wp:posOffset>
                </wp:positionV>
                <wp:extent cx="1945005" cy="0"/>
                <wp:wrapNone/>
                <wp:docPr id="517" name="Shape 5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5005" cy="4763"/>
                        </a:xfrm>
                        <a:prstGeom prst="line">
                          <a:avLst/>
                        </a:prstGeom>
                        <a:solidFill>
                          <a:srgbClr val="FFFFFF"/>
                        </a:solidFill>
                        <a:ln w="7620">
                          <a:solidFill>
                            <a:srgbClr val="000000"/>
                          </a:solidFill>
                          <a:miter lim="800000"/>
                          <a:headEnd/>
                          <a:tailEnd/>
                        </a:ln>
                      </wps:spPr>
                      <wps:bodyPr/>
                    </wps:wsp>
                  </a:graphicData>
                </a:graphic>
              </wp:anchor>
            </w:drawing>
          </mc:Choice>
          <mc:Fallback>
            <w:pict>
              <v:line id="Shape 517" o:spid="_x0000_s15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8pt,0.2pt" to="498.95pt,0.2pt" o:allowincell="f" strokecolor="#000000" strokeweight="0.6pt"/>
            </w:pict>
          </mc:Fallback>
        </mc:AlternateContent>
      </w:r>
    </w:p>
    <w:p>
      <w:pPr>
        <w:jc w:val="both"/>
        <w:ind w:left="7460"/>
        <w:spacing w:after="0"/>
        <w:tabs>
          <w:tab w:leader="none" w:pos="910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-12065</wp:posOffset>
            </wp:positionV>
            <wp:extent cx="6427470" cy="594741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04">
                      <a:extLst>
                        <a:ext uri="{28A0092B-C50C-407E-A947-70E740481C1C}"/>
                      </a:extLst>
                    </a:blip>
                    <a:srcRect/>
                    <a:stretch>
                      <a:fillRect/>
                    </a:stretch>
                  </pic:blipFill>
                  <pic:spPr bwMode="auto">
                    <a:xfrm>
                      <a:off x="0" y="0"/>
                      <a:ext cx="6427470" cy="5947410"/>
                    </a:xfrm>
                    <a:prstGeom prst="rect">
                      <a:avLst/>
                    </a:prstGeom>
                    <a:noFill/>
                  </pic:spPr>
                </pic:pic>
              </a:graphicData>
            </a:graphic>
          </wp:anchor>
        </w:drawing>
      </w:r>
    </w:p>
    <w:p>
      <w:pPr>
        <w:sectPr>
          <w:pgSz w:w="12240" w:h="15840" w:orient="portrait"/>
          <w:cols w:equalWidth="0" w:num="1">
            <w:col w:w="10040"/>
          </w:cols>
          <w:pgMar w:left="1080" w:top="1340" w:right="1120" w:bottom="157" w:gutter="0" w:footer="0" w:header="0"/>
        </w:sectPr>
      </w:pP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 from operating activities:</w:t>
      </w:r>
    </w:p>
    <w:p>
      <w:pPr>
        <w:spacing w:after="0"/>
        <w:rPr>
          <w:sz w:val="20"/>
          <w:szCs w:val="20"/>
          <w:color w:val="auto"/>
        </w:rPr>
      </w:pPr>
      <w:r>
        <w:rPr>
          <w:rFonts w:ascii="Arial" w:cs="Arial" w:eastAsia="Arial" w:hAnsi="Arial"/>
          <w:sz w:val="20"/>
          <w:szCs w:val="20"/>
          <w:b w:val="1"/>
          <w:bCs w:val="1"/>
          <w:color w:val="auto"/>
        </w:rPr>
        <w:t>Net loss</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Adjustments to reconcile net loss to net cash used in operating activities:</w:t>
      </w:r>
    </w:p>
    <w:p>
      <w:pPr>
        <w:ind w:left="200"/>
        <w:spacing w:after="0"/>
        <w:rPr>
          <w:sz w:val="20"/>
          <w:szCs w:val="20"/>
          <w:color w:val="auto"/>
        </w:rPr>
      </w:pPr>
      <w:r>
        <w:rPr>
          <w:rFonts w:ascii="Arial" w:cs="Arial" w:eastAsia="Arial" w:hAnsi="Arial"/>
          <w:sz w:val="20"/>
          <w:szCs w:val="20"/>
          <w:b w:val="1"/>
          <w:bCs w:val="1"/>
          <w:color w:val="auto"/>
        </w:rPr>
        <w:t>Stock-based compensation expense</w:t>
      </w:r>
    </w:p>
    <w:p>
      <w:pPr>
        <w:ind w:left="200"/>
        <w:spacing w:after="0"/>
        <w:rPr>
          <w:sz w:val="20"/>
          <w:szCs w:val="20"/>
          <w:color w:val="auto"/>
        </w:rPr>
      </w:pPr>
      <w:r>
        <w:rPr>
          <w:rFonts w:ascii="Arial" w:cs="Arial" w:eastAsia="Arial" w:hAnsi="Arial"/>
          <w:sz w:val="20"/>
          <w:szCs w:val="20"/>
          <w:b w:val="1"/>
          <w:bCs w:val="1"/>
          <w:color w:val="auto"/>
        </w:rPr>
        <w:t>Warrant expense</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Net amortization of premiums and accretion of discounts on marketable securities</w:t>
      </w:r>
    </w:p>
    <w:p>
      <w:pPr>
        <w:spacing w:after="0" w:line="4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Amortization of operating lease right-of-use assets</w:t>
      </w:r>
    </w:p>
    <w:p>
      <w:pPr>
        <w:ind w:left="200"/>
        <w:spacing w:after="0"/>
        <w:rPr>
          <w:sz w:val="20"/>
          <w:szCs w:val="20"/>
          <w:color w:val="auto"/>
        </w:rPr>
      </w:pPr>
      <w:r>
        <w:rPr>
          <w:rFonts w:ascii="Arial" w:cs="Arial" w:eastAsia="Arial" w:hAnsi="Arial"/>
          <w:sz w:val="20"/>
          <w:szCs w:val="20"/>
          <w:b w:val="1"/>
          <w:bCs w:val="1"/>
          <w:color w:val="auto"/>
        </w:rPr>
        <w:t>Non-cash payments</w:t>
      </w:r>
    </w:p>
    <w:p>
      <w:pPr>
        <w:ind w:left="200"/>
        <w:spacing w:after="0"/>
        <w:rPr>
          <w:sz w:val="20"/>
          <w:szCs w:val="20"/>
          <w:color w:val="auto"/>
        </w:rPr>
      </w:pPr>
      <w:r>
        <w:rPr>
          <w:rFonts w:ascii="Arial" w:cs="Arial" w:eastAsia="Arial" w:hAnsi="Arial"/>
          <w:sz w:val="20"/>
          <w:szCs w:val="20"/>
          <w:b w:val="1"/>
          <w:bCs w:val="1"/>
          <w:color w:val="auto"/>
        </w:rPr>
        <w:t>Depreciation expense</w:t>
      </w:r>
    </w:p>
    <w:p>
      <w:pPr>
        <w:ind w:left="200"/>
        <w:spacing w:after="0" w:line="237" w:lineRule="auto"/>
        <w:rPr>
          <w:sz w:val="20"/>
          <w:szCs w:val="20"/>
          <w:color w:val="auto"/>
        </w:rPr>
      </w:pPr>
      <w:r>
        <w:rPr>
          <w:rFonts w:ascii="Arial" w:cs="Arial" w:eastAsia="Arial" w:hAnsi="Arial"/>
          <w:sz w:val="20"/>
          <w:szCs w:val="20"/>
          <w:b w:val="1"/>
          <w:bCs w:val="1"/>
          <w:color w:val="auto"/>
        </w:rPr>
        <w:t>Changes in operating assets and liabilities: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Prepaid expenses and other current assets</w:t>
      </w:r>
    </w:p>
    <w:p>
      <w:pPr>
        <w:ind w:left="400"/>
        <w:spacing w:after="0"/>
        <w:rPr>
          <w:sz w:val="20"/>
          <w:szCs w:val="20"/>
          <w:color w:val="auto"/>
        </w:rPr>
      </w:pPr>
      <w:r>
        <w:rPr>
          <w:rFonts w:ascii="Arial" w:cs="Arial" w:eastAsia="Arial" w:hAnsi="Arial"/>
          <w:sz w:val="20"/>
          <w:szCs w:val="20"/>
          <w:b w:val="1"/>
          <w:bCs w:val="1"/>
          <w:color w:val="auto"/>
        </w:rPr>
        <w:t>Other non-current assets</w:t>
      </w:r>
    </w:p>
    <w:p>
      <w:pPr>
        <w:ind w:left="400"/>
        <w:spacing w:after="0"/>
        <w:rPr>
          <w:sz w:val="20"/>
          <w:szCs w:val="20"/>
          <w:color w:val="auto"/>
        </w:rPr>
      </w:pPr>
      <w:r>
        <w:rPr>
          <w:rFonts w:ascii="Arial" w:cs="Arial" w:eastAsia="Arial" w:hAnsi="Arial"/>
          <w:sz w:val="20"/>
          <w:szCs w:val="20"/>
          <w:b w:val="1"/>
          <w:bCs w:val="1"/>
          <w:color w:val="auto"/>
        </w:rPr>
        <w:t>Accounts payable</w:t>
      </w:r>
    </w:p>
    <w:p>
      <w:pPr>
        <w:ind w:left="400"/>
        <w:spacing w:after="0"/>
        <w:rPr>
          <w:sz w:val="20"/>
          <w:szCs w:val="20"/>
          <w:color w:val="auto"/>
        </w:rPr>
      </w:pPr>
      <w:r>
        <w:rPr>
          <w:rFonts w:ascii="Arial" w:cs="Arial" w:eastAsia="Arial" w:hAnsi="Arial"/>
          <w:sz w:val="20"/>
          <w:szCs w:val="20"/>
          <w:b w:val="1"/>
          <w:bCs w:val="1"/>
          <w:color w:val="auto"/>
        </w:rPr>
        <w:t>Accrued expenses</w:t>
      </w:r>
    </w:p>
    <w:p>
      <w:pPr>
        <w:ind w:left="400"/>
        <w:spacing w:after="0"/>
        <w:rPr>
          <w:sz w:val="20"/>
          <w:szCs w:val="20"/>
          <w:color w:val="auto"/>
        </w:rPr>
      </w:pPr>
      <w:r>
        <w:rPr>
          <w:rFonts w:ascii="Arial" w:cs="Arial" w:eastAsia="Arial" w:hAnsi="Arial"/>
          <w:sz w:val="20"/>
          <w:szCs w:val="20"/>
          <w:b w:val="1"/>
          <w:bCs w:val="1"/>
          <w:color w:val="auto"/>
        </w:rPr>
        <w:t>Operating lease liabilities</w:t>
      </w:r>
    </w:p>
    <w:p>
      <w:pPr>
        <w:ind w:left="400"/>
        <w:spacing w:after="0" w:line="237" w:lineRule="auto"/>
        <w:rPr>
          <w:sz w:val="20"/>
          <w:szCs w:val="20"/>
          <w:color w:val="auto"/>
        </w:rPr>
      </w:pPr>
      <w:r>
        <w:rPr>
          <w:rFonts w:ascii="Arial" w:cs="Arial" w:eastAsia="Arial" w:hAnsi="Arial"/>
          <w:sz w:val="20"/>
          <w:szCs w:val="20"/>
          <w:b w:val="1"/>
          <w:bCs w:val="1"/>
          <w:color w:val="auto"/>
        </w:rPr>
        <w:t>Other current liabilities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non-current liabilities</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Net cash used in operating activities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 from investing activities:</w:t>
      </w:r>
    </w:p>
    <w:p>
      <w:pPr>
        <w:spacing w:after="0"/>
        <w:rPr>
          <w:sz w:val="20"/>
          <w:szCs w:val="20"/>
          <w:color w:val="auto"/>
        </w:rPr>
      </w:pPr>
      <w:r>
        <w:rPr>
          <w:rFonts w:ascii="Arial" w:cs="Arial" w:eastAsia="Arial" w:hAnsi="Arial"/>
          <w:sz w:val="20"/>
          <w:szCs w:val="20"/>
          <w:b w:val="1"/>
          <w:bCs w:val="1"/>
          <w:color w:val="auto"/>
        </w:rPr>
        <w:t>Purchases of marketable securities</w:t>
      </w:r>
    </w:p>
    <w:p>
      <w:pPr>
        <w:spacing w:after="0"/>
        <w:rPr>
          <w:sz w:val="20"/>
          <w:szCs w:val="20"/>
          <w:color w:val="auto"/>
        </w:rPr>
      </w:pPr>
      <w:r>
        <w:rPr>
          <w:rFonts w:ascii="Arial" w:cs="Arial" w:eastAsia="Arial" w:hAnsi="Arial"/>
          <w:sz w:val="20"/>
          <w:szCs w:val="20"/>
          <w:b w:val="1"/>
          <w:bCs w:val="1"/>
          <w:color w:val="auto"/>
        </w:rPr>
        <w:t>Maturities of marketable securities</w:t>
      </w:r>
    </w:p>
    <w:p>
      <w:pPr>
        <w:spacing w:after="0"/>
        <w:rPr>
          <w:sz w:val="20"/>
          <w:szCs w:val="20"/>
          <w:color w:val="auto"/>
        </w:rPr>
      </w:pPr>
      <w:r>
        <w:rPr>
          <w:rFonts w:ascii="Arial" w:cs="Arial" w:eastAsia="Arial" w:hAnsi="Arial"/>
          <w:sz w:val="20"/>
          <w:szCs w:val="20"/>
          <w:b w:val="1"/>
          <w:bCs w:val="1"/>
          <w:color w:val="auto"/>
        </w:rPr>
        <w:t>Purchases of property and equipment</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Net cash used in investing activities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 from financing activities:</w:t>
      </w:r>
    </w:p>
    <w:p>
      <w:pPr>
        <w:spacing w:after="0" w:line="8" w:lineRule="exact"/>
        <w:rPr>
          <w:sz w:val="20"/>
          <w:szCs w:val="20"/>
          <w:color w:val="auto"/>
        </w:rPr>
      </w:pPr>
    </w:p>
    <w:p>
      <w:pPr>
        <w:ind w:right="360"/>
        <w:spacing w:after="0" w:line="236" w:lineRule="auto"/>
        <w:rPr>
          <w:sz w:val="20"/>
          <w:szCs w:val="20"/>
          <w:color w:val="auto"/>
        </w:rPr>
      </w:pPr>
      <w:r>
        <w:rPr>
          <w:rFonts w:ascii="Arial" w:cs="Arial" w:eastAsia="Arial" w:hAnsi="Arial"/>
          <w:sz w:val="20"/>
          <w:szCs w:val="20"/>
          <w:b w:val="1"/>
          <w:bCs w:val="1"/>
          <w:color w:val="auto"/>
        </w:rPr>
        <w:t>Proceeds from issuance of convertible preferred stock, net of issuance costs Proceeds from issuance of common stock, net of commissions and underwriting discounts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Payments of initial public offering costs</w:t>
      </w:r>
    </w:p>
    <w:p>
      <w:pPr>
        <w:spacing w:after="0"/>
        <w:rPr>
          <w:sz w:val="20"/>
          <w:szCs w:val="20"/>
          <w:color w:val="auto"/>
        </w:rPr>
      </w:pPr>
      <w:r>
        <w:rPr>
          <w:rFonts w:ascii="Arial" w:cs="Arial" w:eastAsia="Arial" w:hAnsi="Arial"/>
          <w:sz w:val="20"/>
          <w:szCs w:val="20"/>
          <w:b w:val="1"/>
          <w:bCs w:val="1"/>
          <w:color w:val="auto"/>
        </w:rPr>
        <w:t>Proceeds from exercises of stock options</w:t>
      </w:r>
    </w:p>
    <w:p>
      <w:pPr>
        <w:spacing w:after="0" w:line="11" w:lineRule="exact"/>
        <w:rPr>
          <w:sz w:val="20"/>
          <w:szCs w:val="20"/>
          <w:color w:val="auto"/>
        </w:rPr>
      </w:pPr>
    </w:p>
    <w:p>
      <w:pPr>
        <w:ind w:right="180"/>
        <w:spacing w:after="0" w:line="287" w:lineRule="auto"/>
        <w:rPr>
          <w:sz w:val="20"/>
          <w:szCs w:val="20"/>
          <w:color w:val="auto"/>
        </w:rPr>
      </w:pPr>
      <w:r>
        <w:rPr>
          <w:rFonts w:ascii="Arial" w:cs="Arial" w:eastAsia="Arial" w:hAnsi="Arial"/>
          <w:sz w:val="17"/>
          <w:szCs w:val="17"/>
          <w:b w:val="1"/>
          <w:bCs w:val="1"/>
          <w:color w:val="auto"/>
        </w:rPr>
        <w:t>Proceeds from issuance of common stock under the employee stock purchase plan Payments for repurchases of unvested restricted common stock</w:t>
      </w:r>
    </w:p>
    <w:p>
      <w:pPr>
        <w:ind w:left="200"/>
        <w:spacing w:after="0" w:line="229" w:lineRule="auto"/>
        <w:rPr>
          <w:sz w:val="20"/>
          <w:szCs w:val="20"/>
          <w:color w:val="auto"/>
        </w:rPr>
      </w:pPr>
      <w:r>
        <w:rPr>
          <w:rFonts w:ascii="Arial" w:cs="Arial" w:eastAsia="Arial" w:hAnsi="Arial"/>
          <w:sz w:val="20"/>
          <w:szCs w:val="20"/>
          <w:b w:val="1"/>
          <w:bCs w:val="1"/>
          <w:color w:val="auto"/>
        </w:rPr>
        <w:t>Net cash provided by financing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(decrease) increase in cash and cash equivalents</w:t>
      </w:r>
    </w:p>
    <w:p>
      <w:pPr>
        <w:spacing w:after="0"/>
        <w:rPr>
          <w:sz w:val="20"/>
          <w:szCs w:val="20"/>
          <w:color w:val="auto"/>
        </w:rPr>
      </w:pPr>
      <w:r>
        <w:rPr>
          <w:rFonts w:ascii="Arial" w:cs="Arial" w:eastAsia="Arial" w:hAnsi="Arial"/>
          <w:sz w:val="20"/>
          <w:szCs w:val="20"/>
          <w:b w:val="1"/>
          <w:bCs w:val="1"/>
          <w:color w:val="auto"/>
        </w:rPr>
        <w:t>Cash and cash equivalents at beginning of period</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 at end of period</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disclosure of cash flow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lease right-of-use asset recognized upon adoption of ASC 842</w:t>
      </w:r>
    </w:p>
    <w:p>
      <w:pPr>
        <w:spacing w:after="0"/>
        <w:rPr>
          <w:sz w:val="20"/>
          <w:szCs w:val="20"/>
          <w:color w:val="auto"/>
        </w:rPr>
      </w:pPr>
      <w:r>
        <w:rPr>
          <w:rFonts w:ascii="Arial" w:cs="Arial" w:eastAsia="Arial" w:hAnsi="Arial"/>
          <w:sz w:val="20"/>
          <w:szCs w:val="20"/>
          <w:b w:val="1"/>
          <w:bCs w:val="1"/>
          <w:color w:val="auto"/>
        </w:rPr>
        <w:t>Operating lease right-of-use asset recognized under ASC 842</w:t>
      </w:r>
    </w:p>
    <w:p>
      <w:pPr>
        <w:spacing w:after="0"/>
        <w:rPr>
          <w:sz w:val="20"/>
          <w:szCs w:val="20"/>
          <w:color w:val="auto"/>
        </w:rPr>
      </w:pPr>
      <w:r>
        <w:rPr>
          <w:rFonts w:ascii="Arial" w:cs="Arial" w:eastAsia="Arial" w:hAnsi="Arial"/>
          <w:sz w:val="20"/>
          <w:szCs w:val="20"/>
          <w:b w:val="1"/>
          <w:bCs w:val="1"/>
          <w:color w:val="auto"/>
        </w:rPr>
        <w:t>Supplemental disclosure of non-cash investing activities: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property and equipment in accounts payable and accrued expenses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80"/>
              <w:spacing w:after="0"/>
              <w:rPr>
                <w:sz w:val="20"/>
                <w:szCs w:val="20"/>
                <w:color w:val="auto"/>
              </w:rPr>
            </w:pPr>
            <w:r>
              <w:rPr>
                <w:rFonts w:ascii="Arial" w:cs="Arial" w:eastAsia="Arial" w:hAnsi="Arial"/>
                <w:sz w:val="20"/>
                <w:szCs w:val="20"/>
                <w:b w:val="1"/>
                <w:bCs w:val="1"/>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(241,317)</w:t>
            </w:r>
          </w:p>
        </w:tc>
        <w:tc>
          <w:tcPr>
            <w:tcW w:w="400" w:type="dxa"/>
            <w:vAlign w:val="bottom"/>
          </w:tcPr>
          <w:p>
            <w:pPr>
              <w:jc w:val="right"/>
              <w:ind w:right="200"/>
              <w:spacing w:after="0"/>
              <w:rPr>
                <w:sz w:val="20"/>
                <w:szCs w:val="20"/>
                <w:color w:val="auto"/>
              </w:rPr>
            </w:pPr>
            <w:r>
              <w:rPr>
                <w:rFonts w:ascii="Arial" w:cs="Arial" w:eastAsia="Arial" w:hAnsi="Arial"/>
                <w:sz w:val="20"/>
                <w:szCs w:val="20"/>
                <w:b w:val="1"/>
                <w:bCs w:val="1"/>
                <w:color w:val="auto"/>
                <w:w w:val="71"/>
              </w:rPr>
              <w:t>$</w:t>
            </w: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(226,790)</w:t>
            </w:r>
          </w:p>
        </w:tc>
      </w:tr>
      <w:tr>
        <w:trPr>
          <w:trHeight w:val="230"/>
        </w:trPr>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28"/>
        </w:trPr>
        <w:tc>
          <w:tcPr>
            <w:tcW w:w="380" w:type="dxa"/>
            <w:vAlign w:val="bottom"/>
          </w:tcPr>
          <w:p>
            <w:pPr>
              <w:spacing w:after="0"/>
              <w:rPr>
                <w:sz w:val="19"/>
                <w:szCs w:val="19"/>
                <w:color w:val="auto"/>
              </w:rPr>
            </w:pPr>
          </w:p>
        </w:tc>
        <w:tc>
          <w:tcPr>
            <w:tcW w:w="1280" w:type="dxa"/>
            <w:vAlign w:val="bottom"/>
            <w:gridSpan w:val="2"/>
          </w:tcPr>
          <w:p>
            <w:pPr>
              <w:jc w:val="right"/>
              <w:ind w:right="260"/>
              <w:spacing w:after="0" w:line="228" w:lineRule="exact"/>
              <w:rPr>
                <w:sz w:val="20"/>
                <w:szCs w:val="20"/>
                <w:color w:val="auto"/>
              </w:rPr>
            </w:pPr>
            <w:r>
              <w:rPr>
                <w:rFonts w:ascii="Arial" w:cs="Arial" w:eastAsia="Arial" w:hAnsi="Arial"/>
                <w:sz w:val="20"/>
                <w:szCs w:val="20"/>
                <w:b w:val="1"/>
                <w:bCs w:val="1"/>
                <w:color w:val="auto"/>
              </w:rPr>
              <w:t>21,648</w:t>
            </w:r>
          </w:p>
        </w:tc>
        <w:tc>
          <w:tcPr>
            <w:tcW w:w="400" w:type="dxa"/>
            <w:vAlign w:val="bottom"/>
          </w:tcPr>
          <w:p>
            <w:pPr>
              <w:spacing w:after="0"/>
              <w:rPr>
                <w:sz w:val="19"/>
                <w:szCs w:val="19"/>
                <w:color w:val="auto"/>
              </w:rPr>
            </w:pPr>
          </w:p>
        </w:tc>
        <w:tc>
          <w:tcPr>
            <w:tcW w:w="106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17,764</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17,373</w:t>
            </w:r>
          </w:p>
        </w:tc>
        <w:tc>
          <w:tcPr>
            <w:tcW w:w="4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(2,023)</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1,430</w:t>
            </w:r>
          </w:p>
        </w:tc>
        <w:tc>
          <w:tcPr>
            <w:tcW w:w="6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421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66</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41</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w:t>
            </w:r>
          </w:p>
        </w:tc>
        <w:tc>
          <w:tcPr>
            <w:tcW w:w="60" w:type="dxa"/>
            <w:vAlign w:val="bottom"/>
          </w:tcPr>
          <w:p>
            <w:pPr>
              <w:spacing w:after="0"/>
              <w:rPr>
                <w:sz w:val="20"/>
                <w:szCs w:val="20"/>
                <w:color w:val="auto"/>
              </w:rPr>
            </w:pPr>
          </w:p>
        </w:tc>
      </w:tr>
      <w:tr>
        <w:trPr>
          <w:trHeight w:val="458"/>
        </w:trPr>
        <w:tc>
          <w:tcPr>
            <w:tcW w:w="38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20,367</w:t>
            </w:r>
          </w:p>
        </w:tc>
        <w:tc>
          <w:tcPr>
            <w:tcW w:w="4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(22,899)</w:t>
            </w:r>
          </w:p>
        </w:tc>
      </w:tr>
      <w:tr>
        <w:trPr>
          <w:trHeight w:val="230"/>
        </w:trPr>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3,106</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(3,297)</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(4,300)</w:t>
            </w: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(2,370)</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(34,867)</w:t>
            </w:r>
          </w:p>
        </w:tc>
        <w:tc>
          <w:tcPr>
            <w:tcW w:w="4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51,358</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(475)</w:t>
            </w:r>
          </w:p>
        </w:tc>
        <w:tc>
          <w:tcPr>
            <w:tcW w:w="4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28"/>
        </w:trPr>
        <w:tc>
          <w:tcPr>
            <w:tcW w:w="380" w:type="dxa"/>
            <w:vAlign w:val="bottom"/>
          </w:tcPr>
          <w:p>
            <w:pPr>
              <w:spacing w:after="0"/>
              <w:rPr>
                <w:sz w:val="19"/>
                <w:szCs w:val="19"/>
                <w:color w:val="auto"/>
              </w:rPr>
            </w:pPr>
          </w:p>
        </w:tc>
        <w:tc>
          <w:tcPr>
            <w:tcW w:w="1280" w:type="dxa"/>
            <w:vAlign w:val="bottom"/>
            <w:gridSpan w:val="2"/>
          </w:tcPr>
          <w:p>
            <w:pPr>
              <w:jc w:val="right"/>
              <w:ind w:right="260"/>
              <w:spacing w:after="0" w:line="228" w:lineRule="exact"/>
              <w:rPr>
                <w:sz w:val="20"/>
                <w:szCs w:val="20"/>
                <w:color w:val="auto"/>
              </w:rPr>
            </w:pPr>
            <w:r>
              <w:rPr>
                <w:rFonts w:ascii="Arial" w:cs="Arial" w:eastAsia="Arial" w:hAnsi="Arial"/>
                <w:sz w:val="20"/>
                <w:szCs w:val="20"/>
                <w:b w:val="1"/>
                <w:bCs w:val="1"/>
                <w:color w:val="auto"/>
              </w:rPr>
              <w:t>44</w:t>
            </w:r>
          </w:p>
        </w:tc>
        <w:tc>
          <w:tcPr>
            <w:tcW w:w="400" w:type="dxa"/>
            <w:vAlign w:val="bottom"/>
          </w:tcPr>
          <w:p>
            <w:pPr>
              <w:spacing w:after="0"/>
              <w:rPr>
                <w:sz w:val="19"/>
                <w:szCs w:val="19"/>
                <w:color w:val="auto"/>
              </w:rPr>
            </w:pPr>
          </w:p>
        </w:tc>
        <w:tc>
          <w:tcPr>
            <w:tcW w:w="106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(5)</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w:t>
            </w:r>
          </w:p>
        </w:tc>
        <w:tc>
          <w:tcPr>
            <w:tcW w:w="60" w:type="dxa"/>
            <w:vAlign w:val="bottom"/>
          </w:tcPr>
          <w:p>
            <w:pPr>
              <w:spacing w:after="0"/>
              <w:rPr>
                <w:sz w:val="20"/>
                <w:szCs w:val="20"/>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380" w:type="dxa"/>
            <w:vAlign w:val="bottom"/>
          </w:tcPr>
          <w:p>
            <w:pPr>
              <w:spacing w:after="0"/>
              <w:rPr>
                <w:sz w:val="19"/>
                <w:szCs w:val="19"/>
                <w:color w:val="auto"/>
              </w:rPr>
            </w:pPr>
          </w:p>
        </w:tc>
        <w:tc>
          <w:tcPr>
            <w:tcW w:w="128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auto"/>
              </w:rPr>
              <w:t>(219,987)</w:t>
            </w:r>
          </w:p>
        </w:tc>
        <w:tc>
          <w:tcPr>
            <w:tcW w:w="400" w:type="dxa"/>
            <w:vAlign w:val="bottom"/>
          </w:tcPr>
          <w:p>
            <w:pPr>
              <w:spacing w:after="0"/>
              <w:rPr>
                <w:sz w:val="19"/>
                <w:szCs w:val="19"/>
                <w:color w:val="auto"/>
              </w:rPr>
            </w:pPr>
          </w:p>
        </w:tc>
        <w:tc>
          <w:tcPr>
            <w:tcW w:w="10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(184,736)</w:t>
            </w:r>
          </w:p>
        </w:tc>
      </w:tr>
      <w:tr>
        <w:trPr>
          <w:trHeight w:val="20"/>
        </w:trPr>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0"/>
        </w:trPr>
        <w:tc>
          <w:tcPr>
            <w:tcW w:w="38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(297,962)</w:t>
            </w:r>
          </w:p>
        </w:tc>
        <w:tc>
          <w:tcPr>
            <w:tcW w:w="4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(188,627)</w:t>
            </w: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69,000</w:t>
            </w: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138,000</w:t>
            </w:r>
          </w:p>
        </w:tc>
        <w:tc>
          <w:tcPr>
            <w:tcW w:w="60" w:type="dxa"/>
            <w:vAlign w:val="bottom"/>
          </w:tcPr>
          <w:p>
            <w:pPr>
              <w:spacing w:after="0"/>
              <w:rPr>
                <w:sz w:val="20"/>
                <w:szCs w:val="20"/>
                <w:color w:val="auto"/>
              </w:rPr>
            </w:pP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(1,705)</w:t>
            </w: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(84)</w:t>
            </w:r>
          </w:p>
        </w:tc>
      </w:tr>
      <w:tr>
        <w:trPr>
          <w:trHeight w:val="20"/>
        </w:trPr>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380" w:type="dxa"/>
            <w:vAlign w:val="bottom"/>
          </w:tcPr>
          <w:p>
            <w:pPr>
              <w:spacing w:after="0"/>
              <w:rPr>
                <w:sz w:val="19"/>
                <w:szCs w:val="19"/>
                <w:color w:val="auto"/>
              </w:rPr>
            </w:pPr>
          </w:p>
        </w:tc>
        <w:tc>
          <w:tcPr>
            <w:tcW w:w="1280" w:type="dxa"/>
            <w:vAlign w:val="bottom"/>
            <w:gridSpan w:val="2"/>
          </w:tcPr>
          <w:p>
            <w:pPr>
              <w:jc w:val="right"/>
              <w:ind w:right="200"/>
              <w:spacing w:after="0" w:line="220" w:lineRule="exact"/>
              <w:rPr>
                <w:sz w:val="20"/>
                <w:szCs w:val="20"/>
                <w:color w:val="auto"/>
              </w:rPr>
            </w:pPr>
            <w:r>
              <w:rPr>
                <w:rFonts w:ascii="Arial" w:cs="Arial" w:eastAsia="Arial" w:hAnsi="Arial"/>
                <w:sz w:val="20"/>
                <w:szCs w:val="20"/>
                <w:b w:val="1"/>
                <w:bCs w:val="1"/>
                <w:color w:val="auto"/>
              </w:rPr>
              <w:t>(230,667)</w:t>
            </w:r>
          </w:p>
        </w:tc>
        <w:tc>
          <w:tcPr>
            <w:tcW w:w="400" w:type="dxa"/>
            <w:vAlign w:val="bottom"/>
          </w:tcPr>
          <w:p>
            <w:pPr>
              <w:spacing w:after="0"/>
              <w:rPr>
                <w:sz w:val="19"/>
                <w:szCs w:val="19"/>
                <w:color w:val="auto"/>
              </w:rPr>
            </w:pPr>
          </w:p>
        </w:tc>
        <w:tc>
          <w:tcPr>
            <w:tcW w:w="10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(50,711)</w:t>
            </w:r>
          </w:p>
        </w:tc>
      </w:tr>
      <w:tr>
        <w:trPr>
          <w:trHeight w:val="448"/>
        </w:trPr>
        <w:tc>
          <w:tcPr>
            <w:tcW w:w="3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335,163</w:t>
            </w:r>
          </w:p>
        </w:tc>
        <w:tc>
          <w:tcPr>
            <w:tcW w:w="60" w:type="dxa"/>
            <w:vAlign w:val="bottom"/>
          </w:tcPr>
          <w:p>
            <w:pPr>
              <w:spacing w:after="0"/>
              <w:rPr>
                <w:sz w:val="24"/>
                <w:szCs w:val="24"/>
                <w:color w:val="auto"/>
              </w:rPr>
            </w:pPr>
          </w:p>
        </w:tc>
      </w:tr>
      <w:tr>
        <w:trPr>
          <w:trHeight w:val="461"/>
        </w:trPr>
        <w:tc>
          <w:tcPr>
            <w:tcW w:w="380" w:type="dxa"/>
            <w:vAlign w:val="bottom"/>
          </w:tcPr>
          <w:p>
            <w:pPr>
              <w:spacing w:after="0"/>
              <w:rPr>
                <w:sz w:val="24"/>
                <w:szCs w:val="2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330,905</w:t>
            </w:r>
          </w:p>
        </w:tc>
        <w:tc>
          <w:tcPr>
            <w:tcW w:w="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20"/>
                <w:szCs w:val="20"/>
                <w:b w:val="1"/>
                <w:bCs w:val="1"/>
                <w:color w:val="auto"/>
              </w:rPr>
              <w:t>—</w:t>
            </w: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b w:val="1"/>
                <w:bCs w:val="1"/>
                <w:color w:val="auto"/>
              </w:rPr>
              <w:t>(3,385)</w:t>
            </w:r>
          </w:p>
        </w:tc>
      </w:tr>
      <w:tr>
        <w:trPr>
          <w:trHeight w:val="230"/>
        </w:trPr>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241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30"/>
        </w:trPr>
        <w:tc>
          <w:tcPr>
            <w:tcW w:w="3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269</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29"/>
        </w:trPr>
        <w:tc>
          <w:tcPr>
            <w:tcW w:w="380" w:type="dxa"/>
            <w:vAlign w:val="bottom"/>
          </w:tcPr>
          <w:p>
            <w:pPr>
              <w:spacing w:after="0"/>
              <w:rPr>
                <w:sz w:val="19"/>
                <w:szCs w:val="19"/>
                <w:color w:val="auto"/>
              </w:rPr>
            </w:pPr>
          </w:p>
        </w:tc>
        <w:tc>
          <w:tcPr>
            <w:tcW w:w="1280" w:type="dxa"/>
            <w:vAlign w:val="bottom"/>
            <w:gridSpan w:val="2"/>
          </w:tcPr>
          <w:p>
            <w:pPr>
              <w:jc w:val="right"/>
              <w:ind w:right="200"/>
              <w:spacing w:after="0" w:line="228" w:lineRule="exact"/>
              <w:rPr>
                <w:sz w:val="20"/>
                <w:szCs w:val="20"/>
                <w:color w:val="auto"/>
              </w:rPr>
            </w:pPr>
            <w:r>
              <w:rPr>
                <w:rFonts w:ascii="Arial" w:cs="Arial" w:eastAsia="Arial" w:hAnsi="Arial"/>
                <w:sz w:val="20"/>
                <w:szCs w:val="20"/>
                <w:b w:val="1"/>
                <w:bCs w:val="1"/>
                <w:color w:val="auto"/>
              </w:rPr>
              <w:t>(4)</w:t>
            </w:r>
          </w:p>
        </w:tc>
        <w:tc>
          <w:tcPr>
            <w:tcW w:w="400" w:type="dxa"/>
            <w:vAlign w:val="bottom"/>
          </w:tcPr>
          <w:p>
            <w:pPr>
              <w:spacing w:after="0"/>
              <w:rPr>
                <w:sz w:val="19"/>
                <w:szCs w:val="19"/>
                <w:color w:val="auto"/>
              </w:rPr>
            </w:pPr>
          </w:p>
        </w:tc>
        <w:tc>
          <w:tcPr>
            <w:tcW w:w="106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w:t>
            </w:r>
          </w:p>
        </w:tc>
      </w:tr>
      <w:tr>
        <w:trPr>
          <w:trHeight w:val="220"/>
        </w:trPr>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506</w:t>
            </w:r>
          </w:p>
        </w:tc>
        <w:tc>
          <w:tcPr>
            <w:tcW w:w="2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662,683</w:t>
            </w:r>
          </w:p>
        </w:tc>
        <w:tc>
          <w:tcPr>
            <w:tcW w:w="60" w:type="dxa"/>
            <w:vAlign w:val="bottom"/>
          </w:tcPr>
          <w:p>
            <w:pPr>
              <w:spacing w:after="0"/>
              <w:rPr>
                <w:sz w:val="19"/>
                <w:szCs w:val="19"/>
                <w:color w:val="auto"/>
              </w:rPr>
            </w:pPr>
          </w:p>
        </w:tc>
      </w:tr>
      <w:tr>
        <w:trPr>
          <w:trHeight w:val="219"/>
        </w:trPr>
        <w:tc>
          <w:tcPr>
            <w:tcW w:w="380" w:type="dxa"/>
            <w:vAlign w:val="bottom"/>
          </w:tcPr>
          <w:p>
            <w:pPr>
              <w:spacing w:after="0"/>
              <w:rPr>
                <w:sz w:val="19"/>
                <w:szCs w:val="19"/>
                <w:color w:val="auto"/>
              </w:rPr>
            </w:pPr>
          </w:p>
        </w:tc>
        <w:tc>
          <w:tcPr>
            <w:tcW w:w="1280" w:type="dxa"/>
            <w:vAlign w:val="bottom"/>
            <w:gridSpan w:val="2"/>
          </w:tcPr>
          <w:p>
            <w:pPr>
              <w:jc w:val="right"/>
              <w:ind w:right="200"/>
              <w:spacing w:after="0" w:line="219" w:lineRule="exact"/>
              <w:rPr>
                <w:sz w:val="20"/>
                <w:szCs w:val="20"/>
                <w:color w:val="auto"/>
              </w:rPr>
            </w:pPr>
            <w:r>
              <w:rPr>
                <w:rFonts w:ascii="Arial" w:cs="Arial" w:eastAsia="Arial" w:hAnsi="Arial"/>
                <w:sz w:val="20"/>
                <w:szCs w:val="20"/>
                <w:b w:val="1"/>
                <w:bCs w:val="1"/>
                <w:color w:val="auto"/>
              </w:rPr>
              <w:t>(450,148)</w:t>
            </w:r>
          </w:p>
        </w:tc>
        <w:tc>
          <w:tcPr>
            <w:tcW w:w="400" w:type="dxa"/>
            <w:vAlign w:val="bottom"/>
          </w:tcPr>
          <w:p>
            <w:pPr>
              <w:spacing w:after="0"/>
              <w:rPr>
                <w:sz w:val="19"/>
                <w:szCs w:val="19"/>
                <w:color w:val="auto"/>
              </w:rPr>
            </w:pPr>
          </w:p>
        </w:tc>
        <w:tc>
          <w:tcPr>
            <w:tcW w:w="10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427,236</w:t>
            </w:r>
          </w:p>
        </w:tc>
        <w:tc>
          <w:tcPr>
            <w:tcW w:w="60" w:type="dxa"/>
            <w:vAlign w:val="bottom"/>
          </w:tcPr>
          <w:p>
            <w:pPr>
              <w:spacing w:after="0"/>
              <w:rPr>
                <w:sz w:val="19"/>
                <w:szCs w:val="19"/>
                <w:color w:val="auto"/>
              </w:rPr>
            </w:pPr>
          </w:p>
        </w:tc>
      </w:tr>
      <w:tr>
        <w:trPr>
          <w:trHeight w:val="230"/>
        </w:trPr>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542,224</w:t>
            </w:r>
          </w:p>
        </w:tc>
        <w:tc>
          <w:tcPr>
            <w:tcW w:w="2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114,988</w:t>
            </w:r>
          </w:p>
        </w:tc>
        <w:tc>
          <w:tcPr>
            <w:tcW w:w="60" w:type="dxa"/>
            <w:vAlign w:val="bottom"/>
          </w:tcPr>
          <w:p>
            <w:pPr>
              <w:spacing w:after="0"/>
              <w:rPr>
                <w:sz w:val="20"/>
                <w:szCs w:val="20"/>
                <w:color w:val="auto"/>
              </w:rPr>
            </w:pPr>
          </w:p>
        </w:tc>
      </w:tr>
      <w:tr>
        <w:trPr>
          <w:trHeight w:val="220"/>
        </w:trPr>
        <w:tc>
          <w:tcPr>
            <w:tcW w:w="380" w:type="dxa"/>
            <w:vAlign w:val="bottom"/>
          </w:tcPr>
          <w:p>
            <w:pPr>
              <w:jc w:val="right"/>
              <w:ind w:right="180"/>
              <w:spacing w:after="0" w:line="220" w:lineRule="exact"/>
              <w:rPr>
                <w:sz w:val="20"/>
                <w:szCs w:val="20"/>
                <w:color w:val="auto"/>
              </w:rPr>
            </w:pPr>
            <w:r>
              <w:rPr>
                <w:rFonts w:ascii="Arial" w:cs="Arial" w:eastAsia="Arial" w:hAnsi="Arial"/>
                <w:sz w:val="20"/>
                <w:szCs w:val="20"/>
                <w:b w:val="1"/>
                <w:bCs w:val="1"/>
                <w:color w:val="auto"/>
                <w:w w:val="71"/>
              </w:rPr>
              <w:t>$</w:t>
            </w:r>
          </w:p>
        </w:tc>
        <w:tc>
          <w:tcPr>
            <w:tcW w:w="1280" w:type="dxa"/>
            <w:vAlign w:val="bottom"/>
            <w:gridSpan w:val="2"/>
          </w:tcPr>
          <w:p>
            <w:pPr>
              <w:jc w:val="right"/>
              <w:ind w:right="260"/>
              <w:spacing w:after="0" w:line="220" w:lineRule="exact"/>
              <w:rPr>
                <w:sz w:val="20"/>
                <w:szCs w:val="20"/>
                <w:color w:val="auto"/>
              </w:rPr>
            </w:pPr>
            <w:r>
              <w:rPr>
                <w:rFonts w:ascii="Arial" w:cs="Arial" w:eastAsia="Arial" w:hAnsi="Arial"/>
                <w:sz w:val="20"/>
                <w:szCs w:val="20"/>
                <w:b w:val="1"/>
                <w:bCs w:val="1"/>
                <w:color w:val="auto"/>
              </w:rPr>
              <w:t>92,076</w:t>
            </w:r>
          </w:p>
        </w:tc>
        <w:tc>
          <w:tcPr>
            <w:tcW w:w="400" w:type="dxa"/>
            <w:vAlign w:val="bottom"/>
          </w:tcPr>
          <w:p>
            <w:pPr>
              <w:jc w:val="right"/>
              <w:ind w:right="200"/>
              <w:spacing w:after="0" w:line="220" w:lineRule="exact"/>
              <w:rPr>
                <w:sz w:val="20"/>
                <w:szCs w:val="20"/>
                <w:color w:val="auto"/>
              </w:rPr>
            </w:pPr>
            <w:r>
              <w:rPr>
                <w:rFonts w:ascii="Arial" w:cs="Arial" w:eastAsia="Arial" w:hAnsi="Arial"/>
                <w:sz w:val="20"/>
                <w:szCs w:val="20"/>
                <w:b w:val="1"/>
                <w:bCs w:val="1"/>
                <w:color w:val="auto"/>
                <w:w w:val="71"/>
              </w:rPr>
              <w:t>$</w:t>
            </w:r>
          </w:p>
        </w:tc>
        <w:tc>
          <w:tcPr>
            <w:tcW w:w="10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542,224</w:t>
            </w:r>
          </w:p>
        </w:tc>
        <w:tc>
          <w:tcPr>
            <w:tcW w:w="60" w:type="dxa"/>
            <w:vAlign w:val="bottom"/>
          </w:tcPr>
          <w:p>
            <w:pPr>
              <w:spacing w:after="0"/>
              <w:rPr>
                <w:sz w:val="19"/>
                <w:szCs w:val="19"/>
                <w:color w:val="auto"/>
              </w:rPr>
            </w:pPr>
          </w:p>
        </w:tc>
      </w:tr>
      <w:tr>
        <w:trPr>
          <w:trHeight w:val="506"/>
        </w:trPr>
        <w:tc>
          <w:tcPr>
            <w:tcW w:w="380" w:type="dxa"/>
            <w:vAlign w:val="bottom"/>
          </w:tcPr>
          <w:p>
            <w:pPr>
              <w:jc w:val="right"/>
              <w:ind w:right="180"/>
              <w:spacing w:after="0"/>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1,728</w:t>
            </w:r>
          </w:p>
        </w:tc>
        <w:tc>
          <w:tcPr>
            <w:tcW w:w="260" w:type="dxa"/>
            <w:vAlign w:val="bottom"/>
          </w:tcPr>
          <w:p>
            <w:pPr>
              <w:spacing w:after="0"/>
              <w:rPr>
                <w:sz w:val="24"/>
                <w:szCs w:val="24"/>
                <w:color w:val="auto"/>
              </w:rPr>
            </w:pPr>
          </w:p>
        </w:tc>
        <w:tc>
          <w:tcPr>
            <w:tcW w:w="400" w:type="dxa"/>
            <w:vAlign w:val="bottom"/>
          </w:tcPr>
          <w:p>
            <w:pPr>
              <w:jc w:val="right"/>
              <w:ind w:right="200"/>
              <w:spacing w:after="0"/>
              <w:rPr>
                <w:sz w:val="20"/>
                <w:szCs w:val="20"/>
                <w:color w:val="auto"/>
              </w:rPr>
            </w:pPr>
            <w:r>
              <w:rPr>
                <w:rFonts w:ascii="Arial" w:cs="Arial" w:eastAsia="Arial" w:hAnsi="Arial"/>
                <w:sz w:val="20"/>
                <w:szCs w:val="20"/>
                <w:b w:val="1"/>
                <w:bCs w:val="1"/>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r>
        <w:trPr>
          <w:trHeight w:val="228"/>
        </w:trPr>
        <w:tc>
          <w:tcPr>
            <w:tcW w:w="380" w:type="dxa"/>
            <w:vAlign w:val="bottom"/>
          </w:tcPr>
          <w:p>
            <w:pPr>
              <w:jc w:val="right"/>
              <w:ind w:right="180"/>
              <w:spacing w:after="0" w:line="229" w:lineRule="exact"/>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2,470</w:t>
            </w:r>
          </w:p>
        </w:tc>
        <w:tc>
          <w:tcPr>
            <w:tcW w:w="260" w:type="dxa"/>
            <w:vAlign w:val="bottom"/>
          </w:tcPr>
          <w:p>
            <w:pPr>
              <w:spacing w:after="0"/>
              <w:rPr>
                <w:sz w:val="19"/>
                <w:szCs w:val="19"/>
                <w:color w:val="auto"/>
              </w:rPr>
            </w:pPr>
          </w:p>
        </w:tc>
        <w:tc>
          <w:tcPr>
            <w:tcW w:w="400" w:type="dxa"/>
            <w:vAlign w:val="bottom"/>
          </w:tcPr>
          <w:p>
            <w:pPr>
              <w:jc w:val="right"/>
              <w:ind w:right="200"/>
              <w:spacing w:after="0" w:line="229" w:lineRule="exact"/>
              <w:rPr>
                <w:sz w:val="20"/>
                <w:szCs w:val="20"/>
                <w:color w:val="auto"/>
              </w:rPr>
            </w:pPr>
            <w:r>
              <w:rPr>
                <w:rFonts w:ascii="Arial" w:cs="Arial" w:eastAsia="Arial" w:hAnsi="Arial"/>
                <w:sz w:val="20"/>
                <w:szCs w:val="20"/>
                <w:b w:val="1"/>
                <w:bCs w:val="1"/>
                <w:color w:val="auto"/>
                <w:w w:val="71"/>
              </w:rPr>
              <w:t>$</w:t>
            </w:r>
          </w:p>
        </w:tc>
        <w:tc>
          <w:tcPr>
            <w:tcW w:w="1060" w:type="dxa"/>
            <w:vAlign w:val="bottom"/>
            <w:gridSpan w:val="2"/>
          </w:tcPr>
          <w:p>
            <w:pPr>
              <w:jc w:val="right"/>
              <w:ind w:right="60"/>
              <w:spacing w:after="0" w:line="229" w:lineRule="exact"/>
              <w:rPr>
                <w:sz w:val="20"/>
                <w:szCs w:val="20"/>
                <w:color w:val="auto"/>
              </w:rPr>
            </w:pPr>
            <w:r>
              <w:rPr>
                <w:rFonts w:ascii="Arial" w:cs="Arial" w:eastAsia="Arial" w:hAnsi="Arial"/>
                <w:sz w:val="20"/>
                <w:szCs w:val="20"/>
                <w:b w:val="1"/>
                <w:bCs w:val="1"/>
                <w:color w:val="auto"/>
              </w:rPr>
              <w:t>—</w:t>
            </w:r>
          </w:p>
        </w:tc>
      </w:tr>
      <w:tr>
        <w:trPr>
          <w:trHeight w:val="461"/>
        </w:trPr>
        <w:tc>
          <w:tcPr>
            <w:tcW w:w="380" w:type="dxa"/>
            <w:vAlign w:val="bottom"/>
          </w:tcPr>
          <w:p>
            <w:pPr>
              <w:jc w:val="right"/>
              <w:ind w:right="180"/>
              <w:spacing w:after="0"/>
              <w:rPr>
                <w:sz w:val="20"/>
                <w:szCs w:val="20"/>
                <w:color w:val="auto"/>
              </w:rPr>
            </w:pPr>
            <w:r>
              <w:rPr>
                <w:rFonts w:ascii="Arial" w:cs="Arial" w:eastAsia="Arial" w:hAnsi="Arial"/>
                <w:sz w:val="20"/>
                <w:szCs w:val="2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535</w:t>
            </w:r>
          </w:p>
        </w:tc>
        <w:tc>
          <w:tcPr>
            <w:tcW w:w="260" w:type="dxa"/>
            <w:vAlign w:val="bottom"/>
          </w:tcPr>
          <w:p>
            <w:pPr>
              <w:spacing w:after="0"/>
              <w:rPr>
                <w:sz w:val="24"/>
                <w:szCs w:val="24"/>
                <w:color w:val="auto"/>
              </w:rPr>
            </w:pPr>
          </w:p>
        </w:tc>
        <w:tc>
          <w:tcPr>
            <w:tcW w:w="400" w:type="dxa"/>
            <w:vAlign w:val="bottom"/>
          </w:tcPr>
          <w:p>
            <w:pPr>
              <w:jc w:val="right"/>
              <w:ind w:right="200"/>
              <w:spacing w:after="0"/>
              <w:rPr>
                <w:sz w:val="20"/>
                <w:szCs w:val="20"/>
                <w:color w:val="auto"/>
              </w:rPr>
            </w:pPr>
            <w:r>
              <w:rPr>
                <w:rFonts w:ascii="Arial" w:cs="Arial" w:eastAsia="Arial" w:hAnsi="Arial"/>
                <w:sz w:val="20"/>
                <w:szCs w:val="20"/>
                <w:b w:val="1"/>
                <w:bCs w:val="1"/>
                <w:color w:val="auto"/>
                <w:w w:val="71"/>
              </w:rPr>
              <w:t>$</w:t>
            </w:r>
          </w:p>
        </w:tc>
        <w:tc>
          <w:tcPr>
            <w:tcW w:w="106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w:t>
            </w:r>
          </w:p>
        </w:tc>
      </w:tr>
    </w:tbl>
    <w:p>
      <w:pPr>
        <w:spacing w:after="0" w:line="148" w:lineRule="exact"/>
        <w:rPr>
          <w:sz w:val="20"/>
          <w:szCs w:val="20"/>
          <w:color w:val="auto"/>
        </w:rPr>
      </w:pPr>
    </w:p>
    <w:p>
      <w:pPr>
        <w:sectPr>
          <w:pgSz w:w="12240" w:h="15840" w:orient="portrait"/>
          <w:cols w:equalWidth="0" w:num="2">
            <w:col w:w="6760" w:space="160"/>
            <w:col w:w="3120"/>
          </w:cols>
          <w:pgMar w:left="1080" w:top="1340" w:right="1120" w:bottom="157" w:gutter="0" w:footer="0" w:header="0"/>
          <w:type w:val="continuous"/>
        </w:sectPr>
      </w:pPr>
    </w:p>
    <w:p>
      <w:pPr>
        <w:jc w:val="center"/>
        <w:ind w:right="-79"/>
        <w:spacing w:after="0"/>
        <w:rPr>
          <w:sz w:val="20"/>
          <w:szCs w:val="20"/>
          <w:color w:val="auto"/>
        </w:rPr>
      </w:pPr>
      <w:r>
        <w:rPr>
          <w:rFonts w:ascii="Arial" w:cs="Arial" w:eastAsia="Arial" w:hAnsi="Arial"/>
          <w:sz w:val="15"/>
          <w:szCs w:val="15"/>
          <w:b w:val="1"/>
          <w:b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F-7</w:t>
      </w:r>
    </w:p>
    <w:p>
      <w:pPr>
        <w:sectPr>
          <w:pgSz w:w="12240" w:h="15840" w:orient="portrait"/>
          <w:cols w:equalWidth="0" w:num="1">
            <w:col w:w="10040"/>
          </w:cols>
          <w:pgMar w:left="1080" w:top="1340" w:right="1120" w:bottom="157"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INVIVYD, INC.</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Nature of the Business and Basis of Presentation</w:t>
      </w:r>
    </w:p>
    <w:p>
      <w:pPr>
        <w:spacing w:after="0" w:line="13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Invivyd, Inc., (formerly Adagio Therapeutics, Inc.) together with its consolidated subsidiaries (the “Company”), is a biopharmaceutical company on a mission to rapidly and perpetually deliver antibody-based therapies that protect vulnerable people from the devastating consequences of circulating viral threats, beginning with SARS-CoV-2 (“COVID-19”). The Company's technology works at the intersection of evolutionary virology, predictive modeling, and antibody engineering, and is designed to identify high-quality, long-lasting antibodies with a high barrier to viral escape. The Company is generating a robust pipeline of product candidates which could be used in prevention or treatment of serious viral diseases, starting with COVID-19 and expanding into influenza and other high-need indications.</w:t>
      </w:r>
    </w:p>
    <w:p>
      <w:pPr>
        <w:spacing w:after="0" w:line="94"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In March 2023, the Company announced the election of VYD222 to advance into the clinic as a monoclonal antibody (“mAb”) therapeutic option for COVID-19 with a focus on serving vulnerable populations. The Company aims to leverage evolving COVID-19 regulatory paradigms and maximize efficiency to deliver this much-needed product for immunocompromised individuals and other vulnerable populations.</w:t>
      </w:r>
    </w:p>
    <w:p>
      <w:pPr>
        <w:spacing w:after="0" w:line="118"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VYD222 is one of two mAb components of NVD200, a combination mAb product candidate that the Company previously selected for clinical advancement prior to evolution in the current global COVID-19 regulatory paradigm. The Company is prioritizing the clinical development of VYD222 instead of NVD200 with the aim of providing patients with a therapeutic option for COVID-19 as quickly and efficiently as possible. VYD222 was engineered from adintrevimab, the Company's investigational mAb that has a robust safety data package and demonstrated clinically meaningful results in global Phase 3 clinical trials for both the prevention and treatment of COVID-19.</w:t>
      </w:r>
    </w:p>
    <w:p>
      <w:pPr>
        <w:spacing w:after="0" w:line="108"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Beyond VYD222, the Company continues to leverage its expanded lab capabilities and integrated discovery platform to produce additional candidates that will be optimized to stay ahead of the evolving SARS-CoV-2 virus. In addition, the Company continues to work with regulatory agencies to streamline the development and commercialization plans for novel antibodies to protect immunocompromised and other high-risk populations against the evolving SARS-CoV-2 virus.</w:t>
      </w:r>
    </w:p>
    <w:p>
      <w:pPr>
        <w:spacing w:after="0" w:line="90"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The Company was incorporated in the State of Delaware in June 2020. The Company operates as a virtual company and maintains a corporate headquarters for general and administrative purposes only. In June 2022, and subsequently amended in September 2022, the Company entered into a lease for dedicated laboratory and office space in Newton, MA for research and development purposes. The Company performs research and development activities internally and engages third parties, including Adimab, LLC (“Adimab”), to perform ongoing research and development and other services on its behalf.</w:t>
      </w:r>
    </w:p>
    <w:p>
      <w:pPr>
        <w:spacing w:after="0" w:line="62"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p>
    <w:p>
      <w:pPr>
        <w:spacing w:after="0" w:line="93"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In July 2021, the Company effected a five-for-one stock split of its issued and outstanding shares of common stock and a proportional adjustment to the existing conversion ratios of each series of the Company’s preferred stock (see Note 10).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10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August 2021, the Company completed its initial public offering (“IPO”) pursuant to which it issued and sold 20,930,000 shares of its common stock, including 2,730,000 shares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shares of the Company’s convertible preferred stock then outstanding converted into 84,722,420 shares of common stock (see Note 11).</w:t>
      </w:r>
    </w:p>
    <w:p>
      <w:pPr>
        <w:spacing w:after="0" w:line="124"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 Company has not generated any revenue since inception. The Company’s product candidates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F-8</w:t>
      </w:r>
    </w:p>
    <w:p>
      <w:pPr>
        <w:sectPr>
          <w:pgSz w:w="12240" w:h="15840" w:orient="portrait"/>
          <w:cols w:equalWidth="0" w:num="1">
            <w:col w:w="10080"/>
          </w:cols>
          <w:pgMar w:left="1080" w:top="1079" w:right="1080" w:bottom="157" w:gutter="0" w:footer="0" w:header="0"/>
        </w:sectPr>
      </w:pPr>
    </w:p>
    <w:bookmarkStart w:id="128" w:name="page129"/>
    <w:bookmarkEnd w:id="128"/>
    <w:p>
      <w:pPr>
        <w:jc w:val="both"/>
        <w:ind w:firstLine="490"/>
        <w:spacing w:after="0" w:line="285" w:lineRule="auto"/>
        <w:rPr>
          <w:sz w:val="20"/>
          <w:szCs w:val="20"/>
          <w:color w:val="auto"/>
        </w:rPr>
      </w:pPr>
      <w:r>
        <w:rPr>
          <w:rFonts w:ascii="Arial" w:cs="Arial" w:eastAsia="Arial" w:hAnsi="Arial"/>
          <w:sz w:val="17"/>
          <w:szCs w:val="17"/>
          <w:b w:val="1"/>
          <w:bCs w:val="1"/>
          <w:color w:val="auto"/>
        </w:rPr>
        <w:t>The accompanying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initial public offering of common stock. The Company has incurred losses and negative cash flows from operations since its inception, including a net loss of $241.3 million for the year ended December 31, 2022. As of December 31, 2022, the Company had an accumulated deficit of $533.4 million. The Company expects to continue to generate operating losses for the foreseeable future. As of March 23, 2023, the issuance date of the consolidated financial statements for the year ended December 31, 2022, the Company expects that its cash, cash equivalents and marketable securities, would be sufficient to fund its operating expenses and capital expenditure requirements for at least 12 months from the issuance date of the annual consolidated financial statements.</w:t>
      </w:r>
    </w:p>
    <w:p>
      <w:pPr>
        <w:spacing w:after="0" w:line="98"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The Company expects to seek additional funding through a combination of equity offerings, government or private-party grants, debt financings or other capital sources, including collaborations with other companies, strategic alliances and licensing arrangements.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05"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33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Impact of COVID-19 on Our Operations</w:t>
      </w:r>
    </w:p>
    <w:p>
      <w:pPr>
        <w:spacing w:after="0" w:line="131"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full impact of the COVID-19 pandemic and the disease continues to evolve and change as of the date of this Annual Report on Form 10-K, and such impact will directly affect the potential commercial prospects of VYD222 and other product candidates for the prevention and treatment of COVID-19. The severity of the COVID-19 pandemic, the evolution of the disease and the continued emergence of variants of concern (“VoCs”), the availability, administration and acceptance of vaccines, monoclonal antibodies, antiviral agents and other therapeutic modalities, vaccine mandates by employers and/or local or national governments,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97" w:lineRule="exact"/>
        <w:rPr>
          <w:sz w:val="20"/>
          <w:szCs w:val="20"/>
          <w:color w:val="auto"/>
        </w:rPr>
      </w:pPr>
    </w:p>
    <w:p>
      <w:pPr>
        <w:jc w:val="both"/>
        <w:ind w:firstLine="490"/>
        <w:spacing w:after="0" w:line="284" w:lineRule="auto"/>
        <w:rPr>
          <w:sz w:val="20"/>
          <w:szCs w:val="20"/>
          <w:color w:val="auto"/>
        </w:rPr>
      </w:pPr>
      <w:r>
        <w:rPr>
          <w:rFonts w:ascii="Arial" w:cs="Arial" w:eastAsia="Arial" w:hAnsi="Arial"/>
          <w:sz w:val="17"/>
          <w:szCs w:val="17"/>
          <w:b w:val="1"/>
          <w:bCs w:val="1"/>
          <w:color w:val="auto"/>
        </w:rPr>
        <w:t>Similarly, it is not possible to determine the scale and rate of economic recovery from the pandemic, supply chain disruptions, and labor availability and costs, or the impact of other indirect factors that may be attributable to the pandemic. The ultimate extent of the impact of the COVID-19 pandemic on the Company's business, financial condition, operations and product development timelines and plans remains uncertain and will depend on future developments, including the duration and spread of outbreaks and the continued emergence of variants, its impact on the Company's clinical trial design and enrollment, trial sites, contract research organizations (“CROs”), contract development and manufacturing organizations (“CDMOs”), and other third parties with which the Company does business, as well as its impact on regulatory authorities and the Company's key scientific and management personnel. To date, the Company has experienced some delays and disruptions in its development activities as a result of the COVID-19 pandemic. Some of the Company's CROs, CDMOs and other service providers also continue to be impacted. The Company will continue to monitor developments as it addresses the disruptions, delays and uncertainties relating to the COVID-19 pandemic. If the financial markets and/or the overall economy are impacted for an extended period, the Company's results and operations may be materially adversely affected and may affect the Company's ability to raise capital.</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13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p>
    <w:p>
      <w:pPr>
        <w:spacing w:after="0" w:line="107"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The accompanying consolidated financial statements include the accounts of Invivyd, Inc. and its wholly owned subsidiaries, Invivyd Security Corporation, Invivyd Switzerland GmbH,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F-9</w:t>
      </w:r>
    </w:p>
    <w:p>
      <w:pPr>
        <w:sectPr>
          <w:pgSz w:w="12240" w:h="15840" w:orient="portrait"/>
          <w:cols w:equalWidth="0" w:num="1">
            <w:col w:w="10080"/>
          </w:cols>
          <w:pgMar w:left="1080" w:top="1089" w:right="1080" w:bottom="157"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Use of Estimates</w:t>
      </w:r>
    </w:p>
    <w:p>
      <w:pPr>
        <w:spacing w:after="0" w:line="129"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stock-based compensation expense and warrant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95"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the issuance date of these consolidated financial statements. These estimates may change as new events occur and additional information is obtained.</w:t>
      </w:r>
    </w:p>
    <w:p>
      <w:pPr>
        <w:spacing w:after="0" w:line="35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Concentrations of Credit Risk, Significant Suppliers and License Rights</w:t>
      </w:r>
    </w:p>
    <w:p>
      <w:pPr>
        <w:spacing w:after="0" w:line="13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Financial instruments that potentially expose the Company to concentrations of credit risk consist of cash, cash equivalents and marketable securities. The Company invests its excess cash in money market funds and marketable securities that are subject to minimal credit and market risks. The Company maintains its cash, cash equivalents and marketable securities at two accredited financial institutions that it believes are creditworthy. From time to time, these deposits may exceed federally insured limits. The Company has not experienced any losses historically in these accounts. Accordingly, the Company does not believe it is exposed to unusual credit risk related to its cash, cash equivalents and marketable securities beyond the normal credit risk associated with commercial banking relationships.</w:t>
      </w:r>
    </w:p>
    <w:p>
      <w:pPr>
        <w:spacing w:after="0" w:line="94"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Company is dependent on third-party organizations to manufacture and process its product candidates for its development programs. In particular, the Company relies on a single third-party contract manufacturer to produce and process its product candidates and to manufacture supply of its product candidates for preclinical and clinical activities (see Note 9). The Company also currently relies on this same third-party contract manufacturer for any anticipated requirements of commercial supply, including both drug substance and drug product.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95"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The Company is dependent on a limited number of third parties that provide license rights used by the Company in the development and potential commercialization of its product candidates and programs. Through December 31, 2022, the Company’s research and development programs primarily relate to rights conveyed by Adimab (see Note 7). The Company could experience delays in the development and potential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324"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Cash Equivalents</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Company considers all highly liquid investments with original maturities of three months or less at the acquisition date to be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F-10</w:t>
      </w:r>
    </w:p>
    <w:p>
      <w:pPr>
        <w:sectPr>
          <w:pgSz w:w="12240" w:h="15840" w:orient="portrait"/>
          <w:cols w:equalWidth="0" w:num="1">
            <w:col w:w="10080"/>
          </w:cols>
          <w:pgMar w:left="1080" w:top="1079" w:right="1080" w:bottom="157" w:gutter="0" w:footer="0" w:header="0"/>
        </w:sectPr>
      </w:pPr>
    </w:p>
    <w:bookmarkStart w:id="130" w:name="page131"/>
    <w:bookmarkEnd w:id="130"/>
    <w:p>
      <w:pPr>
        <w:ind w:left="480"/>
        <w:spacing w:after="0"/>
        <w:rPr>
          <w:sz w:val="20"/>
          <w:szCs w:val="20"/>
          <w:color w:val="auto"/>
        </w:rPr>
      </w:pPr>
      <w:r>
        <w:rPr>
          <w:rFonts w:ascii="Arial" w:cs="Arial" w:eastAsia="Arial" w:hAnsi="Arial"/>
          <w:sz w:val="20"/>
          <w:szCs w:val="20"/>
          <w:b w:val="1"/>
          <w:bCs w:val="1"/>
          <w:color w:val="auto"/>
        </w:rPr>
        <w:t>Marketable Securities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Marketable securities represent holdings of available-for-sale marketable debt securities in accordance with the Company’s investment policy. The Company determines the appropriate classification of marketable securities at the time of purchase and reevaluates such designation at each balance sheet date. The Company classified all of its marketable securities at December 31, 2022 as “available-for-sale” pursuant to ASC320, Investments – Debt and Equity Securities. Investments not classified as cash equivalents are presented as either short-term or long-term investments based on both their maturities as well as the time period the Company intends to hold such securities. Available-for-sale securities are maintained by an investment manager and consist of U.S. Treasury securities and federal agency securities. Available-for-sale securities are carried at fair value with the unrealized gains and losses included in other comprehensive income (loss) as a component of stockholders’ equity (deficit) until realized. Any premium or discount arising at purchase is amortized or accreted to interest expense or income over the life of the instrument. Realized gains and losses are determined using the specific identification method and are included in other income (expense). There were no material realized gains or losses on marketable securities recognized for the year ended December 31, 2022.</w:t>
      </w:r>
    </w:p>
    <w:p>
      <w:pPr>
        <w:spacing w:after="0" w:line="94"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statements of operations and comprehensive loss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duration of the impairment and changes in value subsequent to the end of the period. There were no other-than-temporary impairments of investments recognized for the years ended December 31, 2022 or 2021.</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Measurements</w:t>
      </w:r>
    </w:p>
    <w:p>
      <w:pPr>
        <w:spacing w:after="0" w:line="131"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6"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Level 1 —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-97790</wp:posOffset>
            </wp:positionV>
            <wp:extent cx="71120" cy="711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jc w:val="both"/>
        <w:ind w:left="1100"/>
        <w:spacing w:after="0" w:line="273" w:lineRule="auto"/>
        <w:rPr>
          <w:sz w:val="20"/>
          <w:szCs w:val="20"/>
          <w:color w:val="auto"/>
        </w:rPr>
      </w:pPr>
      <w:r>
        <w:rPr>
          <w:rFonts w:ascii="Arial" w:cs="Arial" w:eastAsia="Arial" w:hAnsi="Arial"/>
          <w:sz w:val="18"/>
          <w:szCs w:val="18"/>
          <w:b w:val="1"/>
          <w:bCs w:val="1"/>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-407035</wp:posOffset>
            </wp:positionV>
            <wp:extent cx="71120" cy="711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7" w:lineRule="exact"/>
        <w:rPr>
          <w:sz w:val="20"/>
          <w:szCs w:val="20"/>
          <w:color w:val="auto"/>
        </w:rPr>
      </w:pPr>
    </w:p>
    <w:p>
      <w:pPr>
        <w:jc w:val="both"/>
        <w:ind w:left="1100"/>
        <w:spacing w:after="0" w:line="236" w:lineRule="auto"/>
        <w:rPr>
          <w:sz w:val="20"/>
          <w:szCs w:val="20"/>
          <w:color w:val="auto"/>
        </w:rPr>
      </w:pPr>
      <w:r>
        <w:rPr>
          <w:rFonts w:ascii="Arial" w:cs="Arial" w:eastAsia="Arial" w:hAnsi="Arial"/>
          <w:sz w:val="20"/>
          <w:szCs w:val="20"/>
          <w:b w:val="1"/>
          <w:bCs w:val="1"/>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-389255</wp:posOffset>
            </wp:positionV>
            <wp:extent cx="71120" cy="711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The Company’s cash equivalents and marketable securities are carried at fair value, determined according to the fair value hierarchy described above (see Note 4). The carrying values of the Company’s accounts payable and accrued expenses approximate their fair values due to the short-term nature of these liabilities.</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Property and Equipment</w:t>
      </w:r>
    </w:p>
    <w:p>
      <w:pPr>
        <w:spacing w:after="0" w:line="131"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Estimated Useful Life</w:t>
            </w:r>
          </w:p>
        </w:tc>
      </w:tr>
      <w:tr>
        <w:trPr>
          <w:trHeight w:val="220"/>
        </w:trPr>
        <w:tc>
          <w:tcPr>
            <w:tcW w:w="5620" w:type="dxa"/>
            <w:vAlign w:val="bottom"/>
          </w:tcPr>
          <w:p>
            <w:pPr>
              <w:spacing w:after="0" w:line="220" w:lineRule="exact"/>
              <w:rPr>
                <w:sz w:val="20"/>
                <w:szCs w:val="20"/>
                <w:color w:val="auto"/>
              </w:rPr>
            </w:pPr>
            <w:r>
              <w:rPr>
                <w:rFonts w:ascii="Arial" w:cs="Arial" w:eastAsia="Arial" w:hAnsi="Arial"/>
                <w:sz w:val="20"/>
                <w:szCs w:val="20"/>
                <w:b w:val="1"/>
                <w:bCs w:val="1"/>
                <w:color w:val="auto"/>
              </w:rPr>
              <w:t>Machinery and equipment</w:t>
            </w:r>
          </w:p>
        </w:tc>
        <w:tc>
          <w:tcPr>
            <w:tcW w:w="4460" w:type="dxa"/>
            <w:vAlign w:val="bottom"/>
          </w:tcPr>
          <w:p>
            <w:pPr>
              <w:jc w:val="center"/>
              <w:spacing w:after="0" w:line="220" w:lineRule="exact"/>
              <w:rPr>
                <w:sz w:val="20"/>
                <w:szCs w:val="20"/>
                <w:color w:val="auto"/>
              </w:rPr>
            </w:pPr>
            <w:r>
              <w:rPr>
                <w:rFonts w:ascii="Arial" w:cs="Arial" w:eastAsia="Arial" w:hAnsi="Arial"/>
                <w:sz w:val="20"/>
                <w:szCs w:val="20"/>
                <w:b w:val="1"/>
                <w:bCs w:val="1"/>
                <w:color w:val="auto"/>
                <w:w w:val="85"/>
              </w:rPr>
              <w:t>3 to 5 years</w:t>
            </w:r>
          </w:p>
        </w:tc>
      </w:tr>
      <w:tr>
        <w:trPr>
          <w:trHeight w:val="230"/>
        </w:trPr>
        <w:tc>
          <w:tcPr>
            <w:tcW w:w="5620" w:type="dxa"/>
            <w:vAlign w:val="bottom"/>
          </w:tcPr>
          <w:p>
            <w:pPr>
              <w:spacing w:after="0"/>
              <w:rPr>
                <w:sz w:val="20"/>
                <w:szCs w:val="20"/>
                <w:color w:val="auto"/>
              </w:rPr>
            </w:pPr>
            <w:r>
              <w:rPr>
                <w:rFonts w:ascii="Arial" w:cs="Arial" w:eastAsia="Arial" w:hAnsi="Arial"/>
                <w:sz w:val="20"/>
                <w:szCs w:val="20"/>
                <w:b w:val="1"/>
                <w:bCs w:val="1"/>
                <w:color w:val="auto"/>
              </w:rPr>
              <w:t>Furniture and fixtures</w:t>
            </w:r>
          </w:p>
        </w:tc>
        <w:tc>
          <w:tcPr>
            <w:tcW w:w="4460" w:type="dxa"/>
            <w:vAlign w:val="bottom"/>
          </w:tcPr>
          <w:p>
            <w:pPr>
              <w:jc w:val="center"/>
              <w:spacing w:after="0"/>
              <w:rPr>
                <w:sz w:val="20"/>
                <w:szCs w:val="20"/>
                <w:color w:val="auto"/>
              </w:rPr>
            </w:pPr>
            <w:r>
              <w:rPr>
                <w:rFonts w:ascii="Arial" w:cs="Arial" w:eastAsia="Arial" w:hAnsi="Arial"/>
                <w:sz w:val="20"/>
                <w:szCs w:val="20"/>
                <w:b w:val="1"/>
                <w:bCs w:val="1"/>
                <w:color w:val="auto"/>
                <w:w w:val="85"/>
              </w:rPr>
              <w:t>3 to 5 years</w:t>
            </w:r>
          </w:p>
        </w:tc>
      </w:tr>
      <w:tr>
        <w:trPr>
          <w:trHeight w:val="230"/>
        </w:trPr>
        <w:tc>
          <w:tcPr>
            <w:tcW w:w="5620" w:type="dxa"/>
            <w:vAlign w:val="bottom"/>
          </w:tcPr>
          <w:p>
            <w:pPr>
              <w:spacing w:after="0"/>
              <w:rPr>
                <w:sz w:val="20"/>
                <w:szCs w:val="20"/>
                <w:color w:val="auto"/>
              </w:rPr>
            </w:pPr>
            <w:r>
              <w:rPr>
                <w:rFonts w:ascii="Arial" w:cs="Arial" w:eastAsia="Arial" w:hAnsi="Arial"/>
                <w:sz w:val="20"/>
                <w:szCs w:val="20"/>
                <w:b w:val="1"/>
                <w:bCs w:val="1"/>
                <w:color w:val="auto"/>
              </w:rPr>
              <w:t>Leasehold improvements</w:t>
            </w:r>
          </w:p>
        </w:tc>
        <w:tc>
          <w:tcPr>
            <w:tcW w:w="4460" w:type="dxa"/>
            <w:vAlign w:val="bottom"/>
          </w:tcPr>
          <w:p>
            <w:pPr>
              <w:jc w:val="center"/>
              <w:spacing w:after="0"/>
              <w:rPr>
                <w:sz w:val="20"/>
                <w:szCs w:val="20"/>
                <w:color w:val="auto"/>
              </w:rPr>
            </w:pPr>
            <w:r>
              <w:rPr>
                <w:rFonts w:ascii="Arial" w:cs="Arial" w:eastAsia="Arial" w:hAnsi="Arial"/>
                <w:sz w:val="20"/>
                <w:szCs w:val="20"/>
                <w:b w:val="1"/>
                <w:bCs w:val="1"/>
                <w:color w:val="auto"/>
                <w:w w:val="84"/>
              </w:rPr>
              <w:t>Shorter of lease term of useful life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-455930</wp:posOffset>
            </wp:positionV>
            <wp:extent cx="6427470" cy="4705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08">
                      <a:extLst>
                        <a:ext uri="{28A0092B-C50C-407E-A947-70E740481C1C}"/>
                      </a:extLst>
                    </a:blip>
                    <a:srcRect/>
                    <a:stretch>
                      <a:fillRect/>
                    </a:stretch>
                  </pic:blipFill>
                  <pic:spPr bwMode="auto">
                    <a:xfrm>
                      <a:off x="0" y="0"/>
                      <a:ext cx="6427470" cy="470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F-11</w:t>
      </w:r>
    </w:p>
    <w:p>
      <w:pPr>
        <w:sectPr>
          <w:pgSz w:w="12240" w:h="15840" w:orient="portrait"/>
          <w:cols w:equalWidth="0" w:num="1">
            <w:col w:w="10080"/>
          </w:cols>
          <w:pgMar w:left="1080" w:top="1079" w:right="1080" w:bottom="157" w:gutter="0" w:footer="0" w:header="0"/>
        </w:sectPr>
      </w:pPr>
    </w:p>
    <w:bookmarkStart w:id="131" w:name="page132"/>
    <w:bookmarkEnd w:id="131"/>
    <w:p>
      <w:pPr>
        <w:jc w:val="both"/>
        <w:ind w:firstLine="490"/>
        <w:spacing w:after="0" w:line="253" w:lineRule="auto"/>
        <w:rPr>
          <w:sz w:val="20"/>
          <w:szCs w:val="20"/>
          <w:color w:val="auto"/>
        </w:rPr>
      </w:pPr>
      <w:r>
        <w:rPr>
          <w:rFonts w:ascii="Arial" w:cs="Arial" w:eastAsia="Arial" w:hAnsi="Arial"/>
          <w:sz w:val="19"/>
          <w:szCs w:val="19"/>
          <w:b w:val="1"/>
          <w:bCs w:val="1"/>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w:t>
      </w:r>
    </w:p>
    <w:p>
      <w:pPr>
        <w:spacing w:after="0" w:line="34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Impairment of Long-Lived Assets</w:t>
      </w:r>
    </w:p>
    <w:p>
      <w:pPr>
        <w:spacing w:after="0" w:line="126" w:lineRule="exact"/>
        <w:rPr>
          <w:sz w:val="20"/>
          <w:szCs w:val="20"/>
          <w:color w:val="auto"/>
        </w:rPr>
      </w:pPr>
    </w:p>
    <w:p>
      <w:pPr>
        <w:jc w:val="both"/>
        <w:ind w:firstLine="490"/>
        <w:spacing w:after="0" w:line="320" w:lineRule="auto"/>
        <w:rPr>
          <w:sz w:val="20"/>
          <w:szCs w:val="20"/>
          <w:color w:val="auto"/>
        </w:rPr>
      </w:pPr>
      <w:r>
        <w:rPr>
          <w:rFonts w:ascii="Arial" w:cs="Arial" w:eastAsia="Arial" w:hAnsi="Arial"/>
          <w:sz w:val="15"/>
          <w:szCs w:val="15"/>
          <w:b w:val="1"/>
          <w:bCs w:val="1"/>
          <w:color w:val="auto"/>
        </w:rPr>
        <w:t>Long-lived assets consist of property and equipment.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long-lived asset group.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would be based on the excess of the carrying value of the impaired asset group over its fair value. The Company did not recognize any impairment losses on long-lived assets during the years ended December 31, 2022 and 2021.</w:t>
      </w:r>
    </w:p>
    <w:p>
      <w:pPr>
        <w:spacing w:after="0" w:line="200" w:lineRule="exact"/>
        <w:rPr>
          <w:sz w:val="20"/>
          <w:szCs w:val="20"/>
          <w:color w:val="auto"/>
        </w:rPr>
      </w:pPr>
    </w:p>
    <w:p>
      <w:pPr>
        <w:spacing w:after="0" w:line="32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Leases</w:t>
      </w:r>
    </w:p>
    <w:p>
      <w:pPr>
        <w:spacing w:after="0" w:line="126" w:lineRule="exact"/>
        <w:rPr>
          <w:sz w:val="20"/>
          <w:szCs w:val="20"/>
          <w:color w:val="auto"/>
        </w:rPr>
      </w:pPr>
    </w:p>
    <w:p>
      <w:pPr>
        <w:jc w:val="both"/>
        <w:ind w:firstLine="490"/>
        <w:spacing w:after="0" w:line="247" w:lineRule="auto"/>
        <w:rPr>
          <w:sz w:val="20"/>
          <w:szCs w:val="20"/>
          <w:color w:val="auto"/>
        </w:rPr>
      </w:pPr>
      <w:r>
        <w:rPr>
          <w:rFonts w:ascii="Arial" w:cs="Arial" w:eastAsia="Arial" w:hAnsi="Arial"/>
          <w:sz w:val="19"/>
          <w:szCs w:val="19"/>
          <w:b w:val="1"/>
          <w:bCs w:val="1"/>
          <w:color w:val="auto"/>
        </w:rPr>
        <w:t>Effective January 1, 2022, the Company adopted ASU No. 2016-02, Leases (Topic 842) (“ASC 842”) using the required modified retrospective approach and utilizing the effective date as its date of initial application. As a result, prior periods are presented in accordance with the previous guidance in ASC 840, Leases (“ASC 840”).</w:t>
      </w:r>
    </w:p>
    <w:p>
      <w:pPr>
        <w:spacing w:after="0" w:line="120" w:lineRule="exact"/>
        <w:rPr>
          <w:sz w:val="20"/>
          <w:szCs w:val="20"/>
          <w:color w:val="auto"/>
        </w:rPr>
      </w:pPr>
    </w:p>
    <w:p>
      <w:pPr>
        <w:jc w:val="both"/>
        <w:ind w:firstLine="490"/>
        <w:spacing w:after="0" w:line="321" w:lineRule="auto"/>
        <w:rPr>
          <w:sz w:val="20"/>
          <w:szCs w:val="20"/>
          <w:color w:val="auto"/>
        </w:rPr>
      </w:pPr>
      <w:r>
        <w:rPr>
          <w:rFonts w:ascii="Arial" w:cs="Arial" w:eastAsia="Arial" w:hAnsi="Arial"/>
          <w:sz w:val="15"/>
          <w:szCs w:val="15"/>
          <w:b w:val="1"/>
          <w:bCs w:val="1"/>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p>
    <w:p>
      <w:pPr>
        <w:spacing w:after="0" w:line="72" w:lineRule="exact"/>
        <w:rPr>
          <w:sz w:val="20"/>
          <w:szCs w:val="20"/>
          <w:color w:val="auto"/>
        </w:rPr>
      </w:pPr>
    </w:p>
    <w:p>
      <w:pPr>
        <w:jc w:val="both"/>
        <w:ind w:firstLine="490"/>
        <w:spacing w:after="0" w:line="280" w:lineRule="auto"/>
        <w:rPr>
          <w:sz w:val="20"/>
          <w:szCs w:val="20"/>
          <w:color w:val="auto"/>
        </w:rPr>
      </w:pPr>
      <w:r>
        <w:rPr>
          <w:rFonts w:ascii="Arial" w:cs="Arial" w:eastAsia="Arial" w:hAnsi="Arial"/>
          <w:sz w:val="17"/>
          <w:szCs w:val="17"/>
          <w:b w:val="1"/>
          <w:bCs w:val="1"/>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95" w:lineRule="exact"/>
        <w:rPr>
          <w:sz w:val="20"/>
          <w:szCs w:val="20"/>
          <w:color w:val="auto"/>
        </w:rPr>
      </w:pPr>
    </w:p>
    <w:p>
      <w:pPr>
        <w:jc w:val="both"/>
        <w:ind w:firstLine="490"/>
        <w:spacing w:after="0" w:line="265" w:lineRule="auto"/>
        <w:rPr>
          <w:sz w:val="20"/>
          <w:szCs w:val="20"/>
          <w:color w:val="auto"/>
        </w:rPr>
      </w:pPr>
      <w:r>
        <w:rPr>
          <w:rFonts w:ascii="Arial" w:cs="Arial" w:eastAsia="Arial" w:hAnsi="Arial"/>
          <w:sz w:val="18"/>
          <w:szCs w:val="18"/>
          <w:b w:val="1"/>
          <w:bCs w:val="1"/>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Patent Costs</w:t>
      </w:r>
    </w:p>
    <w:p>
      <w:pPr>
        <w:spacing w:after="0" w:line="126"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F-12</w:t>
      </w:r>
    </w:p>
    <w:p>
      <w:pPr>
        <w:sectPr>
          <w:pgSz w:w="12240" w:h="15840" w:orient="portrait"/>
          <w:cols w:equalWidth="0" w:num="1">
            <w:col w:w="10080"/>
          </w:cols>
          <w:pgMar w:left="1080" w:top="1358" w:right="1080" w:bottom="157" w:gutter="0" w:footer="0" w:header="0"/>
        </w:sectPr>
      </w:pPr>
    </w:p>
    <w:bookmarkStart w:id="132" w:name="page133"/>
    <w:bookmarkEnd w:id="132"/>
    <w:p>
      <w:pPr>
        <w:ind w:left="480"/>
        <w:spacing w:after="0"/>
        <w:rPr>
          <w:sz w:val="20"/>
          <w:szCs w:val="20"/>
          <w:color w:val="auto"/>
        </w:rPr>
      </w:pPr>
      <w:r>
        <w:rPr>
          <w:rFonts w:ascii="Arial" w:cs="Arial" w:eastAsia="Arial" w:hAnsi="Arial"/>
          <w:sz w:val="20"/>
          <w:szCs w:val="20"/>
          <w:b w:val="1"/>
          <w:bCs w:val="1"/>
          <w:color w:val="auto"/>
        </w:rPr>
        <w:t>Segment Information</w:t>
      </w:r>
    </w:p>
    <w:p>
      <w:pPr>
        <w:spacing w:after="0" w:line="126"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Research and Development Expenses</w:t>
      </w:r>
    </w:p>
    <w:p>
      <w:pPr>
        <w:spacing w:after="0" w:line="126" w:lineRule="exact"/>
        <w:rPr>
          <w:sz w:val="20"/>
          <w:szCs w:val="20"/>
          <w:color w:val="auto"/>
        </w:rPr>
      </w:pPr>
    </w:p>
    <w:p>
      <w:pPr>
        <w:jc w:val="both"/>
        <w:ind w:firstLine="490"/>
        <w:spacing w:after="0" w:line="265" w:lineRule="auto"/>
        <w:rPr>
          <w:sz w:val="20"/>
          <w:szCs w:val="20"/>
          <w:color w:val="auto"/>
        </w:rPr>
      </w:pPr>
      <w:r>
        <w:rPr>
          <w:rFonts w:ascii="Arial" w:cs="Arial" w:eastAsia="Arial" w:hAnsi="Arial"/>
          <w:sz w:val="18"/>
          <w:szCs w:val="18"/>
          <w:b w:val="1"/>
          <w:bCs w:val="1"/>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 trials as well as to manufacture research and development materials for use in such studies and trials; salaries and related personnel costs; stock-based compensation; consultant fees; and third-party license fees.</w:t>
      </w:r>
    </w:p>
    <w:p>
      <w:pPr>
        <w:spacing w:after="0" w:line="103" w:lineRule="exact"/>
        <w:rPr>
          <w:sz w:val="20"/>
          <w:szCs w:val="20"/>
          <w:color w:val="auto"/>
        </w:rPr>
      </w:pPr>
    </w:p>
    <w:p>
      <w:pPr>
        <w:jc w:val="both"/>
        <w:ind w:firstLine="490"/>
        <w:spacing w:after="0" w:line="346" w:lineRule="auto"/>
        <w:rPr>
          <w:sz w:val="20"/>
          <w:szCs w:val="20"/>
          <w:color w:val="auto"/>
        </w:rPr>
      </w:pPr>
      <w:r>
        <w:rPr>
          <w:rFonts w:ascii="Arial" w:cs="Arial" w:eastAsia="Arial" w:hAnsi="Arial"/>
          <w:sz w:val="15"/>
          <w:szCs w:val="15"/>
          <w:b w:val="1"/>
          <w:bCs w:val="1"/>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8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Accrued Research and Development Costs</w:t>
      </w:r>
    </w:p>
    <w:p>
      <w:pPr>
        <w:spacing w:after="0" w:line="126" w:lineRule="exact"/>
        <w:rPr>
          <w:sz w:val="20"/>
          <w:szCs w:val="20"/>
          <w:color w:val="auto"/>
        </w:rPr>
      </w:pPr>
    </w:p>
    <w:p>
      <w:pPr>
        <w:jc w:val="both"/>
        <w:ind w:firstLine="490"/>
        <w:spacing w:after="0" w:line="278" w:lineRule="auto"/>
        <w:rPr>
          <w:sz w:val="20"/>
          <w:szCs w:val="20"/>
          <w:color w:val="auto"/>
        </w:rPr>
      </w:pPr>
      <w:r>
        <w:rPr>
          <w:rFonts w:ascii="Arial" w:cs="Arial" w:eastAsia="Arial" w:hAnsi="Arial"/>
          <w:sz w:val="17"/>
          <w:szCs w:val="17"/>
          <w:b w:val="1"/>
          <w:bCs w:val="1"/>
          <w:color w:val="auto"/>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9),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33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Asset Acquisitions and Acquired In-Process Research and Development Expenses</w:t>
      </w:r>
    </w:p>
    <w:p>
      <w:pPr>
        <w:spacing w:after="0" w:line="131"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8"/>
          <w:szCs w:val="18"/>
          <w:b w:val="1"/>
          <w:bCs w:val="1"/>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104"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31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Stock-Based Compensation</w:t>
      </w:r>
    </w:p>
    <w:p>
      <w:pPr>
        <w:spacing w:after="0" w:line="131"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2022.</w:t>
      </w:r>
    </w:p>
    <w:p>
      <w:pPr>
        <w:spacing w:after="0" w:line="9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F-13</w:t>
      </w:r>
    </w:p>
    <w:p>
      <w:pPr>
        <w:sectPr>
          <w:pgSz w:w="12240" w:h="15840" w:orient="portrait"/>
          <w:cols w:equalWidth="0" w:num="1">
            <w:col w:w="10080"/>
          </w:cols>
          <w:pgMar w:left="1080" w:top="1074" w:right="1080" w:bottom="157" w:gutter="0" w:footer="0" w:header="0"/>
        </w:sectPr>
      </w:pPr>
    </w:p>
    <w:bookmarkStart w:id="133" w:name="page134"/>
    <w:bookmarkEnd w:id="133"/>
    <w:p>
      <w:pPr>
        <w:jc w:val="both"/>
        <w:ind w:firstLine="490"/>
        <w:spacing w:after="0" w:line="235" w:lineRule="auto"/>
        <w:rPr>
          <w:sz w:val="20"/>
          <w:szCs w:val="20"/>
          <w:color w:val="auto"/>
        </w:rPr>
      </w:pPr>
      <w:r>
        <w:rPr>
          <w:rFonts w:ascii="Arial" w:cs="Arial" w:eastAsia="Arial" w:hAnsi="Arial"/>
          <w:sz w:val="20"/>
          <w:szCs w:val="20"/>
          <w:b w:val="1"/>
          <w:bCs w:val="1"/>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36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Warrant Expense</w:t>
      </w:r>
    </w:p>
    <w:p>
      <w:pPr>
        <w:spacing w:after="0" w:line="131"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The Company recognizes stock-based compensation for warrants granted to non-employee service providers based upon the awards’ estimated grant date fair value. The warrants vest subject to the satisfaction of service-based conditions. Warrant expense is measured based on the fair value of the award on the date of grant and expense is recognized on a straight-line basis over the requisite service period, which varies for each non-employee service provider on a grant-by-grant basis.</w:t>
      </w:r>
    </w:p>
    <w:p>
      <w:pPr>
        <w:spacing w:after="0" w:line="56"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The Company accounts for forfeitures as they occur. The Company classifies stock-based compensation for non-employee service providers as warrant expense in its statements of operations and comprehensive loss.</w:t>
      </w:r>
    </w:p>
    <w:p>
      <w:pPr>
        <w:spacing w:after="0" w:line="96"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Company estimates the fair value of warrants using the Geometric Brownian Motion model. The assumptions used in estimating the fair value of these awards, such as expected term, expected dividend yield, volatility, and risk-free interest rate represent management’s best estimates and involve inherent uncertainties and the application of management’s judgment. If actual results are not consistent with the Company’s assumptions and judgments used in making these estimates, the Company may be required to increase or decrease warrant expense, which could be material to the Company’s consolidated results of operations.</w:t>
      </w:r>
    </w:p>
    <w:p>
      <w:pPr>
        <w:spacing w:after="0" w:line="35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Income Taxes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98"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2022 and 2021.</w:t>
      </w:r>
    </w:p>
    <w:p>
      <w:pPr>
        <w:spacing w:after="0" w:line="34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Comprehensive Loss</w:t>
      </w:r>
    </w:p>
    <w:p>
      <w:pPr>
        <w:spacing w:after="0" w:line="129"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Comprehensive loss includes net loss as well as other changes in stockholders’ equity (deficit) that result from transactions and economic events other than those with stockholders. For the years ended December 31, 2022 and 2021, the Company's only element of other comprehensive loss was unrealized losses on marketable securities.</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Net Loss per Share</w:t>
      </w:r>
    </w:p>
    <w:p>
      <w:pPr>
        <w:spacing w:after="0" w:line="131"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F-14</w:t>
      </w:r>
    </w:p>
    <w:p>
      <w:pPr>
        <w:sectPr>
          <w:pgSz w:w="12240" w:h="15840" w:orient="portrait"/>
          <w:cols w:equalWidth="0" w:num="1">
            <w:col w:w="10080"/>
          </w:cols>
          <w:pgMar w:left="1080" w:top="1089" w:right="1080" w:bottom="157" w:gutter="0" w:footer="0" w:header="0"/>
        </w:sectPr>
      </w:pPr>
    </w:p>
    <w:bookmarkStart w:id="134" w:name="page135"/>
    <w:bookmarkEnd w:id="134"/>
    <w:p>
      <w:pPr>
        <w:jc w:val="both"/>
        <w:spacing w:after="0" w:line="252" w:lineRule="auto"/>
        <w:rPr>
          <w:sz w:val="20"/>
          <w:szCs w:val="20"/>
          <w:color w:val="auto"/>
        </w:rPr>
      </w:pPr>
      <w:r>
        <w:rPr>
          <w:rFonts w:ascii="Arial" w:cs="Arial" w:eastAsia="Arial" w:hAnsi="Arial"/>
          <w:sz w:val="19"/>
          <w:szCs w:val="19"/>
          <w:b w:val="1"/>
          <w:bCs w:val="1"/>
          <w:color w:val="auto"/>
        </w:rPr>
        <w:t>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22"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convertible preferred stock, outstanding stock options, unvested restricted common stock and outstanding warrants are considered potential dilutive common shares.</w:t>
      </w:r>
    </w:p>
    <w:p>
      <w:pPr>
        <w:spacing w:after="0" w:line="95"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363"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Recently Issued and Adopted Accounting Pronouncements</w:t>
      </w:r>
    </w:p>
    <w:p>
      <w:pPr>
        <w:spacing w:after="0" w:line="131"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The Company is an “emerging growth company,” as defined in the Jumpstart Our Business Startups Act of 2012 (the “JOBS Act”), and may remain an emerging growth company until the last day of the fiscal year following the fifth anniversary of the completion of its initial public offering.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the end of such five-year period.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98"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In February 2016, the FASB issued ASC 842, as subsequently amended. ASC 842 sets forth the principles for the recognition, measurement, presentation and disclosure of leases for both parties to a contract (i.e., lessees and lessors). ASC 842 replaces the existing guidance in ASC 840. ASC 842 requires lessees to apply a dual approach, classifying leases as either finance or operating leases based on the principle of whether or not the lease is effectively a financed purchase by the lessee. A lessee is also required to record (i) a right-of-use asset and a lease liability on its balance 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The Company adopted the new standard and used the modified retrospective approach with January 1, 2022 as the initial date of application. The Company elected the available package of practical expedients which allowed the Company to not reassess previous accounting conclusions around whether arrangements are or contain leases, the classification of leases, and the treatment of initial direct costs. As a result of the adoption of ASC 842, the Company recorded (i) an operating lease liability, current of $0.3 million,</w:t>
      </w:r>
    </w:p>
    <w:p>
      <w:pPr>
        <w:spacing w:after="0" w:line="183" w:lineRule="exact"/>
        <w:rPr>
          <w:sz w:val="20"/>
          <w:szCs w:val="20"/>
          <w:color w:val="auto"/>
        </w:rPr>
      </w:pPr>
    </w:p>
    <w:p>
      <w:pPr>
        <w:jc w:val="both"/>
        <w:spacing w:after="0" w:line="236" w:lineRule="auto"/>
        <w:tabs>
          <w:tab w:leader="none" w:pos="293"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an operating lease liability, non-current of $1.4 million and (iii) an operating lease right-of-use asset of $1.7 million, net of the unamortized balance of deferred rent liability as of the transition date. There was no impact from the adoption of ASC 842 to the Company’s results of operations and cash flows from operations. A summary of the impact of the adoption is as follows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w w:val="92"/>
              </w:rPr>
              <w:t>December 31, 2021</w:t>
            </w:r>
          </w:p>
        </w:tc>
        <w:tc>
          <w:tcPr>
            <w:tcW w:w="100" w:type="dxa"/>
            <w:vAlign w:val="bottom"/>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Impact of Adoption</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w w:val="88"/>
              </w:rPr>
              <w:t>January 1, 2022</w:t>
            </w:r>
          </w:p>
        </w:tc>
      </w:tr>
      <w:tr>
        <w:trPr>
          <w:trHeight w:val="220"/>
        </w:trPr>
        <w:tc>
          <w:tcPr>
            <w:tcW w:w="5640" w:type="dxa"/>
            <w:vAlign w:val="bottom"/>
          </w:tcPr>
          <w:p>
            <w:pPr>
              <w:spacing w:after="0" w:line="220" w:lineRule="exact"/>
              <w:rPr>
                <w:sz w:val="20"/>
                <w:szCs w:val="20"/>
                <w:color w:val="auto"/>
              </w:rPr>
            </w:pPr>
            <w:r>
              <w:rPr>
                <w:rFonts w:ascii="Arial" w:cs="Arial" w:eastAsia="Arial" w:hAnsi="Arial"/>
                <w:sz w:val="20"/>
                <w:szCs w:val="20"/>
                <w:b w:val="1"/>
                <w:bCs w:val="1"/>
                <w:color w:val="auto"/>
              </w:rPr>
              <w:t>Operating lease right-of-use asset</w:t>
            </w:r>
          </w:p>
        </w:tc>
        <w:tc>
          <w:tcPr>
            <w:tcW w:w="680" w:type="dxa"/>
            <w:vAlign w:val="bottom"/>
          </w:tcPr>
          <w:p>
            <w:pPr>
              <w:jc w:val="right"/>
              <w:ind w:right="490"/>
              <w:spacing w:after="0" w:line="220" w:lineRule="exact"/>
              <w:rPr>
                <w:sz w:val="20"/>
                <w:szCs w:val="20"/>
                <w:color w:val="auto"/>
              </w:rPr>
            </w:pPr>
            <w:r>
              <w:rPr>
                <w:rFonts w:ascii="Arial" w:cs="Arial" w:eastAsia="Arial" w:hAnsi="Arial"/>
                <w:sz w:val="20"/>
                <w:szCs w:val="20"/>
                <w:b w:val="1"/>
                <w:bCs w:val="1"/>
                <w:color w:val="auto"/>
                <w:w w:val="71"/>
              </w:rPr>
              <w:t>$</w:t>
            </w:r>
          </w:p>
        </w:tc>
        <w:tc>
          <w:tcPr>
            <w:tcW w:w="86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auto"/>
              </w:rPr>
              <w:t>—</w:t>
            </w:r>
          </w:p>
        </w:tc>
        <w:tc>
          <w:tcPr>
            <w:tcW w:w="520" w:type="dxa"/>
            <w:vAlign w:val="bottom"/>
          </w:tcPr>
          <w:p>
            <w:pPr>
              <w:spacing w:after="0" w:line="220" w:lineRule="exact"/>
              <w:rPr>
                <w:sz w:val="20"/>
                <w:szCs w:val="20"/>
                <w:color w:val="auto"/>
              </w:rPr>
            </w:pPr>
            <w:r>
              <w:rPr>
                <w:rFonts w:ascii="Arial" w:cs="Arial" w:eastAsia="Arial" w:hAnsi="Arial"/>
                <w:sz w:val="20"/>
                <w:szCs w:val="20"/>
                <w:b w:val="1"/>
                <w:bCs w:val="1"/>
                <w:color w:val="auto"/>
              </w:rPr>
              <w:t>$</w:t>
            </w:r>
          </w:p>
        </w:tc>
        <w:tc>
          <w:tcPr>
            <w:tcW w:w="96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auto"/>
              </w:rPr>
              <w:t>1,728</w:t>
            </w: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2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1,728</w:t>
            </w:r>
          </w:p>
        </w:tc>
      </w:tr>
      <w:tr>
        <w:trPr>
          <w:trHeight w:val="230"/>
        </w:trPr>
        <w:tc>
          <w:tcPr>
            <w:tcW w:w="5640" w:type="dxa"/>
            <w:vAlign w:val="bottom"/>
          </w:tcPr>
          <w:p>
            <w:pPr>
              <w:spacing w:after="0"/>
              <w:rPr>
                <w:sz w:val="20"/>
                <w:szCs w:val="20"/>
                <w:color w:val="auto"/>
              </w:rPr>
            </w:pPr>
            <w:r>
              <w:rPr>
                <w:rFonts w:ascii="Arial" w:cs="Arial" w:eastAsia="Arial" w:hAnsi="Arial"/>
                <w:sz w:val="20"/>
                <w:szCs w:val="20"/>
                <w:b w:val="1"/>
                <w:bCs w:val="1"/>
                <w:color w:val="auto"/>
              </w:rPr>
              <w:t>Operating lease liability, current</w:t>
            </w:r>
          </w:p>
        </w:tc>
        <w:tc>
          <w:tcPr>
            <w:tcW w:w="6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308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308</w:t>
            </w:r>
          </w:p>
        </w:tc>
      </w:tr>
      <w:tr>
        <w:trPr>
          <w:trHeight w:val="230"/>
        </w:trPr>
        <w:tc>
          <w:tcPr>
            <w:tcW w:w="5640" w:type="dxa"/>
            <w:vAlign w:val="bottom"/>
          </w:tcPr>
          <w:p>
            <w:pPr>
              <w:spacing w:after="0"/>
              <w:rPr>
                <w:sz w:val="20"/>
                <w:szCs w:val="20"/>
                <w:color w:val="auto"/>
              </w:rPr>
            </w:pPr>
            <w:r>
              <w:rPr>
                <w:rFonts w:ascii="Arial" w:cs="Arial" w:eastAsia="Arial" w:hAnsi="Arial"/>
                <w:sz w:val="20"/>
                <w:szCs w:val="20"/>
                <w:b w:val="1"/>
                <w:bCs w:val="1"/>
                <w:color w:val="auto"/>
              </w:rPr>
              <w:t>Other non-current liability</w:t>
            </w:r>
          </w:p>
        </w:tc>
        <w:tc>
          <w:tcPr>
            <w:tcW w:w="6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6</w:t>
            </w: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(6)</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5640" w:type="dxa"/>
            <w:vAlign w:val="bottom"/>
          </w:tcPr>
          <w:p>
            <w:pPr>
              <w:spacing w:after="0"/>
              <w:rPr>
                <w:sz w:val="20"/>
                <w:szCs w:val="20"/>
                <w:color w:val="auto"/>
              </w:rPr>
            </w:pPr>
            <w:r>
              <w:rPr>
                <w:rFonts w:ascii="Arial" w:cs="Arial" w:eastAsia="Arial" w:hAnsi="Arial"/>
                <w:sz w:val="20"/>
                <w:szCs w:val="20"/>
                <w:b w:val="1"/>
                <w:bCs w:val="1"/>
                <w:color w:val="auto"/>
              </w:rPr>
              <w:t>Operating lease liability, non-current</w:t>
            </w:r>
          </w:p>
        </w:tc>
        <w:tc>
          <w:tcPr>
            <w:tcW w:w="6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5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1,426</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-602615</wp:posOffset>
            </wp:positionV>
            <wp:extent cx="6427470" cy="6165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09">
                      <a:extLst>
                        <a:ext uri="{28A0092B-C50C-407E-A947-70E740481C1C}"/>
                      </a:extLst>
                    </a:blip>
                    <a:srcRect/>
                    <a:stretch>
                      <a:fillRect/>
                    </a:stretch>
                  </pic:blipFill>
                  <pic:spPr bwMode="auto">
                    <a:xfrm>
                      <a:off x="0" y="0"/>
                      <a:ext cx="6427470" cy="61658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Marketable Securities</w:t>
      </w:r>
    </w:p>
    <w:p>
      <w:pPr>
        <w:spacing w:after="0" w:line="13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Marketable securities held by the Company are classified as available-for-sale debt securities pursuant to ASC 320, Investments – Debt and Equity Securities, and carried at fair value in the accompanying consolidated balance sheets on a settlement date basis.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F-15</w:t>
      </w:r>
    </w:p>
    <w:p>
      <w:pPr>
        <w:sectPr>
          <w:pgSz w:w="12240" w:h="15840" w:orient="portrait"/>
          <w:cols w:equalWidth="0" w:num="1">
            <w:col w:w="10080"/>
          </w:cols>
          <w:pgMar w:left="1080" w:top="1089" w:right="1080" w:bottom="157" w:gutter="0" w:footer="0" w:header="0"/>
        </w:sectPr>
      </w:pPr>
    </w:p>
    <w:bookmarkStart w:id="135" w:name="page136"/>
    <w:bookmarkEnd w:id="135"/>
    <w:p>
      <w:pPr>
        <w:ind w:left="480"/>
        <w:spacing w:after="0"/>
        <w:rPr>
          <w:sz w:val="20"/>
          <w:szCs w:val="20"/>
          <w:color w:val="auto"/>
        </w:rPr>
      </w:pPr>
      <w:r>
        <w:rPr>
          <w:rFonts w:ascii="Arial" w:cs="Arial" w:eastAsia="Arial" w:hAnsi="Arial"/>
          <w:sz w:val="17"/>
          <w:szCs w:val="17"/>
          <w:b w:val="1"/>
          <w:bCs w:val="1"/>
          <w:color w:val="auto"/>
        </w:rPr>
        <w:t>The following tables summarize the gross unrealized gains and losses of the Company’s marketable securities as of</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2022 and 2021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Cost</w:t>
            </w:r>
          </w:p>
        </w:tc>
        <w:tc>
          <w:tcPr>
            <w:tcW w:w="24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6"/>
                <w:szCs w:val="16"/>
                <w:b w:val="1"/>
                <w:bCs w:val="1"/>
                <w:color w:val="auto"/>
                <w:w w:val="89"/>
              </w:rPr>
              <w:t>Gains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6"/>
                <w:szCs w:val="16"/>
                <w:b w:val="1"/>
                <w:bCs w:val="1"/>
                <w:color w:val="auto"/>
                <w:w w:val="79"/>
              </w:rPr>
              <w:t>Losses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w w:val="96"/>
              </w:rPr>
              <w:t>Fair Value</w:t>
            </w:r>
          </w:p>
        </w:tc>
      </w:tr>
      <w:tr>
        <w:trPr>
          <w:trHeight w:val="218"/>
        </w:trPr>
        <w:tc>
          <w:tcPr>
            <w:tcW w:w="5080" w:type="dxa"/>
            <w:vAlign w:val="bottom"/>
          </w:tcPr>
          <w:p>
            <w:pPr>
              <w:ind w:left="200"/>
              <w:spacing w:after="0" w:line="218" w:lineRule="exact"/>
              <w:rPr>
                <w:sz w:val="20"/>
                <w:szCs w:val="20"/>
                <w:color w:val="auto"/>
              </w:rPr>
            </w:pPr>
            <w:r>
              <w:rPr>
                <w:rFonts w:ascii="Arial" w:cs="Arial" w:eastAsia="Arial" w:hAnsi="Arial"/>
                <w:sz w:val="20"/>
                <w:szCs w:val="20"/>
                <w:b w:val="1"/>
                <w:bCs w:val="1"/>
                <w:color w:val="auto"/>
              </w:rPr>
              <w:t>U.S. Treasury securities</w:t>
            </w:r>
          </w:p>
        </w:tc>
        <w:tc>
          <w:tcPr>
            <w:tcW w:w="240" w:type="dxa"/>
            <w:vAlign w:val="bottom"/>
            <w:gridSpan w:val="2"/>
          </w:tcPr>
          <w:p>
            <w:pPr>
              <w:jc w:val="right"/>
              <w:spacing w:after="0" w:line="218" w:lineRule="exact"/>
              <w:rPr>
                <w:sz w:val="20"/>
                <w:szCs w:val="20"/>
                <w:color w:val="auto"/>
              </w:rPr>
            </w:pPr>
            <w:r>
              <w:rPr>
                <w:rFonts w:ascii="Arial" w:cs="Arial" w:eastAsia="Arial" w:hAnsi="Arial"/>
                <w:sz w:val="20"/>
                <w:szCs w:val="20"/>
                <w:b w:val="1"/>
                <w:bCs w:val="1"/>
                <w:color w:val="auto"/>
              </w:rPr>
              <w:t>$</w:t>
            </w:r>
          </w:p>
        </w:tc>
        <w:tc>
          <w:tcPr>
            <w:tcW w:w="920" w:type="dxa"/>
            <w:vAlign w:val="bottom"/>
            <w:gridSpan w:val="2"/>
          </w:tcPr>
          <w:p>
            <w:pPr>
              <w:ind w:left="260"/>
              <w:spacing w:after="0" w:line="218" w:lineRule="exact"/>
              <w:rPr>
                <w:sz w:val="20"/>
                <w:szCs w:val="20"/>
                <w:color w:val="auto"/>
              </w:rPr>
            </w:pPr>
            <w:r>
              <w:rPr>
                <w:rFonts w:ascii="Arial" w:cs="Arial" w:eastAsia="Arial" w:hAnsi="Arial"/>
                <w:sz w:val="20"/>
                <w:szCs w:val="20"/>
                <w:b w:val="1"/>
                <w:bCs w:val="1"/>
                <w:color w:val="auto"/>
                <w:w w:val="88"/>
              </w:rPr>
              <w:t>107,973</w:t>
            </w:r>
          </w:p>
        </w:tc>
        <w:tc>
          <w:tcPr>
            <w:tcW w:w="220" w:type="dxa"/>
            <w:vAlign w:val="bottom"/>
          </w:tcPr>
          <w:p>
            <w:pPr>
              <w:spacing w:after="0"/>
              <w:rPr>
                <w:sz w:val="18"/>
                <w:szCs w:val="18"/>
                <w:color w:val="auto"/>
              </w:rPr>
            </w:pPr>
          </w:p>
        </w:tc>
        <w:tc>
          <w:tcPr>
            <w:tcW w:w="120" w:type="dxa"/>
            <w:vAlign w:val="bottom"/>
          </w:tcPr>
          <w:p>
            <w:pPr>
              <w:jc w:val="right"/>
              <w:spacing w:after="0" w:line="218" w:lineRule="exact"/>
              <w:rPr>
                <w:sz w:val="20"/>
                <w:szCs w:val="20"/>
                <w:color w:val="auto"/>
              </w:rPr>
            </w:pPr>
            <w:r>
              <w:rPr>
                <w:rFonts w:ascii="Arial" w:cs="Arial" w:eastAsia="Arial" w:hAnsi="Arial"/>
                <w:sz w:val="20"/>
                <w:szCs w:val="20"/>
                <w:b w:val="1"/>
                <w:bCs w:val="1"/>
                <w:color w:val="auto"/>
                <w:w w:val="71"/>
              </w:rPr>
              <w:t>$</w:t>
            </w:r>
          </w:p>
        </w:tc>
        <w:tc>
          <w:tcPr>
            <w:tcW w:w="1020" w:type="dxa"/>
            <w:vAlign w:val="bottom"/>
            <w:gridSpan w:val="2"/>
          </w:tcPr>
          <w:p>
            <w:pPr>
              <w:jc w:val="right"/>
              <w:ind w:right="120"/>
              <w:spacing w:after="0" w:line="218" w:lineRule="exact"/>
              <w:rPr>
                <w:sz w:val="20"/>
                <w:szCs w:val="20"/>
                <w:color w:val="auto"/>
              </w:rPr>
            </w:pPr>
            <w:r>
              <w:rPr>
                <w:rFonts w:ascii="Arial" w:cs="Arial" w:eastAsia="Arial" w:hAnsi="Arial"/>
                <w:sz w:val="20"/>
                <w:szCs w:val="20"/>
                <w:b w:val="1"/>
                <w:bCs w:val="1"/>
                <w:color w:val="auto"/>
              </w:rPr>
              <w:t>13</w:t>
            </w:r>
          </w:p>
        </w:tc>
        <w:tc>
          <w:tcPr>
            <w:tcW w:w="220" w:type="dxa"/>
            <w:vAlign w:val="bottom"/>
            <w:gridSpan w:val="2"/>
          </w:tcPr>
          <w:p>
            <w:pPr>
              <w:jc w:val="right"/>
              <w:ind w:right="20"/>
              <w:spacing w:after="0" w:line="218" w:lineRule="exact"/>
              <w:rPr>
                <w:sz w:val="20"/>
                <w:szCs w:val="20"/>
                <w:color w:val="auto"/>
              </w:rPr>
            </w:pPr>
            <w:r>
              <w:rPr>
                <w:rFonts w:ascii="Arial" w:cs="Arial" w:eastAsia="Arial" w:hAnsi="Arial"/>
                <w:sz w:val="20"/>
                <w:szCs w:val="20"/>
                <w:b w:val="1"/>
                <w:bCs w:val="1"/>
                <w:color w:val="auto"/>
              </w:rPr>
              <w:t>$</w:t>
            </w:r>
          </w:p>
        </w:tc>
        <w:tc>
          <w:tcPr>
            <w:tcW w:w="1060" w:type="dxa"/>
            <w:vAlign w:val="bottom"/>
            <w:gridSpan w:val="2"/>
          </w:tcPr>
          <w:p>
            <w:pPr>
              <w:jc w:val="right"/>
              <w:ind w:right="80"/>
              <w:spacing w:after="0" w:line="218" w:lineRule="exact"/>
              <w:rPr>
                <w:sz w:val="20"/>
                <w:szCs w:val="20"/>
                <w:color w:val="auto"/>
              </w:rPr>
            </w:pPr>
            <w:r>
              <w:rPr>
                <w:rFonts w:ascii="Arial" w:cs="Arial" w:eastAsia="Arial" w:hAnsi="Arial"/>
                <w:sz w:val="20"/>
                <w:szCs w:val="20"/>
                <w:b w:val="1"/>
                <w:bCs w:val="1"/>
                <w:color w:val="auto"/>
              </w:rPr>
              <w:t>(115)</w:t>
            </w:r>
          </w:p>
        </w:tc>
        <w:tc>
          <w:tcPr>
            <w:tcW w:w="200" w:type="dxa"/>
            <w:vAlign w:val="bottom"/>
            <w:gridSpan w:val="2"/>
          </w:tcPr>
          <w:p>
            <w:pPr>
              <w:jc w:val="right"/>
              <w:ind w:right="20"/>
              <w:spacing w:after="0" w:line="218"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line="218" w:lineRule="exact"/>
              <w:rPr>
                <w:sz w:val="20"/>
                <w:szCs w:val="20"/>
                <w:color w:val="auto"/>
              </w:rPr>
            </w:pPr>
            <w:r>
              <w:rPr>
                <w:rFonts w:ascii="Arial" w:cs="Arial" w:eastAsia="Arial" w:hAnsi="Arial"/>
                <w:sz w:val="20"/>
                <w:szCs w:val="20"/>
                <w:b w:val="1"/>
                <w:bCs w:val="1"/>
                <w:color w:val="auto"/>
              </w:rPr>
              <w:t>107,871</w:t>
            </w:r>
          </w:p>
        </w:tc>
      </w:tr>
      <w:tr>
        <w:trPr>
          <w:trHeight w:val="230"/>
        </w:trPr>
        <w:tc>
          <w:tcPr>
            <w:tcW w:w="5080" w:type="dxa"/>
            <w:vAlign w:val="bottom"/>
          </w:tcPr>
          <w:p>
            <w:pPr>
              <w:ind w:left="200"/>
              <w:spacing w:after="0"/>
              <w:rPr>
                <w:sz w:val="20"/>
                <w:szCs w:val="20"/>
                <w:color w:val="auto"/>
              </w:rPr>
            </w:pPr>
            <w:r>
              <w:rPr>
                <w:rFonts w:ascii="Arial" w:cs="Arial" w:eastAsia="Arial" w:hAnsi="Arial"/>
                <w:sz w:val="20"/>
                <w:szCs w:val="20"/>
                <w:b w:val="1"/>
                <w:bCs w:val="1"/>
                <w:color w:val="auto"/>
              </w:rPr>
              <w:t>Federal agency 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60"/>
              <w:spacing w:after="0"/>
              <w:rPr>
                <w:sz w:val="20"/>
                <w:szCs w:val="20"/>
                <w:color w:val="auto"/>
              </w:rPr>
            </w:pPr>
            <w:r>
              <w:rPr>
                <w:rFonts w:ascii="Arial" w:cs="Arial" w:eastAsia="Arial" w:hAnsi="Arial"/>
                <w:sz w:val="20"/>
                <w:szCs w:val="20"/>
                <w:b w:val="1"/>
                <w:bCs w:val="1"/>
                <w:color w:val="auto"/>
                <w:w w:val="88"/>
              </w:rPr>
              <w:t>172,214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(209)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172,044</w:t>
            </w: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20"/>
        </w:trPr>
        <w:tc>
          <w:tcPr>
            <w:tcW w:w="508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Total financial assets</w:t>
            </w:r>
          </w:p>
        </w:tc>
        <w:tc>
          <w:tcPr>
            <w:tcW w:w="12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920" w:type="dxa"/>
            <w:vAlign w:val="bottom"/>
            <w:gridSpan w:val="2"/>
          </w:tcPr>
          <w:p>
            <w:pPr>
              <w:ind w:left="260"/>
              <w:spacing w:after="0" w:line="220" w:lineRule="exact"/>
              <w:rPr>
                <w:sz w:val="20"/>
                <w:szCs w:val="20"/>
                <w:color w:val="auto"/>
              </w:rPr>
            </w:pPr>
            <w:r>
              <w:rPr>
                <w:rFonts w:ascii="Arial" w:cs="Arial" w:eastAsia="Arial" w:hAnsi="Arial"/>
                <w:sz w:val="20"/>
                <w:szCs w:val="20"/>
                <w:b w:val="1"/>
                <w:bCs w:val="1"/>
                <w:color w:val="auto"/>
                <w:w w:val="88"/>
              </w:rPr>
              <w:t>280,187</w:t>
            </w:r>
          </w:p>
        </w:tc>
        <w:tc>
          <w:tcPr>
            <w:tcW w:w="22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02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52</w:t>
            </w:r>
          </w:p>
        </w:tc>
        <w:tc>
          <w:tcPr>
            <w:tcW w:w="2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106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auto"/>
              </w:rPr>
              <w:t>(324)</w:t>
            </w:r>
          </w:p>
        </w:tc>
        <w:tc>
          <w:tcPr>
            <w:tcW w:w="20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279,915</w:t>
            </w:r>
          </w:p>
        </w:tc>
      </w:tr>
      <w:tr>
        <w:trPr>
          <w:trHeight w:val="506"/>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Amortized</w:t>
            </w:r>
          </w:p>
        </w:tc>
        <w:tc>
          <w:tcPr>
            <w:tcW w:w="12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3"/>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Cost</w:t>
            </w:r>
          </w:p>
        </w:tc>
        <w:tc>
          <w:tcPr>
            <w:tcW w:w="24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6"/>
                <w:szCs w:val="16"/>
                <w:b w:val="1"/>
                <w:bCs w:val="1"/>
                <w:color w:val="auto"/>
                <w:w w:val="89"/>
              </w:rPr>
              <w:t>Gains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6"/>
                <w:szCs w:val="16"/>
                <w:b w:val="1"/>
                <w:bCs w:val="1"/>
                <w:color w:val="auto"/>
                <w:w w:val="79"/>
              </w:rPr>
              <w:t>Losses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b w:val="1"/>
                <w:bCs w:val="1"/>
                <w:color w:val="auto"/>
                <w:w w:val="96"/>
              </w:rPr>
              <w:t>Fair Value</w:t>
            </w:r>
          </w:p>
        </w:tc>
      </w:tr>
      <w:tr>
        <w:trPr>
          <w:trHeight w:val="220"/>
        </w:trPr>
        <w:tc>
          <w:tcPr>
            <w:tcW w:w="5080" w:type="dxa"/>
            <w:vAlign w:val="bottom"/>
          </w:tcPr>
          <w:p>
            <w:pPr>
              <w:ind w:left="200"/>
              <w:spacing w:after="0" w:line="220" w:lineRule="exact"/>
              <w:rPr>
                <w:sz w:val="20"/>
                <w:szCs w:val="20"/>
                <w:color w:val="auto"/>
              </w:rPr>
            </w:pPr>
            <w:r>
              <w:rPr>
                <w:rFonts w:ascii="Arial" w:cs="Arial" w:eastAsia="Arial" w:hAnsi="Arial"/>
                <w:sz w:val="20"/>
                <w:szCs w:val="20"/>
                <w:b w:val="1"/>
                <w:bCs w:val="1"/>
                <w:color w:val="auto"/>
              </w:rPr>
              <w:t>U.S. Treasury securities</w:t>
            </w:r>
          </w:p>
        </w:tc>
        <w:tc>
          <w:tcPr>
            <w:tcW w:w="24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1140" w:type="dxa"/>
            <w:vAlign w:val="bottom"/>
            <w:gridSpan w:val="3"/>
          </w:tcPr>
          <w:p>
            <w:pPr>
              <w:ind w:left="360"/>
              <w:spacing w:after="0" w:line="220" w:lineRule="exact"/>
              <w:rPr>
                <w:sz w:val="20"/>
                <w:szCs w:val="20"/>
                <w:color w:val="auto"/>
              </w:rPr>
            </w:pPr>
            <w:r>
              <w:rPr>
                <w:rFonts w:ascii="Arial" w:cs="Arial" w:eastAsia="Arial" w:hAnsi="Arial"/>
                <w:sz w:val="20"/>
                <w:szCs w:val="20"/>
                <w:b w:val="1"/>
                <w:bCs w:val="1"/>
                <w:color w:val="auto"/>
              </w:rPr>
              <w:t>49,202</w:t>
            </w: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1020" w:type="dxa"/>
            <w:vAlign w:val="bottom"/>
            <w:gridSpan w:val="2"/>
          </w:tcPr>
          <w:p>
            <w:pPr>
              <w:jc w:val="right"/>
              <w:ind w:right="120"/>
              <w:spacing w:after="0" w:line="220" w:lineRule="exact"/>
              <w:rPr>
                <w:sz w:val="20"/>
                <w:szCs w:val="20"/>
                <w:color w:val="auto"/>
              </w:rPr>
            </w:pPr>
            <w:r>
              <w:rPr>
                <w:rFonts w:ascii="Arial" w:cs="Arial" w:eastAsia="Arial" w:hAnsi="Arial"/>
                <w:sz w:val="20"/>
                <w:szCs w:val="20"/>
                <w:b w:val="1"/>
                <w:bCs w:val="1"/>
                <w:color w:val="auto"/>
              </w:rPr>
              <w:t>—</w:t>
            </w:r>
          </w:p>
        </w:tc>
        <w:tc>
          <w:tcPr>
            <w:tcW w:w="22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106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auto"/>
              </w:rPr>
              <w:t>(8)</w:t>
            </w:r>
          </w:p>
        </w:tc>
        <w:tc>
          <w:tcPr>
            <w:tcW w:w="200" w:type="dxa"/>
            <w:vAlign w:val="bottom"/>
            <w:gridSpan w:val="2"/>
          </w:tcPr>
          <w:p>
            <w:pPr>
              <w:jc w:val="right"/>
              <w:ind w:right="20"/>
              <w:spacing w:after="0" w:line="220"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49,194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-1052195</wp:posOffset>
            </wp:positionV>
            <wp:extent cx="6427470" cy="5067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10">
                      <a:extLst>
                        <a:ext uri="{28A0092B-C50C-407E-A947-70E740481C1C}"/>
                      </a:extLst>
                    </a:blip>
                    <a:srcRect/>
                    <a:stretch>
                      <a:fillRect/>
                    </a:stretch>
                  </pic:blipFill>
                  <pic:spPr bwMode="auto">
                    <a:xfrm>
                      <a:off x="0" y="0"/>
                      <a:ext cx="6427470" cy="5067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-163830</wp:posOffset>
            </wp:positionV>
            <wp:extent cx="6427470" cy="2082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11">
                      <a:extLst>
                        <a:ext uri="{28A0092B-C50C-407E-A947-70E740481C1C}"/>
                      </a:extLst>
                    </a:blip>
                    <a:srcRect/>
                    <a:stretch>
                      <a:fillRect/>
                    </a:stretch>
                  </pic:blipFill>
                  <pic:spPr bwMode="auto">
                    <a:xfrm>
                      <a:off x="0" y="0"/>
                      <a:ext cx="6427470" cy="208280"/>
                    </a:xfrm>
                    <a:prstGeom prst="rect">
                      <a:avLst/>
                    </a:prstGeom>
                    <a:noFill/>
                  </pic:spPr>
                </pic:pic>
              </a:graphicData>
            </a:graphic>
          </wp:anchor>
        </w:drawing>
      </w:r>
    </w:p>
    <w:p>
      <w:pPr>
        <w:spacing w:after="0" w:line="31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No available-for-sale marketable securities held as of December 31, 2022 or 2021 had remaining maturities greater than twelve months.</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Fair Value Measurements</w:t>
      </w:r>
    </w:p>
    <w:p>
      <w:pPr>
        <w:spacing w:after="0" w:line="128"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following tables present the Company’s fair value hierarchy for its assets and liabilities that are measured at fair value on a recurring basis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4"/>
          </w:tcPr>
          <w:p>
            <w:pPr>
              <w:jc w:val="center"/>
              <w:ind w:right="25"/>
              <w:spacing w:after="0"/>
              <w:rPr>
                <w:sz w:val="20"/>
                <w:szCs w:val="20"/>
                <w:color w:val="auto"/>
              </w:rPr>
            </w:pPr>
            <w:r>
              <w:rPr>
                <w:rFonts w:ascii="Arial" w:cs="Arial" w:eastAsia="Arial" w:hAnsi="Arial"/>
                <w:sz w:val="16"/>
                <w:szCs w:val="16"/>
                <w:b w:val="1"/>
                <w:bCs w:val="1"/>
                <w:color w:val="auto"/>
                <w:w w:val="91"/>
              </w:rPr>
              <w:t>Fair Value Measurements at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5"/>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6"/>
                <w:szCs w:val="16"/>
                <w:b w:val="1"/>
                <w:bCs w:val="1"/>
                <w:color w:val="auto"/>
                <w:w w:val="89"/>
              </w:rPr>
              <w:t>December 31, 2022:</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2"/>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00"/>
              <w:spacing w:after="0" w:line="172" w:lineRule="exact"/>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4"/>
                <w:szCs w:val="14"/>
                <w:color w:val="auto"/>
              </w:rPr>
            </w:pPr>
          </w:p>
        </w:tc>
        <w:tc>
          <w:tcPr>
            <w:tcW w:w="900" w:type="dxa"/>
            <w:vAlign w:val="bottom"/>
          </w:tcPr>
          <w:p>
            <w:pPr>
              <w:jc w:val="right"/>
              <w:ind w:right="169"/>
              <w:spacing w:after="0" w:line="172" w:lineRule="exact"/>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100"/>
              <w:spacing w:after="0" w:line="172" w:lineRule="exact"/>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45"/>
              <w:spacing w:after="0" w:line="172" w:lineRule="exact"/>
              <w:rPr>
                <w:sz w:val="20"/>
                <w:szCs w:val="20"/>
                <w:color w:val="auto"/>
              </w:rPr>
            </w:pPr>
            <w:r>
              <w:rPr>
                <w:rFonts w:ascii="Arial" w:cs="Arial" w:eastAsia="Arial" w:hAnsi="Arial"/>
                <w:sz w:val="16"/>
                <w:szCs w:val="16"/>
                <w:b w:val="1"/>
                <w:bCs w:val="1"/>
                <w:color w:val="auto"/>
              </w:rPr>
              <w:t>Total</w:t>
            </w:r>
          </w:p>
        </w:tc>
      </w:tr>
      <w:tr>
        <w:trPr>
          <w:trHeight w:val="220"/>
        </w:trPr>
        <w:tc>
          <w:tcPr>
            <w:tcW w:w="5200" w:type="dxa"/>
            <w:vAlign w:val="bottom"/>
          </w:tcPr>
          <w:p>
            <w:pPr>
              <w:spacing w:after="0" w:line="220" w:lineRule="exact"/>
              <w:rPr>
                <w:sz w:val="20"/>
                <w:szCs w:val="20"/>
                <w:color w:val="auto"/>
              </w:rPr>
            </w:pPr>
            <w:r>
              <w:rPr>
                <w:rFonts w:ascii="Arial" w:cs="Arial" w:eastAsia="Arial" w:hAnsi="Arial"/>
                <w:sz w:val="20"/>
                <w:szCs w:val="20"/>
                <w:b w:val="1"/>
                <w:bCs w:val="1"/>
                <w:color w:val="auto"/>
              </w:rPr>
              <w:t>Assets:</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20"/>
                <w:szCs w:val="20"/>
                <w:b w:val="1"/>
                <w:bCs w:val="1"/>
                <w:color w:val="auto"/>
              </w:rPr>
              <w:t>Cash equivalents: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5200" w:type="dxa"/>
            <w:vAlign w:val="bottom"/>
          </w:tcPr>
          <w:p>
            <w:pPr>
              <w:ind w:left="400"/>
              <w:spacing w:after="0"/>
              <w:rPr>
                <w:sz w:val="20"/>
                <w:szCs w:val="20"/>
                <w:color w:val="auto"/>
              </w:rPr>
            </w:pPr>
            <w:r>
              <w:rPr>
                <w:rFonts w:ascii="Arial" w:cs="Arial" w:eastAsia="Arial" w:hAnsi="Arial"/>
                <w:sz w:val="20"/>
                <w:szCs w:val="20"/>
                <w:b w:val="1"/>
                <w:bCs w:val="1"/>
                <w:color w:val="auto"/>
              </w:rPr>
              <w:t>Money market funds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91,050</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ind w:left="640"/>
              <w:spacing w:after="0"/>
              <w:rPr>
                <w:sz w:val="20"/>
                <w:szCs w:val="20"/>
                <w:color w:val="auto"/>
              </w:rPr>
            </w:pPr>
            <w:r>
              <w:rPr>
                <w:rFonts w:ascii="Arial" w:cs="Arial" w:eastAsia="Arial" w:hAnsi="Arial"/>
                <w:sz w:val="20"/>
                <w:szCs w:val="20"/>
                <w:b w:val="1"/>
                <w:bCs w:val="1"/>
                <w:color w:val="auto"/>
                <w:w w:val="89"/>
              </w:rPr>
              <w:t>—</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91,050</w:t>
            </w:r>
          </w:p>
        </w:tc>
      </w:tr>
      <w:tr>
        <w:trPr>
          <w:trHeight w:val="230"/>
        </w:trPr>
        <w:tc>
          <w:tcPr>
            <w:tcW w:w="5200" w:type="dxa"/>
            <w:vAlign w:val="bottom"/>
          </w:tcPr>
          <w:p>
            <w:pPr>
              <w:ind w:left="200"/>
              <w:spacing w:after="0"/>
              <w:rPr>
                <w:sz w:val="20"/>
                <w:szCs w:val="20"/>
                <w:color w:val="auto"/>
              </w:rPr>
            </w:pPr>
            <w:r>
              <w:rPr>
                <w:rFonts w:ascii="Arial" w:cs="Arial" w:eastAsia="Arial" w:hAnsi="Arial"/>
                <w:sz w:val="20"/>
                <w:szCs w:val="20"/>
                <w:b w:val="1"/>
                <w:bCs w:val="1"/>
                <w:color w:val="auto"/>
              </w:rPr>
              <w:t>Marketable securities: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5200" w:type="dxa"/>
            <w:vAlign w:val="bottom"/>
          </w:tcPr>
          <w:p>
            <w:pPr>
              <w:ind w:left="400"/>
              <w:spacing w:after="0"/>
              <w:rPr>
                <w:sz w:val="20"/>
                <w:szCs w:val="20"/>
                <w:color w:val="auto"/>
              </w:rPr>
            </w:pPr>
            <w:r>
              <w:rPr>
                <w:rFonts w:ascii="Arial" w:cs="Arial" w:eastAsia="Arial" w:hAnsi="Arial"/>
                <w:sz w:val="20"/>
                <w:szCs w:val="20"/>
                <w:b w:val="1"/>
                <w:bCs w:val="1"/>
                <w:color w:val="auto"/>
              </w:rPr>
              <w:t>U.S. Treasury securities</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20"/>
                <w:szCs w:val="20"/>
                <w:b w:val="1"/>
                <w:bCs w:val="1"/>
                <w:color w:val="auto"/>
              </w:rPr>
              <w:t>107,871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20"/>
                <w:szCs w:val="20"/>
                <w:b w:val="1"/>
                <w:bCs w:val="1"/>
                <w:color w:val="auto"/>
                <w:w w:val="89"/>
              </w:rPr>
              <w:t>—</w:t>
            </w:r>
          </w:p>
        </w:tc>
        <w:tc>
          <w:tcPr>
            <w:tcW w:w="4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107,871</w:t>
            </w:r>
          </w:p>
        </w:tc>
      </w:tr>
      <w:tr>
        <w:trPr>
          <w:trHeight w:val="229"/>
        </w:trPr>
        <w:tc>
          <w:tcPr>
            <w:tcW w:w="5200" w:type="dxa"/>
            <w:vAlign w:val="bottom"/>
          </w:tcPr>
          <w:p>
            <w:pPr>
              <w:ind w:left="400"/>
              <w:spacing w:after="0" w:line="228" w:lineRule="exact"/>
              <w:rPr>
                <w:sz w:val="20"/>
                <w:szCs w:val="20"/>
                <w:color w:val="auto"/>
              </w:rPr>
            </w:pPr>
            <w:r>
              <w:rPr>
                <w:rFonts w:ascii="Arial" w:cs="Arial" w:eastAsia="Arial" w:hAnsi="Arial"/>
                <w:sz w:val="20"/>
                <w:szCs w:val="20"/>
                <w:b w:val="1"/>
                <w:bCs w:val="1"/>
                <w:color w:val="auto"/>
              </w:rPr>
              <w:t>Federal agency securities</w:t>
            </w:r>
          </w:p>
        </w:tc>
        <w:tc>
          <w:tcPr>
            <w:tcW w:w="180" w:type="dxa"/>
            <w:vAlign w:val="bottom"/>
          </w:tcPr>
          <w:p>
            <w:pPr>
              <w:spacing w:after="0"/>
              <w:rPr>
                <w:sz w:val="19"/>
                <w:szCs w:val="19"/>
                <w:color w:val="auto"/>
              </w:rPr>
            </w:pPr>
          </w:p>
        </w:tc>
        <w:tc>
          <w:tcPr>
            <w:tcW w:w="1080" w:type="dxa"/>
            <w:vAlign w:val="bottom"/>
            <w:gridSpan w:val="2"/>
          </w:tcPr>
          <w:p>
            <w:pPr>
              <w:jc w:val="right"/>
              <w:ind w:right="240"/>
              <w:spacing w:after="0" w:line="228" w:lineRule="exact"/>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19"/>
                <w:szCs w:val="19"/>
                <w:color w:val="auto"/>
              </w:rPr>
            </w:pPr>
          </w:p>
        </w:tc>
        <w:tc>
          <w:tcPr>
            <w:tcW w:w="9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172,044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ind w:left="640"/>
              <w:spacing w:after="0" w:line="228" w:lineRule="exact"/>
              <w:rPr>
                <w:sz w:val="20"/>
                <w:szCs w:val="20"/>
                <w:color w:val="auto"/>
              </w:rPr>
            </w:pPr>
            <w:r>
              <w:rPr>
                <w:rFonts w:ascii="Arial" w:cs="Arial" w:eastAsia="Arial" w:hAnsi="Arial"/>
                <w:sz w:val="20"/>
                <w:szCs w:val="20"/>
                <w:b w:val="1"/>
                <w:bCs w:val="1"/>
                <w:color w:val="auto"/>
                <w:w w:val="89"/>
              </w:rPr>
              <w:t>—</w:t>
            </w:r>
          </w:p>
        </w:tc>
        <w:tc>
          <w:tcPr>
            <w:tcW w:w="440" w:type="dxa"/>
            <w:vAlign w:val="bottom"/>
            <w:gridSpan w:val="2"/>
          </w:tcPr>
          <w:p>
            <w:pPr>
              <w:jc w:val="right"/>
              <w:ind w:right="100"/>
              <w:spacing w:after="0" w:line="228"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172,044</w:t>
            </w: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19"/>
        </w:trPr>
        <w:tc>
          <w:tcPr>
            <w:tcW w:w="5200" w:type="dxa"/>
            <w:vAlign w:val="bottom"/>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198,921</w:t>
            </w:r>
          </w:p>
        </w:tc>
        <w:tc>
          <w:tcPr>
            <w:tcW w:w="24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90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172,044</w:t>
            </w:r>
          </w:p>
        </w:tc>
        <w:tc>
          <w:tcPr>
            <w:tcW w:w="220" w:type="dxa"/>
            <w:vAlign w:val="bottom"/>
          </w:tcPr>
          <w:p>
            <w:pPr>
              <w:spacing w:after="0"/>
              <w:rPr>
                <w:sz w:val="19"/>
                <w:szCs w:val="19"/>
                <w:color w:val="auto"/>
              </w:rPr>
            </w:pPr>
          </w:p>
        </w:tc>
        <w:tc>
          <w:tcPr>
            <w:tcW w:w="1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ind w:left="640"/>
              <w:spacing w:after="0" w:line="219" w:lineRule="exact"/>
              <w:rPr>
                <w:sz w:val="20"/>
                <w:szCs w:val="20"/>
                <w:color w:val="auto"/>
              </w:rPr>
            </w:pPr>
            <w:r>
              <w:rPr>
                <w:rFonts w:ascii="Arial" w:cs="Arial" w:eastAsia="Arial" w:hAnsi="Arial"/>
                <w:sz w:val="20"/>
                <w:szCs w:val="20"/>
                <w:b w:val="1"/>
                <w:bCs w:val="1"/>
                <w:color w:val="auto"/>
                <w:w w:val="89"/>
              </w:rPr>
              <w:t>—</w:t>
            </w:r>
          </w:p>
        </w:tc>
        <w:tc>
          <w:tcPr>
            <w:tcW w:w="440" w:type="dxa"/>
            <w:vAlign w:val="bottom"/>
            <w:gridSpan w:val="2"/>
          </w:tcPr>
          <w:p>
            <w:pPr>
              <w:jc w:val="right"/>
              <w:ind w:right="100"/>
              <w:spacing w:after="0" w:line="219"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370,965</w:t>
            </w:r>
          </w:p>
        </w:tc>
      </w:tr>
      <w:tr>
        <w:trPr>
          <w:trHeight w:val="501"/>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4"/>
          </w:tcPr>
          <w:p>
            <w:pPr>
              <w:jc w:val="center"/>
              <w:ind w:right="25"/>
              <w:spacing w:after="0"/>
              <w:rPr>
                <w:sz w:val="20"/>
                <w:szCs w:val="20"/>
                <w:color w:val="auto"/>
              </w:rPr>
            </w:pPr>
            <w:r>
              <w:rPr>
                <w:rFonts w:ascii="Arial" w:cs="Arial" w:eastAsia="Arial" w:hAnsi="Arial"/>
                <w:sz w:val="16"/>
                <w:szCs w:val="16"/>
                <w:b w:val="1"/>
                <w:bCs w:val="1"/>
                <w:color w:val="auto"/>
                <w:w w:val="91"/>
              </w:rPr>
              <w:t>Fair Value Measurements at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83"/>
        </w:trPr>
        <w:tc>
          <w:tcPr>
            <w:tcW w:w="5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center"/>
              <w:ind w:right="25"/>
              <w:spacing w:after="0"/>
              <w:rPr>
                <w:sz w:val="20"/>
                <w:szCs w:val="20"/>
                <w:color w:val="auto"/>
              </w:rPr>
            </w:pPr>
            <w:r>
              <w:rPr>
                <w:rFonts w:ascii="Arial" w:cs="Arial" w:eastAsia="Arial" w:hAnsi="Arial"/>
                <w:sz w:val="16"/>
                <w:szCs w:val="16"/>
                <w:b w:val="1"/>
                <w:bCs w:val="1"/>
                <w:color w:val="auto"/>
                <w:w w:val="89"/>
              </w:rPr>
              <w:t>December 31, 2021:</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74"/>
        </w:trPr>
        <w:tc>
          <w:tcPr>
            <w:tcW w:w="5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500"/>
              <w:spacing w:after="0" w:line="174" w:lineRule="exact"/>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5"/>
                <w:szCs w:val="15"/>
                <w:color w:val="auto"/>
              </w:rPr>
            </w:pPr>
          </w:p>
        </w:tc>
        <w:tc>
          <w:tcPr>
            <w:tcW w:w="900" w:type="dxa"/>
            <w:vAlign w:val="bottom"/>
          </w:tcPr>
          <w:p>
            <w:pPr>
              <w:jc w:val="right"/>
              <w:ind w:right="169"/>
              <w:spacing w:after="0" w:line="174" w:lineRule="exact"/>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ind w:left="100"/>
              <w:spacing w:after="0" w:line="174" w:lineRule="exact"/>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45"/>
              <w:spacing w:after="0" w:line="174" w:lineRule="exact"/>
              <w:rPr>
                <w:sz w:val="20"/>
                <w:szCs w:val="20"/>
                <w:color w:val="auto"/>
              </w:rPr>
            </w:pPr>
            <w:r>
              <w:rPr>
                <w:rFonts w:ascii="Arial" w:cs="Arial" w:eastAsia="Arial" w:hAnsi="Arial"/>
                <w:sz w:val="16"/>
                <w:szCs w:val="16"/>
                <w:b w:val="1"/>
                <w:bCs w:val="1"/>
                <w:color w:val="auto"/>
              </w:rPr>
              <w:t>Total</w:t>
            </w:r>
          </w:p>
        </w:tc>
      </w:tr>
      <w:tr>
        <w:trPr>
          <w:trHeight w:val="221"/>
        </w:trPr>
        <w:tc>
          <w:tcPr>
            <w:tcW w:w="5200" w:type="dxa"/>
            <w:vAlign w:val="bottom"/>
          </w:tcPr>
          <w:p>
            <w:pPr>
              <w:spacing w:after="0" w:line="221" w:lineRule="exact"/>
              <w:rPr>
                <w:sz w:val="20"/>
                <w:szCs w:val="20"/>
                <w:color w:val="auto"/>
              </w:rPr>
            </w:pPr>
            <w:r>
              <w:rPr>
                <w:rFonts w:ascii="Arial" w:cs="Arial" w:eastAsia="Arial" w:hAnsi="Arial"/>
                <w:sz w:val="20"/>
                <w:szCs w:val="20"/>
                <w:b w:val="1"/>
                <w:bCs w:val="1"/>
                <w:color w:val="auto"/>
              </w:rPr>
              <w:t>Assets:</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r>
      <w:tr>
        <w:trPr>
          <w:trHeight w:val="230"/>
        </w:trPr>
        <w:tc>
          <w:tcPr>
            <w:tcW w:w="5200" w:type="dxa"/>
            <w:vAlign w:val="bottom"/>
          </w:tcPr>
          <w:p>
            <w:pPr>
              <w:ind w:left="200"/>
              <w:spacing w:after="0"/>
              <w:rPr>
                <w:sz w:val="20"/>
                <w:szCs w:val="20"/>
                <w:color w:val="auto"/>
              </w:rPr>
            </w:pPr>
            <w:r>
              <w:rPr>
                <w:rFonts w:ascii="Arial" w:cs="Arial" w:eastAsia="Arial" w:hAnsi="Arial"/>
                <w:sz w:val="20"/>
                <w:szCs w:val="20"/>
                <w:b w:val="1"/>
                <w:bCs w:val="1"/>
                <w:color w:val="auto"/>
              </w:rPr>
              <w:t>Cash equivalents: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8"/>
        </w:trPr>
        <w:tc>
          <w:tcPr>
            <w:tcW w:w="5200" w:type="dxa"/>
            <w:vAlign w:val="bottom"/>
          </w:tcPr>
          <w:p>
            <w:pPr>
              <w:ind w:left="400"/>
              <w:spacing w:after="0" w:line="228" w:lineRule="exact"/>
              <w:rPr>
                <w:sz w:val="20"/>
                <w:szCs w:val="20"/>
                <w:color w:val="auto"/>
              </w:rPr>
            </w:pPr>
            <w:r>
              <w:rPr>
                <w:rFonts w:ascii="Arial" w:cs="Arial" w:eastAsia="Arial" w:hAnsi="Arial"/>
                <w:sz w:val="20"/>
                <w:szCs w:val="20"/>
                <w:b w:val="1"/>
                <w:bCs w:val="1"/>
                <w:color w:val="auto"/>
              </w:rPr>
              <w:t>Money market funds</w:t>
            </w:r>
          </w:p>
        </w:tc>
        <w:tc>
          <w:tcPr>
            <w:tcW w:w="1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541,220</w:t>
            </w:r>
          </w:p>
        </w:tc>
        <w:tc>
          <w:tcPr>
            <w:tcW w:w="240" w:type="dxa"/>
            <w:vAlign w:val="bottom"/>
          </w:tcPr>
          <w:p>
            <w:pPr>
              <w:spacing w:after="0"/>
              <w:rPr>
                <w:sz w:val="19"/>
                <w:szCs w:val="19"/>
                <w:color w:val="auto"/>
              </w:rPr>
            </w:pPr>
          </w:p>
        </w:tc>
        <w:tc>
          <w:tcPr>
            <w:tcW w:w="1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9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4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840" w:type="dxa"/>
            <w:vAlign w:val="bottom"/>
          </w:tcPr>
          <w:p>
            <w:pPr>
              <w:ind w:left="640"/>
              <w:spacing w:after="0" w:line="228" w:lineRule="exact"/>
              <w:rPr>
                <w:sz w:val="20"/>
                <w:szCs w:val="20"/>
                <w:color w:val="auto"/>
              </w:rPr>
            </w:pPr>
            <w:r>
              <w:rPr>
                <w:rFonts w:ascii="Arial" w:cs="Arial" w:eastAsia="Arial" w:hAnsi="Arial"/>
                <w:sz w:val="20"/>
                <w:szCs w:val="20"/>
                <w:b w:val="1"/>
                <w:bCs w:val="1"/>
                <w:color w:val="auto"/>
                <w:w w:val="89"/>
              </w:rPr>
              <w:t>—</w:t>
            </w:r>
          </w:p>
        </w:tc>
        <w:tc>
          <w:tcPr>
            <w:tcW w:w="440" w:type="dxa"/>
            <w:vAlign w:val="bottom"/>
            <w:gridSpan w:val="2"/>
          </w:tcPr>
          <w:p>
            <w:pPr>
              <w:jc w:val="right"/>
              <w:ind w:right="100"/>
              <w:spacing w:after="0" w:line="228"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541,220</w:t>
            </w:r>
          </w:p>
        </w:tc>
      </w:tr>
      <w:tr>
        <w:trPr>
          <w:trHeight w:val="230"/>
        </w:trPr>
        <w:tc>
          <w:tcPr>
            <w:tcW w:w="5200" w:type="dxa"/>
            <w:vAlign w:val="bottom"/>
          </w:tcPr>
          <w:p>
            <w:pPr>
              <w:ind w:left="200"/>
              <w:spacing w:after="0"/>
              <w:rPr>
                <w:sz w:val="20"/>
                <w:szCs w:val="20"/>
                <w:color w:val="auto"/>
              </w:rPr>
            </w:pPr>
            <w:r>
              <w:rPr>
                <w:rFonts w:ascii="Arial" w:cs="Arial" w:eastAsia="Arial" w:hAnsi="Arial"/>
                <w:sz w:val="20"/>
                <w:szCs w:val="20"/>
                <w:b w:val="1"/>
                <w:bCs w:val="1"/>
                <w:color w:val="auto"/>
              </w:rPr>
              <w:t>Marketable securities: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5200" w:type="dxa"/>
            <w:vAlign w:val="bottom"/>
          </w:tcPr>
          <w:p>
            <w:pPr>
              <w:ind w:left="400"/>
              <w:spacing w:after="0"/>
              <w:rPr>
                <w:sz w:val="20"/>
                <w:szCs w:val="20"/>
                <w:color w:val="auto"/>
              </w:rPr>
            </w:pPr>
            <w:r>
              <w:rPr>
                <w:rFonts w:ascii="Arial" w:cs="Arial" w:eastAsia="Arial" w:hAnsi="Arial"/>
                <w:sz w:val="20"/>
                <w:szCs w:val="20"/>
                <w:b w:val="1"/>
                <w:bCs w:val="1"/>
                <w:color w:val="auto"/>
              </w:rPr>
              <w:t>U.S. Treasury securities</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49,194</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640"/>
              <w:spacing w:after="0"/>
              <w:rPr>
                <w:sz w:val="20"/>
                <w:szCs w:val="20"/>
                <w:color w:val="auto"/>
              </w:rPr>
            </w:pPr>
            <w:r>
              <w:rPr>
                <w:rFonts w:ascii="Arial" w:cs="Arial" w:eastAsia="Arial" w:hAnsi="Arial"/>
                <w:sz w:val="20"/>
                <w:szCs w:val="20"/>
                <w:b w:val="1"/>
                <w:bCs w:val="1"/>
                <w:color w:val="auto"/>
                <w:w w:val="89"/>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49,194</w:t>
            </w:r>
          </w:p>
        </w:tc>
      </w:tr>
      <w:tr>
        <w:trPr>
          <w:trHeight w:val="20"/>
        </w:trPr>
        <w:tc>
          <w:tcPr>
            <w:tcW w:w="5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r>
        <w:trPr>
          <w:trHeight w:val="220"/>
        </w:trPr>
        <w:tc>
          <w:tcPr>
            <w:tcW w:w="5200" w:type="dxa"/>
            <w:vAlign w:val="bottom"/>
          </w:tcPr>
          <w:p>
            <w:pPr>
              <w:spacing w:after="0"/>
              <w:rPr>
                <w:sz w:val="19"/>
                <w:szCs w:val="19"/>
                <w:color w:val="auto"/>
              </w:rPr>
            </w:pP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590,414</w:t>
            </w:r>
          </w:p>
        </w:tc>
        <w:tc>
          <w:tcPr>
            <w:tcW w:w="240" w:type="dxa"/>
            <w:vAlign w:val="bottom"/>
          </w:tcPr>
          <w:p>
            <w:pPr>
              <w:spacing w:after="0"/>
              <w:rPr>
                <w:sz w:val="19"/>
                <w:szCs w:val="19"/>
                <w:color w:val="auto"/>
              </w:rPr>
            </w:pPr>
          </w:p>
        </w:tc>
        <w:tc>
          <w:tcPr>
            <w:tcW w:w="1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220" w:type="dxa"/>
            <w:vAlign w:val="bottom"/>
          </w:tcPr>
          <w:p>
            <w:pPr>
              <w:spacing w:after="0"/>
              <w:rPr>
                <w:sz w:val="19"/>
                <w:szCs w:val="19"/>
                <w:color w:val="auto"/>
              </w:rPr>
            </w:pPr>
          </w:p>
        </w:tc>
        <w:tc>
          <w:tcPr>
            <w:tcW w:w="1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840" w:type="dxa"/>
            <w:vAlign w:val="bottom"/>
          </w:tcPr>
          <w:p>
            <w:pPr>
              <w:ind w:left="640"/>
              <w:spacing w:after="0" w:line="220" w:lineRule="exact"/>
              <w:rPr>
                <w:sz w:val="20"/>
                <w:szCs w:val="20"/>
                <w:color w:val="auto"/>
              </w:rPr>
            </w:pPr>
            <w:r>
              <w:rPr>
                <w:rFonts w:ascii="Arial" w:cs="Arial" w:eastAsia="Arial" w:hAnsi="Arial"/>
                <w:sz w:val="20"/>
                <w:szCs w:val="20"/>
                <w:b w:val="1"/>
                <w:bCs w:val="1"/>
                <w:color w:val="auto"/>
                <w:w w:val="89"/>
              </w:rPr>
              <w:t>—</w:t>
            </w:r>
          </w:p>
        </w:tc>
        <w:tc>
          <w:tcPr>
            <w:tcW w:w="44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590,414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-2492375</wp:posOffset>
            </wp:positionV>
            <wp:extent cx="6427470" cy="109093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12">
                      <a:extLst>
                        <a:ext uri="{28A0092B-C50C-407E-A947-70E740481C1C}"/>
                      </a:extLst>
                    </a:blip>
                    <a:srcRect/>
                    <a:stretch>
                      <a:fillRect/>
                    </a:stretch>
                  </pic:blipFill>
                  <pic:spPr bwMode="auto">
                    <a:xfrm>
                      <a:off x="0" y="0"/>
                      <a:ext cx="6427470" cy="10909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-901065</wp:posOffset>
            </wp:positionV>
            <wp:extent cx="6427470" cy="9442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13">
                      <a:extLst>
                        <a:ext uri="{28A0092B-C50C-407E-A947-70E740481C1C}"/>
                      </a:extLst>
                    </a:blip>
                    <a:srcRect/>
                    <a:stretch>
                      <a:fillRect/>
                    </a:stretch>
                  </pic:blipFill>
                  <pic:spPr bwMode="auto">
                    <a:xfrm>
                      <a:off x="0" y="0"/>
                      <a:ext cx="6427470" cy="944245"/>
                    </a:xfrm>
                    <a:prstGeom prst="rect">
                      <a:avLst/>
                    </a:prstGeom>
                    <a:noFill/>
                  </pic:spPr>
                </pic:pic>
              </a:graphicData>
            </a:graphic>
          </wp:anchor>
        </w:drawing>
      </w:r>
    </w:p>
    <w:p>
      <w:pPr>
        <w:spacing w:after="0" w:line="277" w:lineRule="exact"/>
        <w:rPr>
          <w:sz w:val="20"/>
          <w:szCs w:val="20"/>
          <w:color w:val="auto"/>
        </w:rPr>
      </w:pPr>
    </w:p>
    <w:p>
      <w:pPr>
        <w:jc w:val="both"/>
        <w:ind w:firstLine="490"/>
        <w:spacing w:after="0" w:line="278" w:lineRule="auto"/>
        <w:rPr>
          <w:sz w:val="20"/>
          <w:szCs w:val="20"/>
          <w:color w:val="auto"/>
        </w:rPr>
      </w:pPr>
      <w:r>
        <w:rPr>
          <w:rFonts w:ascii="Arial" w:cs="Arial" w:eastAsia="Arial" w:hAnsi="Arial"/>
          <w:sz w:val="18"/>
          <w:szCs w:val="18"/>
          <w:b w:val="1"/>
          <w:bCs w:val="1"/>
          <w:color w:val="auto"/>
        </w:rPr>
        <w:t>As of December 31, 2022 and 2021, the money market funds and U.S. Treasury securities were valued by the Company based on quoted market prices, which represent a Level 1 measurement within the fair value hierarchy.</w:t>
      </w:r>
    </w:p>
    <w:p>
      <w:pPr>
        <w:spacing w:after="0" w:line="99"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As of December 31, 2022, the Company’s marketable securities also consisted of federal agency securities, which were valued based on Level 2 inputs. In determining the fair value of its federal agency securities, the Company relied on quoted prices for similar securities in active markets or other inputs that are observable or can be corroborated by observable market data. Since Federal agency securities typically do not trade as U.S. government agency securities and no exchange exists to price such investments, they are recognized as Level 2 assets.</w:t>
      </w:r>
    </w:p>
    <w:p>
      <w:pPr>
        <w:spacing w:after="0" w:line="9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There were no changes to the valuation methods during the years ended December 31, 2022 or 2021.</w:t>
      </w:r>
    </w:p>
    <w:p>
      <w:pPr>
        <w:spacing w:after="0" w:line="131"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The Company evaluates transfers between levels at the end of each reporting period. There were no transfers into or out of Level 1, Level 2 or Level 3 fair value measurements during the years ended December 31,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F-16</w:t>
      </w:r>
    </w:p>
    <w:p>
      <w:pPr>
        <w:sectPr>
          <w:pgSz w:w="12240" w:h="15840" w:orient="portrait"/>
          <w:cols w:equalWidth="0" w:num="1">
            <w:col w:w="10080"/>
          </w:cols>
          <w:pgMar w:left="1080" w:top="1089" w:right="1080" w:bottom="157"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5. Prepaid Expenses and Other Current Assets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Prepaid expenses and other current assets consisted of the following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74"/>
        </w:trPr>
        <w:tc>
          <w:tcPr>
            <w:tcW w:w="6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6"/>
              <w:spacing w:after="0" w:line="175"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4"/>
              <w:spacing w:after="0" w:line="175" w:lineRule="exact"/>
              <w:rPr>
                <w:sz w:val="20"/>
                <w:szCs w:val="20"/>
                <w:color w:val="auto"/>
              </w:rPr>
            </w:pPr>
            <w:r>
              <w:rPr>
                <w:rFonts w:ascii="Arial" w:cs="Arial" w:eastAsia="Arial" w:hAnsi="Arial"/>
                <w:sz w:val="16"/>
                <w:szCs w:val="16"/>
                <w:b w:val="1"/>
                <w:bCs w:val="1"/>
                <w:color w:val="auto"/>
              </w:rPr>
              <w:t>2021</w:t>
            </w:r>
          </w:p>
        </w:tc>
      </w:tr>
      <w:tr>
        <w:trPr>
          <w:trHeight w:val="220"/>
        </w:trPr>
        <w:tc>
          <w:tcPr>
            <w:tcW w:w="6920" w:type="dxa"/>
            <w:vAlign w:val="bottom"/>
          </w:tcPr>
          <w:p>
            <w:pPr>
              <w:spacing w:after="0" w:line="220" w:lineRule="exact"/>
              <w:rPr>
                <w:sz w:val="20"/>
                <w:szCs w:val="20"/>
                <w:color w:val="auto"/>
              </w:rPr>
            </w:pPr>
            <w:r>
              <w:rPr>
                <w:rFonts w:ascii="Arial" w:cs="Arial" w:eastAsia="Arial" w:hAnsi="Arial"/>
                <w:sz w:val="20"/>
                <w:szCs w:val="20"/>
                <w:b w:val="1"/>
                <w:bCs w:val="1"/>
                <w:color w:val="auto"/>
              </w:rPr>
              <w:t>Prepaid external research, development and manufacturing costs</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843</w:t>
            </w:r>
          </w:p>
        </w:tc>
        <w:tc>
          <w:tcPr>
            <w:tcW w:w="260" w:type="dxa"/>
            <w:vAlign w:val="bottom"/>
          </w:tcPr>
          <w:p>
            <w:pPr>
              <w:spacing w:after="0"/>
              <w:rPr>
                <w:sz w:val="19"/>
                <w:szCs w:val="19"/>
                <w:color w:val="auto"/>
              </w:rPr>
            </w:pPr>
          </w:p>
        </w:tc>
        <w:tc>
          <w:tcPr>
            <w:tcW w:w="440" w:type="dxa"/>
            <w:vAlign w:val="bottom"/>
          </w:tcPr>
          <w:p>
            <w:pPr>
              <w:jc w:val="right"/>
              <w:ind w:right="240"/>
              <w:spacing w:after="0" w:line="220" w:lineRule="exact"/>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20,582</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Prepaid insurance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2,392</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3,190</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Prepaid compensation and other</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1,314</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1,292</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Interest receivable</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377</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229</w:t>
            </w:r>
          </w:p>
        </w:tc>
      </w:tr>
      <w:tr>
        <w:trPr>
          <w:trHeight w:val="220"/>
        </w:trPr>
        <w:tc>
          <w:tcPr>
            <w:tcW w:w="6920" w:type="dxa"/>
            <w:vAlign w:val="bottom"/>
          </w:tcPr>
          <w:p>
            <w:pPr>
              <w:spacing w:after="0"/>
              <w:rPr>
                <w:sz w:val="19"/>
                <w:szCs w:val="19"/>
                <w:color w:val="auto"/>
              </w:rPr>
            </w:pP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0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4,926</w:t>
            </w:r>
          </w:p>
        </w:tc>
        <w:tc>
          <w:tcPr>
            <w:tcW w:w="260" w:type="dxa"/>
            <w:vAlign w:val="bottom"/>
          </w:tcPr>
          <w:p>
            <w:pPr>
              <w:spacing w:after="0"/>
              <w:rPr>
                <w:sz w:val="19"/>
                <w:szCs w:val="19"/>
                <w:color w:val="auto"/>
              </w:rPr>
            </w:pPr>
          </w:p>
        </w:tc>
        <w:tc>
          <w:tcPr>
            <w:tcW w:w="440" w:type="dxa"/>
            <w:vAlign w:val="bottom"/>
          </w:tcPr>
          <w:p>
            <w:pPr>
              <w:jc w:val="right"/>
              <w:ind w:right="240"/>
              <w:spacing w:after="0" w:line="220" w:lineRule="exact"/>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25,293</w:t>
            </w:r>
          </w:p>
        </w:tc>
      </w:tr>
      <w:tr>
        <w:trPr>
          <w:trHeight w:val="670"/>
        </w:trPr>
        <w:tc>
          <w:tcPr>
            <w:tcW w:w="6920" w:type="dxa"/>
            <w:vAlign w:val="bottom"/>
          </w:tcPr>
          <w:p>
            <w:pPr>
              <w:ind w:left="40"/>
              <w:spacing w:after="0"/>
              <w:rPr>
                <w:sz w:val="20"/>
                <w:szCs w:val="20"/>
                <w:color w:val="auto"/>
              </w:rPr>
            </w:pPr>
            <w:r>
              <w:rPr>
                <w:rFonts w:ascii="Arial" w:cs="Arial" w:eastAsia="Arial" w:hAnsi="Arial"/>
                <w:sz w:val="20"/>
                <w:szCs w:val="20"/>
                <w:b w:val="1"/>
                <w:bCs w:val="1"/>
                <w:color w:val="auto"/>
              </w:rPr>
              <w:t>6. Accrued Expenses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0"/>
        </w:trPr>
        <w:tc>
          <w:tcPr>
            <w:tcW w:w="6920" w:type="dxa"/>
            <w:vAlign w:val="bottom"/>
          </w:tcPr>
          <w:p>
            <w:pPr>
              <w:ind w:left="480"/>
              <w:spacing w:after="0"/>
              <w:rPr>
                <w:sz w:val="20"/>
                <w:szCs w:val="20"/>
                <w:color w:val="auto"/>
              </w:rPr>
            </w:pPr>
            <w:r>
              <w:rPr>
                <w:rFonts w:ascii="Arial" w:cs="Arial" w:eastAsia="Arial" w:hAnsi="Arial"/>
                <w:sz w:val="20"/>
                <w:szCs w:val="20"/>
                <w:b w:val="1"/>
                <w:bCs w:val="1"/>
                <w:color w:val="auto"/>
              </w:rPr>
              <w:t>Accrued expenses consisted of the following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0"/>
        </w:trPr>
        <w:tc>
          <w:tcPr>
            <w:tcW w:w="69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74"/>
        </w:trPr>
        <w:tc>
          <w:tcPr>
            <w:tcW w:w="6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6"/>
              <w:spacing w:after="0" w:line="175" w:lineRule="exact"/>
              <w:rPr>
                <w:sz w:val="20"/>
                <w:szCs w:val="20"/>
                <w:color w:val="auto"/>
              </w:rPr>
            </w:pPr>
            <w:r>
              <w:rPr>
                <w:rFonts w:ascii="Arial" w:cs="Arial" w:eastAsia="Arial" w:hAnsi="Arial"/>
                <w:sz w:val="16"/>
                <w:szCs w:val="16"/>
                <w:b w:val="1"/>
                <w:bCs w:val="1"/>
                <w:color w:val="auto"/>
              </w:rPr>
              <w:t>2022</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4"/>
              <w:spacing w:after="0" w:line="175" w:lineRule="exact"/>
              <w:rPr>
                <w:sz w:val="20"/>
                <w:szCs w:val="20"/>
                <w:color w:val="auto"/>
              </w:rPr>
            </w:pPr>
            <w:r>
              <w:rPr>
                <w:rFonts w:ascii="Arial" w:cs="Arial" w:eastAsia="Arial" w:hAnsi="Arial"/>
                <w:sz w:val="16"/>
                <w:szCs w:val="16"/>
                <w:b w:val="1"/>
                <w:bCs w:val="1"/>
                <w:color w:val="auto"/>
              </w:rPr>
              <w:t>2021</w:t>
            </w:r>
          </w:p>
        </w:tc>
      </w:tr>
      <w:tr>
        <w:trPr>
          <w:trHeight w:val="218"/>
        </w:trPr>
        <w:tc>
          <w:tcPr>
            <w:tcW w:w="6920" w:type="dxa"/>
            <w:vAlign w:val="bottom"/>
          </w:tcPr>
          <w:p>
            <w:pPr>
              <w:spacing w:after="0" w:line="218" w:lineRule="exact"/>
              <w:rPr>
                <w:sz w:val="20"/>
                <w:szCs w:val="20"/>
                <w:color w:val="auto"/>
              </w:rPr>
            </w:pPr>
            <w:r>
              <w:rPr>
                <w:rFonts w:ascii="Arial" w:cs="Arial" w:eastAsia="Arial" w:hAnsi="Arial"/>
                <w:sz w:val="20"/>
                <w:szCs w:val="20"/>
                <w:b w:val="1"/>
                <w:bCs w:val="1"/>
                <w:color w:val="auto"/>
              </w:rPr>
              <w:t>Accrued external research, development and manufacturing costs</w:t>
            </w:r>
          </w:p>
        </w:tc>
        <w:tc>
          <w:tcPr>
            <w:tcW w:w="320" w:type="dxa"/>
            <w:vAlign w:val="bottom"/>
          </w:tcPr>
          <w:p>
            <w:pPr>
              <w:jc w:val="right"/>
              <w:ind w:right="120"/>
              <w:spacing w:after="0" w:line="218" w:lineRule="exact"/>
              <w:rPr>
                <w:sz w:val="20"/>
                <w:szCs w:val="20"/>
                <w:color w:val="auto"/>
              </w:rPr>
            </w:pPr>
            <w:r>
              <w:rPr>
                <w:rFonts w:ascii="Arial" w:cs="Arial" w:eastAsia="Arial" w:hAnsi="Arial"/>
                <w:sz w:val="20"/>
                <w:szCs w:val="20"/>
                <w:b w:val="1"/>
                <w:bCs w:val="1"/>
                <w:color w:val="auto"/>
                <w:w w:val="71"/>
              </w:rPr>
              <w:t>$</w:t>
            </w:r>
          </w:p>
        </w:tc>
        <w:tc>
          <w:tcPr>
            <w:tcW w:w="1340" w:type="dxa"/>
            <w:vAlign w:val="bottom"/>
            <w:gridSpan w:val="2"/>
          </w:tcPr>
          <w:p>
            <w:pPr>
              <w:jc w:val="right"/>
              <w:ind w:right="260"/>
              <w:spacing w:after="0" w:line="218" w:lineRule="exact"/>
              <w:rPr>
                <w:sz w:val="20"/>
                <w:szCs w:val="20"/>
                <w:color w:val="auto"/>
              </w:rPr>
            </w:pPr>
            <w:r>
              <w:rPr>
                <w:rFonts w:ascii="Arial" w:cs="Arial" w:eastAsia="Arial" w:hAnsi="Arial"/>
                <w:sz w:val="20"/>
                <w:szCs w:val="20"/>
                <w:b w:val="1"/>
                <w:bCs w:val="1"/>
                <w:color w:val="auto"/>
              </w:rPr>
              <w:t>13,955</w:t>
            </w:r>
          </w:p>
        </w:tc>
        <w:tc>
          <w:tcPr>
            <w:tcW w:w="440" w:type="dxa"/>
            <w:vAlign w:val="bottom"/>
          </w:tcPr>
          <w:p>
            <w:pPr>
              <w:jc w:val="right"/>
              <w:ind w:right="240"/>
              <w:spacing w:after="0" w:line="218" w:lineRule="exact"/>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line="218" w:lineRule="exact"/>
              <w:rPr>
                <w:sz w:val="20"/>
                <w:szCs w:val="20"/>
                <w:color w:val="auto"/>
              </w:rPr>
            </w:pPr>
            <w:r>
              <w:rPr>
                <w:rFonts w:ascii="Arial" w:cs="Arial" w:eastAsia="Arial" w:hAnsi="Arial"/>
                <w:sz w:val="20"/>
                <w:szCs w:val="20"/>
                <w:b w:val="1"/>
                <w:bCs w:val="1"/>
                <w:color w:val="auto"/>
              </w:rPr>
              <w:t>48,590</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Accrued professional and consultant fees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1,153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2,155</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Accrued employee compensation</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5,985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4,945</w:t>
            </w:r>
          </w:p>
        </w:tc>
      </w:tr>
      <w:tr>
        <w:trPr>
          <w:trHeight w:val="230"/>
        </w:trPr>
        <w:tc>
          <w:tcPr>
            <w:tcW w:w="6920" w:type="dxa"/>
            <w:vAlign w:val="bottom"/>
          </w:tcPr>
          <w:p>
            <w:pPr>
              <w:spacing w:after="0"/>
              <w:rPr>
                <w:sz w:val="20"/>
                <w:szCs w:val="20"/>
                <w:color w:val="auto"/>
              </w:rPr>
            </w:pPr>
            <w:r>
              <w:rPr>
                <w:rFonts w:ascii="Arial" w:cs="Arial" w:eastAsia="Arial" w:hAnsi="Arial"/>
                <w:sz w:val="20"/>
                <w:szCs w:val="20"/>
                <w:b w:val="1"/>
                <w:bCs w:val="1"/>
                <w:color w:val="auto"/>
              </w:rPr>
              <w:t>Other</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818</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587</w:t>
            </w:r>
          </w:p>
        </w:tc>
      </w:tr>
      <w:tr>
        <w:trPr>
          <w:trHeight w:val="220"/>
        </w:trPr>
        <w:tc>
          <w:tcPr>
            <w:tcW w:w="6920" w:type="dxa"/>
            <w:vAlign w:val="bottom"/>
          </w:tcPr>
          <w:p>
            <w:pPr>
              <w:spacing w:after="0"/>
              <w:rPr>
                <w:sz w:val="19"/>
                <w:szCs w:val="19"/>
                <w:color w:val="auto"/>
              </w:rPr>
            </w:pP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340" w:type="dxa"/>
            <w:vAlign w:val="bottom"/>
            <w:gridSpan w:val="2"/>
          </w:tcPr>
          <w:p>
            <w:pPr>
              <w:jc w:val="right"/>
              <w:ind w:right="260"/>
              <w:spacing w:after="0" w:line="220" w:lineRule="exact"/>
              <w:rPr>
                <w:sz w:val="20"/>
                <w:szCs w:val="20"/>
                <w:color w:val="auto"/>
              </w:rPr>
            </w:pPr>
            <w:r>
              <w:rPr>
                <w:rFonts w:ascii="Arial" w:cs="Arial" w:eastAsia="Arial" w:hAnsi="Arial"/>
                <w:sz w:val="20"/>
                <w:szCs w:val="20"/>
                <w:b w:val="1"/>
                <w:bCs w:val="1"/>
                <w:color w:val="auto"/>
              </w:rPr>
              <w:t>21,911</w:t>
            </w:r>
          </w:p>
        </w:tc>
        <w:tc>
          <w:tcPr>
            <w:tcW w:w="440" w:type="dxa"/>
            <w:vAlign w:val="bottom"/>
          </w:tcPr>
          <w:p>
            <w:pPr>
              <w:jc w:val="right"/>
              <w:ind w:right="240"/>
              <w:spacing w:after="0" w:line="220" w:lineRule="exact"/>
              <w:rPr>
                <w:sz w:val="20"/>
                <w:szCs w:val="20"/>
                <w:color w:val="auto"/>
              </w:rPr>
            </w:pPr>
            <w:r>
              <w:rPr>
                <w:rFonts w:ascii="Arial" w:cs="Arial" w:eastAsia="Arial" w:hAnsi="Arial"/>
                <w:sz w:val="20"/>
                <w:szCs w:val="20"/>
                <w:b w:val="1"/>
                <w:bCs w:val="1"/>
                <w:color w:val="auto"/>
                <w:w w:val="71"/>
              </w:rPr>
              <w:t>$</w:t>
            </w:r>
          </w:p>
        </w:tc>
        <w:tc>
          <w:tcPr>
            <w:tcW w:w="9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56,277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-2560955</wp:posOffset>
            </wp:positionV>
            <wp:extent cx="6427470" cy="7981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14">
                      <a:extLst>
                        <a:ext uri="{28A0092B-C50C-407E-A947-70E740481C1C}"/>
                      </a:extLst>
                    </a:blip>
                    <a:srcRect/>
                    <a:stretch>
                      <a:fillRect/>
                    </a:stretch>
                  </pic:blipFill>
                  <pic:spPr bwMode="auto">
                    <a:xfrm>
                      <a:off x="0" y="0"/>
                      <a:ext cx="6427470" cy="7981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-755015</wp:posOffset>
            </wp:positionV>
            <wp:extent cx="6427470" cy="7981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15">
                      <a:extLst>
                        <a:ext uri="{28A0092B-C50C-407E-A947-70E740481C1C}"/>
                      </a:extLst>
                    </a:blip>
                    <a:srcRect/>
                    <a:stretch>
                      <a:fillRect/>
                    </a:stretch>
                  </pic:blipFill>
                  <pic:spPr bwMode="auto">
                    <a:xfrm>
                      <a:off x="0" y="0"/>
                      <a:ext cx="6427470" cy="79819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License and Collaboration Agreements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Adimab Assignment Agreement</w:t>
      </w:r>
    </w:p>
    <w:p>
      <w:pPr>
        <w:spacing w:after="0" w:line="131" w:lineRule="exact"/>
        <w:rPr>
          <w:sz w:val="20"/>
          <w:szCs w:val="20"/>
          <w:color w:val="auto"/>
        </w:rPr>
      </w:pPr>
    </w:p>
    <w:p>
      <w:pPr>
        <w:jc w:val="both"/>
        <w:ind w:firstLine="490"/>
        <w:spacing w:after="0" w:line="267" w:lineRule="auto"/>
        <w:rPr>
          <w:sz w:val="20"/>
          <w:szCs w:val="20"/>
          <w:color w:val="auto"/>
        </w:rPr>
      </w:pPr>
      <w:r>
        <w:rPr>
          <w:rFonts w:ascii="Arial" w:cs="Arial" w:eastAsia="Arial" w:hAnsi="Arial"/>
          <w:sz w:val="18"/>
          <w:szCs w:val="18"/>
          <w:b w:val="1"/>
          <w:bCs w:val="1"/>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117"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300" w:lineRule="exact"/>
        <w:rPr>
          <w:sz w:val="20"/>
          <w:szCs w:val="20"/>
          <w:color w:val="auto"/>
        </w:rPr>
      </w:pPr>
    </w:p>
    <w:p>
      <w:pPr>
        <w:jc w:val="both"/>
        <w:ind w:firstLine="490"/>
        <w:spacing w:after="0" w:line="342" w:lineRule="auto"/>
        <w:rPr>
          <w:sz w:val="20"/>
          <w:szCs w:val="20"/>
          <w:color w:val="auto"/>
        </w:rPr>
      </w:pPr>
      <w:r>
        <w:rPr>
          <w:rFonts w:ascii="Arial" w:cs="Arial" w:eastAsia="Arial" w:hAnsi="Arial"/>
          <w:sz w:val="15"/>
          <w:szCs w:val="15"/>
          <w:b w:val="1"/>
          <w:bCs w:val="1"/>
          <w:color w:val="auto"/>
        </w:rPr>
        <w:t>Amounts paid with respect to services performed by Adimab on the Company’s behalf under the Adimab Assignment Agreement are recognized as research and development expense as such amounts are incurred. For the years ended December 31, 2022 and 2021, the Company recognized $0.6 million and $1.3 million, respectively, of research and development expense in connection with services performed by Adimab on the Company's behalf. Please refer to Note 16 for additional information.</w:t>
      </w:r>
    </w:p>
    <w:p>
      <w:pPr>
        <w:spacing w:after="0" w:line="56" w:lineRule="exact"/>
        <w:rPr>
          <w:sz w:val="20"/>
          <w:szCs w:val="20"/>
          <w:color w:val="auto"/>
        </w:rPr>
      </w:pPr>
    </w:p>
    <w:p>
      <w:pPr>
        <w:jc w:val="both"/>
        <w:ind w:firstLine="490"/>
        <w:spacing w:after="0" w:line="386" w:lineRule="auto"/>
        <w:rPr>
          <w:sz w:val="20"/>
          <w:szCs w:val="20"/>
          <w:color w:val="auto"/>
        </w:rPr>
      </w:pPr>
      <w:r>
        <w:rPr>
          <w:rFonts w:ascii="Arial" w:cs="Arial" w:eastAsia="Arial" w:hAnsi="Arial"/>
          <w:sz w:val="15"/>
          <w:szCs w:val="15"/>
          <w:b w:val="1"/>
          <w:bCs w:val="1"/>
          <w:color w:val="auto"/>
        </w:rPr>
        <w:t>In July 2020, in consideration for the rights assigned and license conveyed under the Adimab Assignment Agreement, the Company issued 5,000,000 shares of its Series A convertible preferred stock (the “Series A Preferred Stock”), then having</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F-17</w:t>
      </w:r>
    </w:p>
    <w:p>
      <w:pPr>
        <w:sectPr>
          <w:pgSz w:w="12240" w:h="15840" w:orient="portrait"/>
          <w:cols w:equalWidth="0" w:num="1">
            <w:col w:w="10080"/>
          </w:cols>
          <w:pgMar w:left="1080" w:top="1079" w:right="1080" w:bottom="157" w:gutter="0" w:footer="0" w:header="0"/>
        </w:sectPr>
      </w:pPr>
    </w:p>
    <w:bookmarkStart w:id="137" w:name="page138"/>
    <w:bookmarkEnd w:id="137"/>
    <w:p>
      <w:pPr>
        <w:jc w:val="both"/>
        <w:spacing w:after="0" w:line="287" w:lineRule="auto"/>
        <w:rPr>
          <w:sz w:val="20"/>
          <w:szCs w:val="20"/>
          <w:color w:val="auto"/>
        </w:rPr>
      </w:pPr>
      <w:r>
        <w:rPr>
          <w:rFonts w:ascii="Arial" w:cs="Arial" w:eastAsia="Arial" w:hAnsi="Arial"/>
          <w:sz w:val="17"/>
          <w:szCs w:val="17"/>
          <w:b w:val="1"/>
          <w:bCs w:val="1"/>
          <w:color w:val="auto"/>
        </w:rPr>
        <w:t>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however, milestone payments do not accrue for certain in vitro diagnostic devices consisting of or containing CoV Antibodies.</w:t>
      </w:r>
    </w:p>
    <w:p>
      <w:pPr>
        <w:spacing w:after="0" w:line="94"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February 2021, the Company achieved the first specified milestone under the agreement upon dosing of the first patient in a Phase 1 global clinical trial evaluating adintrevimab, which obligated the Company to make a $1.0 million milestone payment to Adimab. In April 2021, the Company achieved the second specified milestone under the agreement upon dosing of the first patient in a Phase 2 global clinical trial evaluating adintrevimab for the prevention of COVID-19, which obligated the Company to make a $2.5 million milestone payment to Adimab. In August 2021, the Company achieved the third specified milestone under the agreement upon dosing of the first patient in a Phase 3 global clinical trial evaluating adintrevimab for the prevention of COVID-19, which obligated the Company to make a $4.0 million milestone payment to Adimab. The Company recognized each expense when achievement of each of the first, second and third milestones became probable of achievement in February, April and August 2021, respectively. The next potential milestone under the Adimab Assignment Agreement is a low six-digit dollar milestone related to dosing of the first subject in a Phase 1 trial, which was not considered probable as of December 31, 2022.</w:t>
      </w:r>
    </w:p>
    <w:p>
      <w:pPr>
        <w:spacing w:after="0" w:line="107"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For the year ended December 31, 2022, the Company did not recognize any IPR&amp;D expense in connection with contingent consideration payable under the Adimab Assignment Agreement. For the year ended December 31, 2021, the Company recognized $7.5 million as IPR&amp;D expense in connection with contingent consideration payable under the Adimab Assignment Agreement.</w:t>
      </w:r>
    </w:p>
    <w:p>
      <w:pPr>
        <w:spacing w:after="0" w:line="135" w:lineRule="exact"/>
        <w:rPr>
          <w:sz w:val="20"/>
          <w:szCs w:val="20"/>
          <w:color w:val="auto"/>
        </w:rPr>
      </w:pPr>
    </w:p>
    <w:p>
      <w:pPr>
        <w:jc w:val="both"/>
        <w:ind w:firstLine="490"/>
        <w:spacing w:after="0" w:line="319" w:lineRule="auto"/>
        <w:rPr>
          <w:sz w:val="20"/>
          <w:szCs w:val="20"/>
          <w:color w:val="auto"/>
        </w:rPr>
      </w:pPr>
      <w:r>
        <w:rPr>
          <w:rFonts w:ascii="Arial" w:cs="Arial" w:eastAsia="Arial" w:hAnsi="Arial"/>
          <w:sz w:val="15"/>
          <w:szCs w:val="15"/>
          <w:b w:val="1"/>
          <w:bCs w:val="1"/>
          <w:color w:val="auto"/>
        </w:rPr>
        <w:t>The Company is obligated to pay Adimab royalties of a mid-single-digit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w:t>
      </w:r>
    </w:p>
    <w:p>
      <w:pPr>
        <w:spacing w:after="0" w:line="1" w:lineRule="exact"/>
        <w:rPr>
          <w:sz w:val="20"/>
          <w:szCs w:val="20"/>
          <w:color w:val="auto"/>
        </w:rPr>
      </w:pPr>
    </w:p>
    <w:p>
      <w:pPr>
        <w:jc w:val="both"/>
        <w:spacing w:after="0" w:line="269" w:lineRule="auto"/>
        <w:tabs>
          <w:tab w:leader="none" w:pos="247"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12 years after the first commercial sale of such Product in such country and (ii) the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the second milestone payment of $2.5 million and the third milestone payment of $4.0 million, which were paid by the Company to Adimab in March, May and September 2021, respectively, no other milestone, royalty or other contingent payments had become due to Adimab through December 31, 2022.</w:t>
      </w:r>
    </w:p>
    <w:p>
      <w:pPr>
        <w:spacing w:after="0" w:line="106"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124"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34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Adimab Collaboration Agreement</w:t>
      </w:r>
    </w:p>
    <w:p>
      <w:pPr>
        <w:spacing w:after="0" w:line="131"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In May 2021, the Company entered into a Collaboration Agreement with Adimab, as amended in November 2022 (the “Adimab Collaboration Agreement”) for the discovery and optimization of proprietary antibodies as potential therapeutic product candidates. Under the Adimab Collaboration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F-18</w:t>
      </w:r>
    </w:p>
    <w:p>
      <w:pPr>
        <w:sectPr>
          <w:pgSz w:w="12240" w:h="15840" w:orient="portrait"/>
          <w:cols w:equalWidth="0" w:num="1">
            <w:col w:w="10080"/>
          </w:cols>
          <w:pgMar w:left="1080" w:top="1089" w:right="1080" w:bottom="157" w:gutter="0" w:footer="0" w:header="0"/>
        </w:sectPr>
      </w:pPr>
    </w:p>
    <w:bookmarkStart w:id="138" w:name="page139"/>
    <w:bookmarkEnd w:id="138"/>
    <w:p>
      <w:pPr>
        <w:jc w:val="both"/>
        <w:spacing w:after="0" w:line="269" w:lineRule="auto"/>
        <w:rPr>
          <w:sz w:val="20"/>
          <w:szCs w:val="20"/>
          <w:color w:val="auto"/>
        </w:rPr>
      </w:pPr>
      <w:r>
        <w:rPr>
          <w:rFonts w:ascii="Arial" w:cs="Arial" w:eastAsia="Arial" w:hAnsi="Arial"/>
          <w:sz w:val="18"/>
          <w:szCs w:val="18"/>
          <w:b w:val="1"/>
          <w:bCs w:val="1"/>
          <w:color w:val="auto"/>
        </w:rPr>
        <w:t>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108"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the years ended December 31, 2022 and 2021, the Company recognized $5.2 million and $2.6 million, respectively, of research and development expense related to the quarterly fee.</w:t>
      </w:r>
    </w:p>
    <w:p>
      <w:pPr>
        <w:spacing w:after="0" w:line="95"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For the years ended December 31, 2022 and 2021, the Company recognized $1.7 million and $0.3 million, respectively, of research and development expense in connection with services performed by Adimab on the Company's behalf. Through December 31, 2022, the Company recognized $0.4 million and $1.0 million of IPR&amp;D expense related to drug delivery fees and an option exercise, respectively. Additionally, through December 31, 2022, the Company has not paid an optimization completion fee to Adimab. Please refer to Note 16 for additional information.</w:t>
      </w:r>
    </w:p>
    <w:p>
      <w:pPr>
        <w:spacing w:after="0" w:line="96"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 dollar milestone related to dosing of the first subject in a Phase 1 trial, which was not considered probable as of December 31, 2022.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95"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December 31, 2022, the Company had not paid any royalties to Adimab under the Adimab Collaboration Agreement.</w:t>
      </w:r>
    </w:p>
    <w:p>
      <w:pPr>
        <w:spacing w:after="0" w:line="62"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108"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The Company concluded that the Adimab Collaboration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services performed by Adimab on the Company’s behalf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F-19</w:t>
      </w:r>
    </w:p>
    <w:p>
      <w:pPr>
        <w:sectPr>
          <w:pgSz w:w="12240" w:h="15840" w:orient="portrait"/>
          <w:cols w:equalWidth="0" w:num="1">
            <w:col w:w="10080"/>
          </w:cols>
          <w:pgMar w:left="1080" w:top="1089" w:right="1080" w:bottom="157" w:gutter="0" w:footer="0" w:header="0"/>
        </w:sectPr>
      </w:pPr>
    </w:p>
    <w:bookmarkStart w:id="139" w:name="page140"/>
    <w:bookmarkEnd w:id="139"/>
    <w:p>
      <w:pPr>
        <w:jc w:val="both"/>
        <w:spacing w:after="0" w:line="234" w:lineRule="auto"/>
        <w:rPr>
          <w:sz w:val="20"/>
          <w:szCs w:val="20"/>
          <w:color w:val="auto"/>
        </w:rPr>
      </w:pPr>
      <w:r>
        <w:rPr>
          <w:rFonts w:ascii="Arial" w:cs="Arial" w:eastAsia="Arial" w:hAnsi="Arial"/>
          <w:sz w:val="20"/>
          <w:szCs w:val="20"/>
          <w:b w:val="1"/>
          <w:bCs w:val="1"/>
          <w:color w:val="auto"/>
        </w:rPr>
        <w:t>Adimab Collaboration Agreement are recognized as research and development expense as such amounts are incurred and services are rendered. Please refer to Note 16 for additional information.</w:t>
      </w:r>
    </w:p>
    <w:p>
      <w:pPr>
        <w:spacing w:after="0" w:line="35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Adimab Platform Transfer Agreement</w:t>
      </w:r>
    </w:p>
    <w:p>
      <w:pPr>
        <w:spacing w:after="0" w:line="131" w:lineRule="exact"/>
        <w:rPr>
          <w:sz w:val="20"/>
          <w:szCs w:val="20"/>
          <w:color w:val="auto"/>
        </w:rPr>
      </w:pPr>
    </w:p>
    <w:p>
      <w:pPr>
        <w:jc w:val="both"/>
        <w:ind w:firstLine="490"/>
        <w:spacing w:after="0" w:line="328" w:lineRule="auto"/>
        <w:rPr>
          <w:sz w:val="20"/>
          <w:szCs w:val="20"/>
          <w:color w:val="auto"/>
        </w:rPr>
      </w:pPr>
      <w:r>
        <w:rPr>
          <w:rFonts w:ascii="Arial" w:cs="Arial" w:eastAsia="Arial" w:hAnsi="Arial"/>
          <w:sz w:val="15"/>
          <w:szCs w:val="15"/>
          <w:b w:val="1"/>
          <w:bCs w:val="1"/>
          <w:color w:val="auto"/>
        </w:rPr>
        <w:t>In September 2022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 make, sell and exploit such antibodies and products containing such antibodies. The Adimab platform will be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70"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The Company is obligated to pay Adimab an annual fee of single digit millions on each of the first four anniversaries of the Effective Date, which will allow the Company to receive material improvements to the platform technology, including materially improved antibody optimization libraries, updates that provide new functionality to the platform, and software upgrades, from Adimab through June 2027. The first annual fee will become due in September 2023.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93"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milestone related to the start of IND-enabling toxicology studies, which was not considered probable as of December 31, 2022.</w:t>
      </w:r>
    </w:p>
    <w:p>
      <w:pPr>
        <w:spacing w:after="0" w:line="9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addition, the Company is obligated to pay Adimab royalties of a low single-digit percentage based on net sales of products containing an antibody discovered, engineered or optimized using Adimab’s platform technology, once commercialized. The royalty rate is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2022, the Company had not paid any royalties to Adimab under the Adimab Platform Transfer Agreement.</w:t>
      </w:r>
    </w:p>
    <w:p>
      <w:pPr>
        <w:spacing w:after="0" w:line="112"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135"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The Company concluded that the Adimab Platform Transfer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16 for additional information.</w:t>
      </w:r>
    </w:p>
    <w:p>
      <w:pPr>
        <w:spacing w:after="0" w:line="32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WuXi Biologics Cell Line License Agreement</w:t>
      </w:r>
    </w:p>
    <w:p>
      <w:pPr>
        <w:spacing w:after="0" w:line="131"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In December 2020, as amended in February 2023,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94"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The Company paid an upfront fee of $0.2 million to WuXi Biologics upon completion of cell bank generation for the first Licensed Cell Line created under the Cell Line License Agreement. 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F-20</w:t>
      </w:r>
    </w:p>
    <w:p>
      <w:pPr>
        <w:sectPr>
          <w:pgSz w:w="12240" w:h="15840" w:orient="portrait"/>
          <w:cols w:equalWidth="0" w:num="1">
            <w:col w:w="10080"/>
          </w:cols>
          <w:pgMar w:left="1080" w:top="1089" w:right="1080" w:bottom="157" w:gutter="0" w:footer="0" w:header="0"/>
        </w:sectPr>
      </w:pPr>
    </w:p>
    <w:bookmarkStart w:id="140" w:name="page141"/>
    <w:bookmarkEnd w:id="140"/>
    <w:p>
      <w:pPr>
        <w:jc w:val="both"/>
        <w:spacing w:after="0" w:line="288" w:lineRule="auto"/>
        <w:rPr>
          <w:sz w:val="20"/>
          <w:szCs w:val="20"/>
          <w:color w:val="auto"/>
        </w:rPr>
      </w:pPr>
      <w:r>
        <w:rPr>
          <w:rFonts w:ascii="Arial" w:cs="Arial" w:eastAsia="Arial" w:hAnsi="Arial"/>
          <w:sz w:val="17"/>
          <w:szCs w:val="17"/>
          <w:b w:val="1"/>
          <w:bCs w:val="1"/>
          <w:color w:val="auto"/>
        </w:rPr>
        <w:t>Licensed Products, no royalties would be owed by the Company to WuXi Biologics for net sales of Licensed Products. The Company has an option to buy out its royalty obligations on a Licensed Cell Line-by-Licensed Cell Line basis by making a one-time payment in the low eight-figures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December 31, 2022, no royalties had become due to WuXi Biologics.</w:t>
      </w:r>
    </w:p>
    <w:p>
      <w:pPr>
        <w:spacing w:after="0" w:line="9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95"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34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Research Collaboration and License Agreement with The Scripps Research Institute</w:t>
      </w:r>
    </w:p>
    <w:p>
      <w:pPr>
        <w:spacing w:after="0" w:line="131"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In August 2021, the Company entered into a Research Collaboration and License Agreement (the “Research Agreement”) with The Scripps Research Institute (“TSRI”). Under the terms of the Research Agreement, TSRI performed research activities to identify vaccine candidates for the prevention, diagnosis or treatment of influenza or beta coronaviruses. In August 2021, the Company paid TSRI $1.5 million in funding, which was credited against research funding payable by the Company under the Research Agreement.</w:t>
      </w:r>
    </w:p>
    <w:p>
      <w:pPr>
        <w:spacing w:after="0" w:line="118" w:lineRule="exact"/>
        <w:rPr>
          <w:sz w:val="20"/>
          <w:szCs w:val="20"/>
          <w:color w:val="auto"/>
        </w:rPr>
      </w:pPr>
    </w:p>
    <w:p>
      <w:pPr>
        <w:jc w:val="both"/>
        <w:ind w:firstLine="539"/>
        <w:spacing w:after="0" w:line="254" w:lineRule="auto"/>
        <w:rPr>
          <w:sz w:val="20"/>
          <w:szCs w:val="20"/>
          <w:color w:val="auto"/>
        </w:rPr>
      </w:pPr>
      <w:r>
        <w:rPr>
          <w:rFonts w:ascii="Arial" w:cs="Arial" w:eastAsia="Arial" w:hAnsi="Arial"/>
          <w:sz w:val="19"/>
          <w:szCs w:val="19"/>
          <w:b w:val="1"/>
          <w:bCs w:val="1"/>
          <w:color w:val="auto"/>
        </w:rPr>
        <w:t>In April 2022, the Company provided written notice to TSRI to terminate the Research Agreement. Following early termination in the second quarter of 2022, all licenses were terminated and reverted to TSRI.</w:t>
      </w:r>
    </w:p>
    <w:p>
      <w:pPr>
        <w:spacing w:after="0" w:line="118"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Amounts incurred for services performed by TSRI under the Research Agreement were expensed to research and development expense as the services were rendered. During the years ended December 31, 2022 and December 31, 2021, the Company recognized $1.7 million and $2.3 million, respectively, of research and development expense associated with services performed under the Research Agreement.</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Population Health Partners, L.P</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and will continue for a period of one year, unless terminated earlier in accordance with its terms.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is effective for six months from the Effective Date and may be extended by written agreement of the Company and PHP. The PHP MSA contains customary confidentiality provisions and representations and warranties of the parties, as well as mutual non-solicitation of certain employees during the term of the PHP MSA and for a period of one year thereafter.</w:t>
      </w:r>
    </w:p>
    <w:p>
      <w:pPr>
        <w:spacing w:after="0" w:line="98"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As compensation for the services and deliverables under the PHP Work Order, the Company shall pay PHP a cash fee of $0.5 million per month during the term of the PHP Work Order for an aggregate fee of $3.0 million (the “Aggregate Fee”). In the event that (i) the Company terminates the PHP Work Order for any reason other than material breach by PHP or (ii) PHP terminates the PHP Work Order due to material breach by the Company, in each case, pursuant to the terms of the PHP MSA, the Company would be required to pay PHP the balance of the Aggregate Fee as of the date the PHP Work Order is terminated. The cash fee is subject to change if the parties extend the term of the PHP Work Order in accordance with the terms thereof.</w:t>
      </w:r>
    </w:p>
    <w:p>
      <w:pPr>
        <w:spacing w:after="0" w:line="64"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For the year ended December 31, 2022, the Company recognized $0.8 million of research and development expense related to the cash compensation paid to PHP.</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F-21</w:t>
      </w:r>
    </w:p>
    <w:p>
      <w:pPr>
        <w:sectPr>
          <w:pgSz w:w="12240" w:h="15840" w:orient="portrait"/>
          <w:cols w:equalWidth="0" w:num="1">
            <w:col w:w="10080"/>
          </w:cols>
          <w:pgMar w:left="1080" w:top="1089" w:right="1080" w:bottom="157" w:gutter="0" w:footer="0" w:header="0"/>
        </w:sectPr>
      </w:pPr>
    </w:p>
    <w:bookmarkStart w:id="141" w:name="page142"/>
    <w:bookmarkEnd w:id="141"/>
    <w:p>
      <w:pPr>
        <w:jc w:val="both"/>
        <w:ind w:firstLine="490"/>
        <w:spacing w:after="0" w:line="252" w:lineRule="auto"/>
        <w:rPr>
          <w:sz w:val="20"/>
          <w:szCs w:val="20"/>
          <w:color w:val="auto"/>
        </w:rPr>
      </w:pPr>
      <w:r>
        <w:rPr>
          <w:rFonts w:ascii="Arial" w:cs="Arial" w:eastAsia="Arial" w:hAnsi="Arial"/>
          <w:sz w:val="19"/>
          <w:szCs w:val="19"/>
          <w:b w:val="1"/>
          <w:bCs w:val="1"/>
          <w:color w:val="auto"/>
        </w:rPr>
        <w:t>In addition to the cash compensation, on the PHP Effective Date, the Company issued a warrant to purchase shares of the Company's common stock to PHP (the “PHP Warrant”). The exercise price of the PHP Warrant is $3.48 per share of Common Stock, which is equal to the Nasdaq Official Closing Price of a share of Common Stock on the trading day immediately prior to the PHP Effective Date. The PHP Warrant is exercisable for up to an aggregate of 6,824,712 shares of Common Stock, and vests in three separate tranches as follows:</w:t>
      </w:r>
    </w:p>
    <w:p>
      <w:pPr>
        <w:spacing w:after="0" w:line="247" w:lineRule="exact"/>
        <w:rPr>
          <w:sz w:val="20"/>
          <w:szCs w:val="20"/>
          <w:color w:val="auto"/>
        </w:rPr>
      </w:pPr>
    </w:p>
    <w:p>
      <w:pPr>
        <w:ind w:left="900" w:right="300" w:hanging="394"/>
        <w:spacing w:after="0" w:line="278" w:lineRule="auto"/>
        <w:tabs>
          <w:tab w:leader="none" w:pos="90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3,591,954 shares of the Company's common stock underlying the PHP Warrant vests if the Company’s Market Capitalization (as defined below) equals or exceeds $758,517,511 by November 15, 2028;</w:t>
      </w:r>
    </w:p>
    <w:p>
      <w:pPr>
        <w:spacing w:after="0" w:line="223" w:lineRule="exact"/>
        <w:rPr>
          <w:rFonts w:ascii="Arial" w:cs="Arial" w:eastAsia="Arial" w:hAnsi="Arial"/>
          <w:sz w:val="18"/>
          <w:szCs w:val="18"/>
          <w:b w:val="1"/>
          <w:bCs w:val="1"/>
          <w:color w:val="auto"/>
        </w:rPr>
      </w:pPr>
    </w:p>
    <w:p>
      <w:pPr>
        <w:ind w:left="900" w:right="300" w:hanging="394"/>
        <w:spacing w:after="0" w:line="254" w:lineRule="auto"/>
        <w:tabs>
          <w:tab w:leader="none" w:pos="901"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color w:val="auto"/>
        </w:rPr>
        <w:t>1,795,977 shares of the Company's common stock underlying the PHP Warrant vests if the Company’s Market Capitalization equals or exceeds $1,137,776,266 by November 15, 2029; and</w:t>
      </w:r>
    </w:p>
    <w:p>
      <w:pPr>
        <w:spacing w:after="0" w:line="240" w:lineRule="exact"/>
        <w:rPr>
          <w:rFonts w:ascii="Arial" w:cs="Arial" w:eastAsia="Arial" w:hAnsi="Arial"/>
          <w:sz w:val="19"/>
          <w:szCs w:val="19"/>
          <w:b w:val="1"/>
          <w:bCs w:val="1"/>
          <w:color w:val="auto"/>
        </w:rPr>
      </w:pPr>
    </w:p>
    <w:p>
      <w:pPr>
        <w:ind w:left="900" w:right="300" w:hanging="394"/>
        <w:spacing w:after="0" w:line="234" w:lineRule="auto"/>
        <w:tabs>
          <w:tab w:leader="none" w:pos="901"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1,436,781 shares of the Company's common stock underlying the PHP Warrant vests if the Company’s Market Capitalization equals or exceeds $1,517,035,022 by November 15, 2030.</w:t>
      </w:r>
    </w:p>
    <w:p>
      <w:pPr>
        <w:spacing w:after="0" w:line="132" w:lineRule="exact"/>
        <w:rPr>
          <w:sz w:val="20"/>
          <w:szCs w:val="20"/>
          <w:color w:val="auto"/>
        </w:rPr>
      </w:pPr>
    </w:p>
    <w:p>
      <w:pPr>
        <w:jc w:val="both"/>
        <w:ind w:firstLine="490"/>
        <w:spacing w:after="0" w:line="287" w:lineRule="auto"/>
        <w:rPr>
          <w:sz w:val="20"/>
          <w:szCs w:val="20"/>
          <w:color w:val="auto"/>
        </w:rPr>
      </w:pPr>
      <w:r>
        <w:rPr>
          <w:rFonts w:ascii="Arial" w:cs="Arial" w:eastAsia="Arial" w:hAnsi="Arial"/>
          <w:sz w:val="17"/>
          <w:szCs w:val="17"/>
          <w:b w:val="1"/>
          <w:bCs w:val="1"/>
          <w:color w:val="auto"/>
        </w:rPr>
        <w:t>For purposes of the PHP Warrant, the term “Market Capitalization” means, with respect to a particular trading day, the total value of the outstanding shares of Common Stock on such date, calculated by multiplying the Company’s volume weighted average price for the ten (10) trading days immediately preceding such date by the Company’s total number of outstanding shares of Common Stock as reflected in (i) the Company’s most recent periodic or annual report filed with the U.S. Securities and Exchange Commission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w:t>
      </w:r>
    </w:p>
    <w:p>
      <w:pPr>
        <w:spacing w:after="0" w:line="94"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has also granted PHP certain “piggyback” registration rights requiring the Company to register any shares of the Company's common stock underlying the Warrant for resale with the SEC, subject to the Company’s existing obligations under that certain Second Amended and Restated Investors’ Rights Agreement, dated April 16, 2021, by and among the Company and the investors party thereto.</w:t>
      </w:r>
    </w:p>
    <w:p>
      <w:pPr>
        <w:spacing w:after="0" w:line="93" w:lineRule="exact"/>
        <w:rPr>
          <w:sz w:val="20"/>
          <w:szCs w:val="20"/>
          <w:color w:val="auto"/>
        </w:rPr>
      </w:pPr>
    </w:p>
    <w:p>
      <w:pPr>
        <w:jc w:val="both"/>
        <w:ind w:firstLine="490"/>
        <w:spacing w:after="0" w:line="288" w:lineRule="auto"/>
        <w:rPr>
          <w:sz w:val="20"/>
          <w:szCs w:val="20"/>
          <w:color w:val="auto"/>
        </w:rPr>
      </w:pPr>
      <w:r>
        <w:rPr>
          <w:rFonts w:ascii="Arial" w:cs="Arial" w:eastAsia="Arial" w:hAnsi="Arial"/>
          <w:sz w:val="17"/>
          <w:szCs w:val="17"/>
          <w:b w:val="1"/>
          <w:bCs w:val="1"/>
          <w:color w:val="auto"/>
        </w:rPr>
        <w:t>Upon the consummation of a change of control of the Company (as defined in the PHP Warrant) on or prior to November 15, 2028, all of the shares underlying the PHP Warrant would become immediately vested and exercisable; upon the consummation of a change of control of the Company after November 15, 2028 but on or prior to November 15, 2029, the shares underlying the second and third tranches of the PHP Warrant would become immediately vested and exercisable; and upon the consummation of a change of control of the Company after November 15, 2029 but on or prior to November 15, 2030, the shares underlying the third tranche of the PHP Warrant would become immediately vested and exercisable.</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Refer to Note 12 for additional information on the PHP Warrant.</w:t>
      </w:r>
    </w:p>
    <w:p>
      <w:pPr>
        <w:spacing w:after="0" w:line="12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Clive Meanwell, M.D. and Tamsin Berry, members of the Company’s board of directors, are Managing Partner and Partner of PHP, respectively.</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Commitments and Contingencies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Operating Lease Commitments</w:t>
      </w:r>
    </w:p>
    <w:p>
      <w:pPr>
        <w:spacing w:after="0" w:line="131" w:lineRule="exact"/>
        <w:rPr>
          <w:sz w:val="20"/>
          <w:szCs w:val="20"/>
          <w:color w:val="auto"/>
        </w:rPr>
      </w:pPr>
    </w:p>
    <w:p>
      <w:pPr>
        <w:jc w:val="both"/>
        <w:ind w:firstLine="490"/>
        <w:spacing w:after="0" w:line="289" w:lineRule="auto"/>
        <w:rPr>
          <w:sz w:val="20"/>
          <w:szCs w:val="20"/>
          <w:color w:val="auto"/>
        </w:rPr>
      </w:pPr>
      <w:r>
        <w:rPr>
          <w:rFonts w:ascii="Arial" w:cs="Arial" w:eastAsia="Arial" w:hAnsi="Arial"/>
          <w:sz w:val="17"/>
          <w:szCs w:val="17"/>
          <w:b w:val="1"/>
          <w:bCs w:val="1"/>
          <w:color w:val="auto"/>
        </w:rPr>
        <w:t>In September 2021, the Company entered into a five-year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w:t>
      </w:r>
    </w:p>
    <w:p>
      <w:pPr>
        <w:spacing w:after="0" w:line="93" w:lineRule="exact"/>
        <w:rPr>
          <w:sz w:val="20"/>
          <w:szCs w:val="20"/>
          <w:color w:val="auto"/>
        </w:rPr>
      </w:pPr>
    </w:p>
    <w:p>
      <w:pPr>
        <w:jc w:val="both"/>
        <w:ind w:firstLine="490"/>
        <w:spacing w:after="0" w:line="291" w:lineRule="auto"/>
        <w:rPr>
          <w:sz w:val="20"/>
          <w:szCs w:val="20"/>
          <w:color w:val="auto"/>
        </w:rPr>
      </w:pPr>
      <w:r>
        <w:rPr>
          <w:rFonts w:ascii="Arial" w:cs="Arial" w:eastAsia="Arial" w:hAnsi="Arial"/>
          <w:sz w:val="17"/>
          <w:szCs w:val="17"/>
          <w:b w:val="1"/>
          <w:bCs w:val="1"/>
          <w:color w:val="auto"/>
        </w:rPr>
        <w:t>In June 2022, the Company entered into a two-year noncancelable agreement for dedicated laboratory and office space in Newton, Massachusetts (the “Newton, MA Lease”). The monthly rental payments under the agreement include base rent charges of $0.7 million per year. The agreement terms provide for a month-to-month extension after completion of the initial two-year term with base rent calculated on the then-market rate with three months’ prior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F-22</w:t>
      </w:r>
    </w:p>
    <w:p>
      <w:pPr>
        <w:sectPr>
          <w:pgSz w:w="12240" w:h="15840" w:orient="portrait"/>
          <w:cols w:equalWidth="0" w:num="1">
            <w:col w:w="10080"/>
          </w:cols>
          <w:pgMar w:left="1080" w:top="1089" w:right="1080" w:bottom="157" w:gutter="0" w:footer="0" w:header="0"/>
        </w:sectPr>
      </w:pPr>
    </w:p>
    <w:bookmarkStart w:id="142" w:name="page143"/>
    <w:bookmarkEnd w:id="142"/>
    <w:p>
      <w:pPr>
        <w:jc w:val="both"/>
        <w:ind w:firstLine="490"/>
        <w:spacing w:after="0" w:line="288" w:lineRule="auto"/>
        <w:rPr>
          <w:sz w:val="20"/>
          <w:szCs w:val="20"/>
          <w:color w:val="auto"/>
        </w:rPr>
      </w:pPr>
      <w:r>
        <w:rPr>
          <w:rFonts w:ascii="Arial" w:cs="Arial" w:eastAsia="Arial" w:hAnsi="Arial"/>
          <w:sz w:val="17"/>
          <w:szCs w:val="17"/>
          <w:b w:val="1"/>
          <w:bCs w:val="1"/>
          <w:color w:val="auto"/>
        </w:rPr>
        <w:t>In September 2022, the Company amended the Newton, MA Lease. Pursuant to the amendment, the Company entered into a separate two-year noncancelable agreement for new dedicated laboratory and office space on the same campus as the Newton, MA Lease. The Company took occupancy of the new dedicated laboratory and office space in December 2022. The monthly rental payments under the amended agreement include base rent charges of $1.3 million per year. The agreement terms provide for a month-to-month extension, after completion of the initial two-year term extending through November 2024, with base rent calculated on the then-market rate with three months’ prior notice.</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components of operating lease expense were as follows (in thousands):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December 31,</w:t>
            </w:r>
          </w:p>
        </w:tc>
      </w:tr>
      <w:tr>
        <w:trPr>
          <w:trHeight w:val="218"/>
        </w:trPr>
        <w:tc>
          <w:tcPr>
            <w:tcW w:w="7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47"/>
              <w:spacing w:after="0"/>
              <w:rPr>
                <w:sz w:val="20"/>
                <w:szCs w:val="20"/>
                <w:color w:val="auto"/>
              </w:rPr>
            </w:pPr>
            <w:r>
              <w:rPr>
                <w:rFonts w:ascii="Arial" w:cs="Arial" w:eastAsia="Arial" w:hAnsi="Arial"/>
                <w:sz w:val="16"/>
                <w:szCs w:val="16"/>
                <w:b w:val="1"/>
                <w:bCs w:val="1"/>
                <w:color w:val="auto"/>
              </w:rPr>
              <w:t>2022</w:t>
            </w:r>
          </w:p>
        </w:tc>
      </w:tr>
      <w:tr>
        <w:trPr>
          <w:trHeight w:val="220"/>
        </w:trPr>
        <w:tc>
          <w:tcPr>
            <w:tcW w:w="7220" w:type="dxa"/>
            <w:vAlign w:val="bottom"/>
          </w:tcPr>
          <w:p>
            <w:pPr>
              <w:spacing w:after="0" w:line="220" w:lineRule="exact"/>
              <w:rPr>
                <w:sz w:val="20"/>
                <w:szCs w:val="20"/>
                <w:color w:val="auto"/>
              </w:rPr>
            </w:pPr>
            <w:r>
              <w:rPr>
                <w:rFonts w:ascii="Arial" w:cs="Arial" w:eastAsia="Arial" w:hAnsi="Arial"/>
                <w:sz w:val="20"/>
                <w:szCs w:val="20"/>
                <w:b w:val="1"/>
                <w:bCs w:val="1"/>
                <w:color w:val="auto"/>
              </w:rPr>
              <w:t>Lease cost:</w:t>
            </w: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220" w:type="dxa"/>
            <w:vAlign w:val="bottom"/>
          </w:tcPr>
          <w:p>
            <w:pPr>
              <w:ind w:left="200"/>
              <w:spacing w:after="0"/>
              <w:rPr>
                <w:sz w:val="20"/>
                <w:szCs w:val="20"/>
                <w:color w:val="auto"/>
              </w:rPr>
            </w:pPr>
            <w:r>
              <w:rPr>
                <w:rFonts w:ascii="Arial" w:cs="Arial" w:eastAsia="Arial" w:hAnsi="Arial"/>
                <w:sz w:val="20"/>
                <w:szCs w:val="20"/>
                <w:b w:val="1"/>
                <w:bCs w:val="1"/>
                <w:color w:val="auto"/>
              </w:rPr>
              <w:t>Operating lease cost</w:t>
            </w:r>
          </w:p>
        </w:tc>
        <w:tc>
          <w:tcPr>
            <w:tcW w:w="17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754</w:t>
            </w:r>
          </w:p>
        </w:tc>
      </w:tr>
      <w:tr>
        <w:trPr>
          <w:trHeight w:val="230"/>
        </w:trPr>
        <w:tc>
          <w:tcPr>
            <w:tcW w:w="7220" w:type="dxa"/>
            <w:vAlign w:val="bottom"/>
          </w:tcPr>
          <w:p>
            <w:pPr>
              <w:ind w:left="200"/>
              <w:spacing w:after="0"/>
              <w:rPr>
                <w:sz w:val="20"/>
                <w:szCs w:val="20"/>
                <w:color w:val="auto"/>
              </w:rPr>
            </w:pPr>
            <w:r>
              <w:rPr>
                <w:rFonts w:ascii="Arial" w:cs="Arial" w:eastAsia="Arial" w:hAnsi="Arial"/>
                <w:sz w:val="20"/>
                <w:szCs w:val="20"/>
                <w:b w:val="1"/>
                <w:bCs w:val="1"/>
                <w:color w:val="auto"/>
              </w:rPr>
              <w:t>Variable lease cost</w:t>
            </w:r>
          </w:p>
        </w:tc>
        <w:tc>
          <w:tcPr>
            <w:tcW w:w="1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31</w:t>
            </w:r>
          </w:p>
        </w:tc>
      </w:tr>
      <w:tr>
        <w:trPr>
          <w:trHeight w:val="220"/>
        </w:trPr>
        <w:tc>
          <w:tcPr>
            <w:tcW w:w="7220" w:type="dxa"/>
            <w:vAlign w:val="bottom"/>
          </w:tcPr>
          <w:p>
            <w:pPr>
              <w:spacing w:after="0" w:line="220" w:lineRule="exact"/>
              <w:rPr>
                <w:sz w:val="20"/>
                <w:szCs w:val="20"/>
                <w:color w:val="auto"/>
              </w:rPr>
            </w:pPr>
            <w:r>
              <w:rPr>
                <w:rFonts w:ascii="Arial" w:cs="Arial" w:eastAsia="Arial" w:hAnsi="Arial"/>
                <w:sz w:val="20"/>
                <w:szCs w:val="20"/>
                <w:b w:val="1"/>
                <w:bCs w:val="1"/>
                <w:color w:val="auto"/>
              </w:rPr>
              <w:t>Total lease cost</w:t>
            </w:r>
          </w:p>
        </w:tc>
        <w:tc>
          <w:tcPr>
            <w:tcW w:w="1740" w:type="dxa"/>
            <w:vAlign w:val="bottom"/>
            <w:gridSpan w:val="2"/>
          </w:tcPr>
          <w:p>
            <w:pPr>
              <w:jc w:val="right"/>
              <w:ind w:right="80"/>
              <w:spacing w:after="0" w:line="220" w:lineRule="exact"/>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785</w:t>
            </w:r>
          </w:p>
        </w:tc>
      </w:tr>
      <w:tr>
        <w:trPr>
          <w:trHeight w:val="504"/>
        </w:trPr>
        <w:tc>
          <w:tcPr>
            <w:tcW w:w="7220" w:type="dxa"/>
            <w:vAlign w:val="bottom"/>
          </w:tcPr>
          <w:p>
            <w:pPr>
              <w:spacing w:after="0"/>
              <w:rPr>
                <w:sz w:val="20"/>
                <w:szCs w:val="20"/>
                <w:color w:val="auto"/>
              </w:rPr>
            </w:pPr>
            <w:r>
              <w:rPr>
                <w:rFonts w:ascii="Arial" w:cs="Arial" w:eastAsia="Arial" w:hAnsi="Arial"/>
                <w:sz w:val="20"/>
                <w:szCs w:val="20"/>
                <w:b w:val="1"/>
                <w:bCs w:val="1"/>
                <w:color w:val="auto"/>
              </w:rPr>
              <w:t>Cash paid for amounts included in the measurement of lease liabilities:</w:t>
            </w: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7220" w:type="dxa"/>
            <w:vAlign w:val="bottom"/>
          </w:tcPr>
          <w:p>
            <w:pPr>
              <w:ind w:left="200"/>
              <w:spacing w:after="0"/>
              <w:rPr>
                <w:sz w:val="20"/>
                <w:szCs w:val="20"/>
                <w:color w:val="auto"/>
              </w:rPr>
            </w:pPr>
            <w:r>
              <w:rPr>
                <w:rFonts w:ascii="Arial" w:cs="Arial" w:eastAsia="Arial" w:hAnsi="Arial"/>
                <w:sz w:val="20"/>
                <w:szCs w:val="20"/>
                <w:b w:val="1"/>
                <w:bCs w:val="1"/>
                <w:color w:val="auto"/>
              </w:rPr>
              <w:t>Operating cash flows related to operating leases</w:t>
            </w:r>
          </w:p>
        </w:tc>
        <w:tc>
          <w:tcPr>
            <w:tcW w:w="174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837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-1075055</wp:posOffset>
            </wp:positionV>
            <wp:extent cx="6427470" cy="109093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16">
                      <a:extLst>
                        <a:ext uri="{28A0092B-C50C-407E-A947-70E740481C1C}"/>
                      </a:extLst>
                    </a:blip>
                    <a:srcRect/>
                    <a:stretch>
                      <a:fillRect/>
                    </a:stretch>
                  </pic:blipFill>
                  <pic:spPr bwMode="auto">
                    <a:xfrm>
                      <a:off x="0" y="0"/>
                      <a:ext cx="6427470" cy="1090930"/>
                    </a:xfrm>
                    <a:prstGeom prst="rect">
                      <a:avLst/>
                    </a:prstGeom>
                    <a:noFill/>
                  </pic:spPr>
                </pic:pic>
              </a:graphicData>
            </a:graphic>
          </wp:anchor>
        </w:drawing>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Future minimum lease payments under the noncancelable leases as of December 31, 2022 was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60" w:type="dxa"/>
            <w:vAlign w:val="bottom"/>
          </w:tcPr>
          <w:p>
            <w:pPr>
              <w:ind w:left="1860"/>
              <w:spacing w:after="0"/>
              <w:rPr>
                <w:sz w:val="20"/>
                <w:szCs w:val="20"/>
                <w:color w:val="auto"/>
              </w:rPr>
            </w:pPr>
            <w:r>
              <w:rPr>
                <w:rFonts w:ascii="Arial" w:cs="Arial" w:eastAsia="Arial" w:hAnsi="Arial"/>
                <w:sz w:val="16"/>
                <w:szCs w:val="16"/>
                <w:b w:val="1"/>
                <w:bCs w:val="1"/>
                <w:color w:val="auto"/>
              </w:rPr>
              <w:t>Year Ending December 31,</w:t>
            </w:r>
          </w:p>
        </w:tc>
        <w:tc>
          <w:tcPr>
            <w:tcW w:w="660" w:type="dxa"/>
            <w:vAlign w:val="bottom"/>
          </w:tcPr>
          <w:p>
            <w:pPr>
              <w:spacing w:after="0"/>
              <w:rPr>
                <w:sz w:val="16"/>
                <w:szCs w:val="16"/>
                <w:color w:val="auto"/>
              </w:rPr>
            </w:pPr>
          </w:p>
        </w:tc>
        <w:tc>
          <w:tcPr>
            <w:tcW w:w="2920" w:type="dxa"/>
            <w:vAlign w:val="bottom"/>
            <w:gridSpan w:val="2"/>
          </w:tcPr>
          <w:p>
            <w:pPr>
              <w:jc w:val="right"/>
              <w:ind w:right="1240"/>
              <w:spacing w:after="0"/>
              <w:rPr>
                <w:sz w:val="20"/>
                <w:szCs w:val="20"/>
                <w:color w:val="auto"/>
              </w:rPr>
            </w:pPr>
            <w:r>
              <w:rPr>
                <w:rFonts w:ascii="Arial" w:cs="Arial" w:eastAsia="Arial" w:hAnsi="Arial"/>
                <w:sz w:val="16"/>
                <w:szCs w:val="16"/>
                <w:b w:val="1"/>
                <w:bCs w:val="1"/>
                <w:color w:val="auto"/>
              </w:rPr>
              <w:t>Operating Lease</w:t>
            </w:r>
          </w:p>
        </w:tc>
      </w:tr>
      <w:tr>
        <w:trPr>
          <w:trHeight w:val="220"/>
        </w:trPr>
        <w:tc>
          <w:tcPr>
            <w:tcW w:w="6460" w:type="dxa"/>
            <w:vAlign w:val="bottom"/>
          </w:tcPr>
          <w:p>
            <w:pPr>
              <w:spacing w:after="0" w:line="220" w:lineRule="exact"/>
              <w:rPr>
                <w:sz w:val="20"/>
                <w:szCs w:val="20"/>
                <w:color w:val="auto"/>
              </w:rPr>
            </w:pPr>
            <w:r>
              <w:rPr>
                <w:rFonts w:ascii="Arial" w:cs="Arial" w:eastAsia="Arial" w:hAnsi="Arial"/>
                <w:sz w:val="20"/>
                <w:szCs w:val="20"/>
                <w:b w:val="1"/>
                <w:bCs w:val="1"/>
                <w:color w:val="auto"/>
              </w:rPr>
              <w:t>2023</w:t>
            </w:r>
          </w:p>
        </w:tc>
        <w:tc>
          <w:tcPr>
            <w:tcW w:w="660" w:type="dxa"/>
            <w:vAlign w:val="bottom"/>
            <w:tcBorders>
              <w:top w:val="single" w:sz="8" w:color="auto"/>
            </w:tcBorders>
          </w:tcPr>
          <w:p>
            <w:pPr>
              <w:jc w:val="right"/>
              <w:ind w:right="460"/>
              <w:spacing w:after="0" w:line="220" w:lineRule="exact"/>
              <w:rPr>
                <w:sz w:val="20"/>
                <w:szCs w:val="20"/>
                <w:color w:val="auto"/>
              </w:rPr>
            </w:pPr>
            <w:r>
              <w:rPr>
                <w:rFonts w:ascii="Arial" w:cs="Arial" w:eastAsia="Arial" w:hAnsi="Arial"/>
                <w:sz w:val="20"/>
                <w:szCs w:val="20"/>
                <w:b w:val="1"/>
                <w:bCs w:val="1"/>
                <w:color w:val="auto"/>
                <w:w w:val="71"/>
              </w:rPr>
              <w:t>$</w:t>
            </w:r>
          </w:p>
        </w:tc>
        <w:tc>
          <w:tcPr>
            <w:tcW w:w="28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1,731</w:t>
            </w:r>
          </w:p>
        </w:tc>
        <w:tc>
          <w:tcPr>
            <w:tcW w:w="60" w:type="dxa"/>
            <w:vAlign w:val="bottom"/>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b w:val="1"/>
                <w:bCs w:val="1"/>
                <w:color w:val="auto"/>
              </w:rPr>
              <w:t>2024</w:t>
            </w:r>
          </w:p>
        </w:tc>
        <w:tc>
          <w:tcPr>
            <w:tcW w:w="660" w:type="dxa"/>
            <w:vAlign w:val="bottom"/>
          </w:tcPr>
          <w:p>
            <w:pPr>
              <w:spacing w:after="0"/>
              <w:rPr>
                <w:sz w:val="20"/>
                <w:szCs w:val="20"/>
                <w:color w:val="auto"/>
              </w:rPr>
            </w:pPr>
          </w:p>
        </w:tc>
        <w:tc>
          <w:tcPr>
            <w:tcW w:w="2860" w:type="dxa"/>
            <w:vAlign w:val="bottom"/>
          </w:tcPr>
          <w:p>
            <w:pPr>
              <w:jc w:val="right"/>
              <w:spacing w:after="0"/>
              <w:rPr>
                <w:sz w:val="20"/>
                <w:szCs w:val="20"/>
                <w:color w:val="auto"/>
              </w:rPr>
            </w:pPr>
            <w:r>
              <w:rPr>
                <w:rFonts w:ascii="Arial" w:cs="Arial" w:eastAsia="Arial" w:hAnsi="Arial"/>
                <w:sz w:val="20"/>
                <w:szCs w:val="20"/>
                <w:b w:val="1"/>
                <w:bCs w:val="1"/>
                <w:color w:val="auto"/>
              </w:rPr>
              <w:t>1,521</w:t>
            </w:r>
          </w:p>
        </w:tc>
        <w:tc>
          <w:tcPr>
            <w:tcW w:w="60" w:type="dxa"/>
            <w:vAlign w:val="bottom"/>
          </w:tcPr>
          <w:p>
            <w:pPr>
              <w:spacing w:after="0"/>
              <w:rPr>
                <w:sz w:val="20"/>
                <w:szCs w:val="20"/>
                <w:color w:val="auto"/>
              </w:rPr>
            </w:pPr>
          </w:p>
        </w:tc>
      </w:tr>
      <w:tr>
        <w:trPr>
          <w:trHeight w:val="228"/>
        </w:trPr>
        <w:tc>
          <w:tcPr>
            <w:tcW w:w="6460" w:type="dxa"/>
            <w:vAlign w:val="bottom"/>
          </w:tcPr>
          <w:p>
            <w:pPr>
              <w:spacing w:after="0" w:line="228" w:lineRule="exact"/>
              <w:rPr>
                <w:sz w:val="20"/>
                <w:szCs w:val="20"/>
                <w:color w:val="auto"/>
              </w:rPr>
            </w:pPr>
            <w:r>
              <w:rPr>
                <w:rFonts w:ascii="Arial" w:cs="Arial" w:eastAsia="Arial" w:hAnsi="Arial"/>
                <w:sz w:val="20"/>
                <w:szCs w:val="20"/>
                <w:b w:val="1"/>
                <w:bCs w:val="1"/>
                <w:color w:val="auto"/>
              </w:rPr>
              <w:t>2025</w:t>
            </w:r>
          </w:p>
        </w:tc>
        <w:tc>
          <w:tcPr>
            <w:tcW w:w="660" w:type="dxa"/>
            <w:vAlign w:val="bottom"/>
          </w:tcPr>
          <w:p>
            <w:pPr>
              <w:spacing w:after="0"/>
              <w:rPr>
                <w:sz w:val="19"/>
                <w:szCs w:val="19"/>
                <w:color w:val="auto"/>
              </w:rPr>
            </w:pPr>
          </w:p>
        </w:tc>
        <w:tc>
          <w:tcPr>
            <w:tcW w:w="28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430</w:t>
            </w:r>
          </w:p>
        </w:tc>
        <w:tc>
          <w:tcPr>
            <w:tcW w:w="60" w:type="dxa"/>
            <w:vAlign w:val="bottom"/>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b w:val="1"/>
                <w:bCs w:val="1"/>
                <w:color w:val="auto"/>
              </w:rPr>
              <w:t>2026</w:t>
            </w:r>
          </w:p>
        </w:tc>
        <w:tc>
          <w:tcPr>
            <w:tcW w:w="6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328</w:t>
            </w:r>
          </w:p>
        </w:tc>
        <w:tc>
          <w:tcPr>
            <w:tcW w:w="60" w:type="dxa"/>
            <w:vAlign w:val="bottom"/>
          </w:tcPr>
          <w:p>
            <w:pPr>
              <w:spacing w:after="0"/>
              <w:rPr>
                <w:sz w:val="20"/>
                <w:szCs w:val="20"/>
                <w:color w:val="auto"/>
              </w:rPr>
            </w:pPr>
          </w:p>
        </w:tc>
      </w:tr>
      <w:tr>
        <w:trPr>
          <w:trHeight w:val="220"/>
        </w:trPr>
        <w:tc>
          <w:tcPr>
            <w:tcW w:w="6460" w:type="dxa"/>
            <w:vAlign w:val="bottom"/>
          </w:tcPr>
          <w:p>
            <w:pPr>
              <w:spacing w:after="0" w:line="220" w:lineRule="exact"/>
              <w:rPr>
                <w:sz w:val="20"/>
                <w:szCs w:val="20"/>
                <w:color w:val="auto"/>
              </w:rPr>
            </w:pPr>
            <w:r>
              <w:rPr>
                <w:rFonts w:ascii="Arial" w:cs="Arial" w:eastAsia="Arial" w:hAnsi="Arial"/>
                <w:sz w:val="20"/>
                <w:szCs w:val="20"/>
                <w:b w:val="1"/>
                <w:bCs w:val="1"/>
                <w:color w:val="auto"/>
              </w:rPr>
              <w:t>Total lease payments</w:t>
            </w:r>
          </w:p>
        </w:tc>
        <w:tc>
          <w:tcPr>
            <w:tcW w:w="660" w:type="dxa"/>
            <w:vAlign w:val="bottom"/>
          </w:tcPr>
          <w:p>
            <w:pPr>
              <w:spacing w:after="0"/>
              <w:rPr>
                <w:sz w:val="19"/>
                <w:szCs w:val="19"/>
                <w:color w:val="auto"/>
              </w:rPr>
            </w:pPr>
          </w:p>
        </w:tc>
        <w:tc>
          <w:tcPr>
            <w:tcW w:w="28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4,010</w:t>
            </w:r>
          </w:p>
        </w:tc>
        <w:tc>
          <w:tcPr>
            <w:tcW w:w="60" w:type="dxa"/>
            <w:vAlign w:val="bottom"/>
          </w:tcPr>
          <w:p>
            <w:pPr>
              <w:spacing w:after="0"/>
              <w:rPr>
                <w:sz w:val="19"/>
                <w:szCs w:val="19"/>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20"/>
                <w:szCs w:val="20"/>
                <w:b w:val="1"/>
                <w:bCs w:val="1"/>
                <w:color w:val="auto"/>
              </w:rPr>
              <w:t>Present value adjustment</w:t>
            </w:r>
          </w:p>
        </w:tc>
        <w:tc>
          <w:tcPr>
            <w:tcW w:w="660" w:type="dxa"/>
            <w:vAlign w:val="bottom"/>
          </w:tcPr>
          <w:p>
            <w:pPr>
              <w:spacing w:after="0"/>
              <w:rPr>
                <w:sz w:val="20"/>
                <w:szCs w:val="20"/>
                <w:color w:val="auto"/>
              </w:rPr>
            </w:pPr>
          </w:p>
        </w:tc>
        <w:tc>
          <w:tcPr>
            <w:tcW w:w="2920" w:type="dxa"/>
            <w:vAlign w:val="bottom"/>
            <w:gridSpan w:val="2"/>
          </w:tcPr>
          <w:p>
            <w:pPr>
              <w:jc w:val="right"/>
              <w:spacing w:after="0"/>
              <w:rPr>
                <w:sz w:val="20"/>
                <w:szCs w:val="20"/>
                <w:color w:val="auto"/>
              </w:rPr>
            </w:pPr>
            <w:r>
              <w:rPr>
                <w:rFonts w:ascii="Arial" w:cs="Arial" w:eastAsia="Arial" w:hAnsi="Arial"/>
                <w:sz w:val="20"/>
                <w:szCs w:val="20"/>
                <w:b w:val="1"/>
                <w:bCs w:val="1"/>
                <w:color w:val="auto"/>
              </w:rPr>
              <w:t>(286)</w:t>
            </w:r>
          </w:p>
        </w:tc>
      </w:tr>
      <w:tr>
        <w:trPr>
          <w:trHeight w:val="220"/>
        </w:trPr>
        <w:tc>
          <w:tcPr>
            <w:tcW w:w="6460" w:type="dxa"/>
            <w:vAlign w:val="bottom"/>
          </w:tcPr>
          <w:p>
            <w:pPr>
              <w:spacing w:after="0" w:line="220" w:lineRule="exact"/>
              <w:rPr>
                <w:sz w:val="20"/>
                <w:szCs w:val="20"/>
                <w:color w:val="auto"/>
              </w:rPr>
            </w:pPr>
            <w:r>
              <w:rPr>
                <w:rFonts w:ascii="Arial" w:cs="Arial" w:eastAsia="Arial" w:hAnsi="Arial"/>
                <w:sz w:val="20"/>
                <w:szCs w:val="20"/>
                <w:b w:val="1"/>
                <w:bCs w:val="1"/>
                <w:color w:val="auto"/>
              </w:rPr>
              <w:t>Present value of operating lease liability</w:t>
            </w:r>
          </w:p>
        </w:tc>
        <w:tc>
          <w:tcPr>
            <w:tcW w:w="660" w:type="dxa"/>
            <w:vAlign w:val="bottom"/>
            <w:tcBorders>
              <w:top w:val="single" w:sz="8" w:color="auto"/>
            </w:tcBorders>
          </w:tcPr>
          <w:p>
            <w:pPr>
              <w:jc w:val="right"/>
              <w:ind w:right="460"/>
              <w:spacing w:after="0" w:line="220" w:lineRule="exact"/>
              <w:rPr>
                <w:sz w:val="20"/>
                <w:szCs w:val="20"/>
                <w:color w:val="auto"/>
              </w:rPr>
            </w:pPr>
            <w:r>
              <w:rPr>
                <w:rFonts w:ascii="Arial" w:cs="Arial" w:eastAsia="Arial" w:hAnsi="Arial"/>
                <w:sz w:val="20"/>
                <w:szCs w:val="20"/>
                <w:b w:val="1"/>
                <w:bCs w:val="1"/>
                <w:color w:val="auto"/>
                <w:w w:val="71"/>
              </w:rPr>
              <w:t>$</w:t>
            </w:r>
          </w:p>
        </w:tc>
        <w:tc>
          <w:tcPr>
            <w:tcW w:w="28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3,724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-1053465</wp:posOffset>
            </wp:positionV>
            <wp:extent cx="6427470" cy="10966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17">
                      <a:extLst>
                        <a:ext uri="{28A0092B-C50C-407E-A947-70E740481C1C}"/>
                      </a:extLst>
                    </a:blip>
                    <a:srcRect/>
                    <a:stretch>
                      <a:fillRect/>
                    </a:stretch>
                  </pic:blipFill>
                  <pic:spPr bwMode="auto">
                    <a:xfrm>
                      <a:off x="0" y="0"/>
                      <a:ext cx="6427470" cy="1096645"/>
                    </a:xfrm>
                    <a:prstGeom prst="rect">
                      <a:avLst/>
                    </a:prstGeom>
                    <a:noFill/>
                  </pic:spPr>
                </pic:pic>
              </a:graphicData>
            </a:graphic>
          </wp:anchor>
        </w:drawing>
      </w:r>
    </w:p>
    <w:p>
      <w:pPr>
        <w:spacing w:after="0" w:line="277"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As of December 31, 2022, the Company’s operating lease was measured using a weighted-average incremental borrowing rate of 6.0% over a weighted-average remaining lease term of 2.6 years.</w:t>
      </w:r>
    </w:p>
    <w:p>
      <w:pPr>
        <w:spacing w:after="0" w:line="132" w:lineRule="exact"/>
        <w:rPr>
          <w:sz w:val="20"/>
          <w:szCs w:val="20"/>
          <w:color w:val="auto"/>
        </w:rPr>
      </w:pPr>
    </w:p>
    <w:p>
      <w:pPr>
        <w:jc w:val="both"/>
        <w:ind w:firstLine="490"/>
        <w:spacing w:after="0" w:line="274" w:lineRule="auto"/>
        <w:rPr>
          <w:sz w:val="20"/>
          <w:szCs w:val="20"/>
          <w:color w:val="auto"/>
        </w:rPr>
      </w:pPr>
      <w:r>
        <w:rPr>
          <w:rFonts w:ascii="Arial" w:cs="Arial" w:eastAsia="Arial" w:hAnsi="Arial"/>
          <w:sz w:val="18"/>
          <w:szCs w:val="18"/>
          <w:b w:val="1"/>
          <w:bCs w:val="1"/>
          <w:color w:val="auto"/>
        </w:rPr>
        <w:t>The total operating liability is presented on the Company’s condensed consolidated balance sheet based on maturity dates. $1.5 million of the total operating liability is classified under "operating lease liability, current” for the portion due within twelve months, and $2.2 million is classified under "operating lease liability, non-current”.</w:t>
      </w:r>
    </w:p>
    <w:p>
      <w:pPr>
        <w:spacing w:after="0" w:line="33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License Agreements</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Company has entered into license agreements with Adimab and WuXi Biologics (see Note 7).</w:t>
      </w:r>
    </w:p>
    <w:p>
      <w:pPr>
        <w:spacing w:after="0" w:line="35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Other Agreements</w:t>
      </w:r>
    </w:p>
    <w:p>
      <w:pPr>
        <w:spacing w:after="0" w:line="131" w:lineRule="exact"/>
        <w:rPr>
          <w:sz w:val="20"/>
          <w:szCs w:val="20"/>
          <w:color w:val="auto"/>
        </w:rPr>
      </w:pPr>
    </w:p>
    <w:p>
      <w:pPr>
        <w:jc w:val="both"/>
        <w:ind w:firstLine="490"/>
        <w:spacing w:after="0" w:line="285" w:lineRule="auto"/>
        <w:rPr>
          <w:sz w:val="20"/>
          <w:szCs w:val="20"/>
          <w:color w:val="auto"/>
        </w:rPr>
      </w:pPr>
      <w:r>
        <w:rPr>
          <w:rFonts w:ascii="Arial" w:cs="Arial" w:eastAsia="Arial" w:hAnsi="Arial"/>
          <w:sz w:val="17"/>
          <w:szCs w:val="17"/>
          <w:b w:val="1"/>
          <w:bCs w:val="1"/>
          <w:color w:val="auto"/>
        </w:rPr>
        <w:t>In November 2022, the Company entered into the PHP MSA (see Note 8). Concurrently with the PHP MSA, the Company entered into the PHP Work Order, pursuant to which PHP agreed to advise and counsel the Company regarding clinical development and regulatory matters with respect to its product candidates. The PHP Work Order is effective for six months from November 2022 and may be extended by written agreement of the Company and PHP. As compensation for the services and deliverables under the PHP Work Order, the Company is obligated to pay PHP a cash fee of $0.5 million per month during the term of the PHP Work Order for an Aggregate Fee of $3.0 million. In the event that (i) the Company terminates the PHP Work Order for any reason other than material breach by PHP or (ii) PHP terminates the PHP Work Order due to material breach by the Company, in each case, pursuant to the terms of the PHP MSA, the Company would be required to pay PHP the balance of the Aggregate Fee as of the date the PHP Work Order is terminated. The cash fee is subject to change if the parties extend the term of the PHP Work Order in accordance with the terms thereof.</w:t>
      </w:r>
    </w:p>
    <w:p>
      <w:pPr>
        <w:spacing w:after="0" w:line="32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Clinical and Manufacturing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F-23</w:t>
      </w:r>
    </w:p>
    <w:p>
      <w:pPr>
        <w:sectPr>
          <w:pgSz w:w="12240" w:h="15840" w:orient="portrait"/>
          <w:cols w:equalWidth="0" w:num="1">
            <w:col w:w="10080"/>
          </w:cols>
          <w:pgMar w:left="1080" w:top="1089" w:right="1080" w:bottom="157" w:gutter="0" w:footer="0" w:header="0"/>
        </w:sectPr>
      </w:pPr>
    </w:p>
    <w:bookmarkStart w:id="143" w:name="page144"/>
    <w:bookmarkEnd w:id="143"/>
    <w:p>
      <w:pPr>
        <w:jc w:val="both"/>
        <w:ind w:firstLine="490"/>
        <w:spacing w:after="0" w:line="273" w:lineRule="auto"/>
        <w:rPr>
          <w:sz w:val="20"/>
          <w:szCs w:val="20"/>
          <w:color w:val="auto"/>
        </w:rPr>
      </w:pPr>
      <w:r>
        <w:rPr>
          <w:rFonts w:ascii="Arial" w:cs="Arial" w:eastAsia="Arial" w:hAnsi="Arial"/>
          <w:sz w:val="18"/>
          <w:szCs w:val="18"/>
          <w:b w:val="1"/>
          <w:bCs w:val="1"/>
          <w:color w:val="auto"/>
        </w:rPr>
        <w:t>In July 2020, the Company entered into a Clinical Master Services Agreement with WuXi Biologics (the “Clinical Master Services Agreement”). The Clinical Master Services Agreement outlines the terms and conditions under which WuXi Biologics coordinates biologics development and clinical manufacturing services for the Company.</w:t>
      </w:r>
    </w:p>
    <w:p>
      <w:pPr>
        <w:spacing w:after="0" w:line="103"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In December 2020, the Company entered into a Commercial Manufacturing Services Agreement with WuXi Biologics, which was amended and restated in August 2021 (as amended and restated, the “Commercial Manufacturing Agreement”). The Commercial Manufacturing Agreement outlines the terms and conditions under which WuXi Biologics manufactures drug substance and drug product for commercial use.</w:t>
      </w:r>
    </w:p>
    <w:p>
      <w:pPr>
        <w:spacing w:after="0" w:line="120" w:lineRule="exact"/>
        <w:rPr>
          <w:sz w:val="20"/>
          <w:szCs w:val="20"/>
          <w:color w:val="auto"/>
        </w:rPr>
      </w:pPr>
    </w:p>
    <w:p>
      <w:pPr>
        <w:jc w:val="both"/>
        <w:ind w:firstLine="490"/>
        <w:spacing w:after="0" w:line="351" w:lineRule="auto"/>
        <w:rPr>
          <w:sz w:val="20"/>
          <w:szCs w:val="20"/>
          <w:color w:val="auto"/>
        </w:rPr>
      </w:pPr>
      <w:r>
        <w:rPr>
          <w:rFonts w:ascii="Arial" w:cs="Arial" w:eastAsia="Arial" w:hAnsi="Arial"/>
          <w:sz w:val="15"/>
          <w:szCs w:val="15"/>
          <w:b w:val="1"/>
          <w:bCs w:val="1"/>
          <w:color w:val="auto"/>
        </w:rPr>
        <w:t>The Company committed to minimum noncancelable purchase obligations related to batches of adintrevimab drug substance and certain services with respect to the product requirements for 2022 and 2023 and batches of adintrevimab drug product and certain services with respect to the product requirements for 2022, the payments for which will extend into 2023.</w:t>
      </w:r>
    </w:p>
    <w:p>
      <w:pPr>
        <w:spacing w:after="0" w:line="52"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In April 2022, the total volume of contractually binding drug substance and drug product batches to be manufactured under the Commercial Manufacturing Agreement was reduced to $51.6 million, a decrease of $107.8 million from the previous commitment of minimum non-cancelable purchase obligations of $159.4 million. In addition, WuXi Biologics agreed to provide the Company with a credit in the low eight-figures to offset future services rendered by WuXi.</w:t>
      </w:r>
    </w:p>
    <w:p>
      <w:pPr>
        <w:spacing w:after="0" w:line="88"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In July 2022, the Company provided notice to WuXi Biologics to cancel the contractually binding adintrevimab drug product batches.</w:t>
      </w:r>
    </w:p>
    <w:p>
      <w:pPr>
        <w:spacing w:after="0" w:line="132"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November 2022, WuXi Biologics reassigned the remaining contractually binding adintrevimab drug substance batches under the Commercial Manufacturing Agreement to contractually binding NVD200 drug substance batches under its Clinical Master Services Agreement. As of December 31, 2022, the total remaining cost of contractually binding NVD200 drug substance batches to be manufactured under the Clinical Master Services Agreement is $18.1 million, which is expected to be incurred and paid in 2023.</w:t>
      </w:r>
    </w:p>
    <w:p>
      <w:pPr>
        <w:spacing w:after="0" w:line="12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In March 2023, the remaining contractually binding batches were repurposed, and the related services now relate to manufacturing of VYD222.</w:t>
      </w:r>
    </w:p>
    <w:p>
      <w:pPr>
        <w:spacing w:after="0" w:line="132"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8"/>
          <w:szCs w:val="18"/>
          <w:b w:val="1"/>
          <w:bCs w:val="1"/>
          <w:color w:val="auto"/>
        </w:rPr>
        <w:t>During the year ended December 31, 2022, the majority of the low eight-figure credit was applied to WuXi Biologics services as a reduction of research and development expenses and a reduction of accounts payable and accrued expenses. The remaining portion of the credit is expected to be utilized during the first quarter of 2023.</w:t>
      </w:r>
    </w:p>
    <w:p>
      <w:pPr>
        <w:spacing w:after="0" w:line="103"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327"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Other Contracts</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December 31, 2022 and 2021.</w:t>
      </w:r>
    </w:p>
    <w:p>
      <w:pPr>
        <w:spacing w:after="0" w:line="33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Legal Proceedings</w:t>
      </w:r>
    </w:p>
    <w:p>
      <w:pPr>
        <w:spacing w:after="0" w:line="131"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2022 and 2021, the Company was not a party to any material legal proceedings.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F-24</w:t>
      </w:r>
    </w:p>
    <w:p>
      <w:pPr>
        <w:sectPr>
          <w:pgSz w:w="12240" w:h="15840" w:orient="portrait"/>
          <w:cols w:equalWidth="0" w:num="1">
            <w:col w:w="10080"/>
          </w:cols>
          <w:pgMar w:left="1080" w:top="1089" w:right="1080" w:bottom="157" w:gutter="0" w:footer="0" w:header="0"/>
        </w:sectPr>
      </w:pPr>
    </w:p>
    <w:bookmarkStart w:id="144" w:name="page145"/>
    <w:bookmarkEnd w:id="144"/>
    <w:p>
      <w:pPr>
        <w:jc w:val="both"/>
        <w:ind w:firstLine="490"/>
        <w:spacing w:after="0" w:line="252" w:lineRule="auto"/>
        <w:rPr>
          <w:sz w:val="20"/>
          <w:szCs w:val="20"/>
          <w:color w:val="auto"/>
        </w:rPr>
      </w:pPr>
      <w:r>
        <w:rPr>
          <w:rFonts w:ascii="Arial" w:cs="Arial" w:eastAsia="Arial" w:hAnsi="Arial"/>
          <w:sz w:val="19"/>
          <w:szCs w:val="19"/>
          <w:b w:val="1"/>
          <w:bCs w:val="1"/>
          <w:color w:val="auto"/>
        </w:rPr>
        <w:t>On January 31, 2023, a securities class action lawsuit captioned Brill v. Invivyd, Inc., et. al., Case No. 1:23-CV-10254-LTS, was filed against the Company and certain of its former officers in the U.S. District Court for the District of Massachusetts. The complaint alleges violations of Sections 10(b) and 20(a) of the Exchange Act and Rule 10b-5 promulgated thereunder on the basis of purportedly materially false and misleading statements and omissions concerning ADG20’s effectiveness against the Omicron variant of COVID-19. The complaint seeks, among other things, unspecified damages, attorneys’ fees, expert fees, and other costs.</w:t>
      </w:r>
    </w:p>
    <w:p>
      <w:pPr>
        <w:spacing w:after="0" w:line="124"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The Company believes that is has strong defenses and it intends to vigorously defend against this action. The lawsuit is in early stages, and, at this time, no assessment can be made as to the likely outcome or whether the outcome will be material to the Company.</w:t>
      </w:r>
    </w:p>
    <w:p>
      <w:pPr>
        <w:spacing w:after="0" w:line="133"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Additionally, the Company received a request from the SEC, dated March 22, 2023, for documents and information concerning, among other matters, the Company’s testing and analysis of the efficacy of ADG20 against Omicron and other COVID-19 variants, its public statements regarding the potential use of ADG20 against the Omicron variant, and related communications with investors and the media. The Company intends to cooperate fully with this fact-finding inquiry.</w:t>
      </w:r>
    </w:p>
    <w:p>
      <w:pPr>
        <w:spacing w:after="0" w:line="3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Indemnification Agreements</w:t>
      </w:r>
    </w:p>
    <w:p>
      <w:pPr>
        <w:spacing w:after="0" w:line="128" w:lineRule="exact"/>
        <w:rPr>
          <w:sz w:val="20"/>
          <w:szCs w:val="20"/>
          <w:color w:val="auto"/>
        </w:rPr>
      </w:pPr>
    </w:p>
    <w:p>
      <w:pPr>
        <w:jc w:val="both"/>
        <w:ind w:firstLine="490"/>
        <w:spacing w:after="0" w:line="286" w:lineRule="auto"/>
        <w:rPr>
          <w:sz w:val="20"/>
          <w:szCs w:val="20"/>
          <w:color w:val="auto"/>
        </w:rPr>
      </w:pPr>
      <w:r>
        <w:rPr>
          <w:rFonts w:ascii="Arial" w:cs="Arial" w:eastAsia="Arial" w:hAnsi="Arial"/>
          <w:sz w:val="17"/>
          <w:szCs w:val="17"/>
          <w:b w:val="1"/>
          <w:bCs w:val="1"/>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Convertible Preferred Stock</w:t>
      </w:r>
    </w:p>
    <w:p>
      <w:pPr>
        <w:spacing w:after="0" w:line="131"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spacing w:after="0" w:line="133"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7).</w:t>
      </w:r>
    </w:p>
    <w:p>
      <w:pPr>
        <w:spacing w:after="0" w:line="131"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In October and November 2020, the Company issued and sold 1,410,434 shares of Series B Preferred Stock, at a price of $56.72 per share, for gross proceeds of $80.0 million and incurred $0.2 million of issuance costs. Adimab, a related party, participated in the Series B Preferred Stock financing by purchasing 44,076 shares of Series B Preferred Stock for an aggregate purchase price of $2.5 million.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70"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In April 2021, the Company issued and sold 4,296,550 shares of its Series C Preferred Stock, at a price of $78.08578 per share, for aggregate gross proceeds of $335.5 million and incurred $0.3 million of issuance costs. Adimab, a related party, participated in the Series C Preferred Stock financing by purchasing 128,064 shares of Series C Preferred Stock for an aggregate purchase price of $10.0 million.</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terms of the Series C Preferred Stock were substantially the same as the terms of the Series A Preferred Stock and Series B Preferred Stock, except that the original issue price per share and the conversion price per share of the Series C Preferred Stock is $78.08578.</w:t>
      </w:r>
    </w:p>
    <w:p>
      <w:pPr>
        <w:spacing w:after="0" w:line="133"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In July 2021, the Company filed an amended and restated certificate of incorporation, which increased the Company’s authority to issue (i) 150,000,000 shares of common stock and (ii) 16,944,484 shares of Preferred Stock. In August 2021, in connection with the closing of the IPO, the Company filed an amended and restated certificate of incorporation to, among other things: (i) increase the number of authorized shares of common stock from 150,000,000 shares to 1,000,000,000 shares, (ii) eliminate all references to the previously existing series of convertible preferred stock and (iii) authorize 10,000,000 shares of undesignated preferred stock that may be issued from time to time by the Company’s board of directors in one or more series.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F-25</w:t>
      </w:r>
    </w:p>
    <w:p>
      <w:pPr>
        <w:sectPr>
          <w:pgSz w:w="12240" w:h="15840" w:orient="portrait"/>
          <w:cols w:equalWidth="0" w:num="1">
            <w:col w:w="10080"/>
          </w:cols>
          <w:pgMar w:left="1080" w:top="1089" w:right="1080" w:bottom="157" w:gutter="0" w:footer="0" w:header="0"/>
        </w:sectPr>
      </w:pPr>
    </w:p>
    <w:bookmarkStart w:id="145" w:name="page146"/>
    <w:bookmarkEnd w:id="145"/>
    <w:p>
      <w:pPr>
        <w:jc w:val="both"/>
        <w:ind w:firstLine="490"/>
        <w:spacing w:after="0" w:line="351" w:lineRule="auto"/>
        <w:rPr>
          <w:sz w:val="20"/>
          <w:szCs w:val="20"/>
          <w:color w:val="auto"/>
        </w:rPr>
      </w:pPr>
      <w:r>
        <w:rPr>
          <w:rFonts w:ascii="Arial" w:cs="Arial" w:eastAsia="Arial" w:hAnsi="Arial"/>
          <w:sz w:val="15"/>
          <w:szCs w:val="15"/>
          <w:b w:val="1"/>
          <w:bCs w:val="1"/>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5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Upon the closing of the Company’s IPO in August 2021, all shares of the Company’s convertible preferred stock then outstanding converted into 84,722,420 shares of common stock (see Note 11).</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Common Stock</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voting, dividend and liquidation rights of the holders of shares of the Company’s common stock were subject to and qualified by the rights, powers and preferences of the holders of the Preferred Stock set forth above and described in the Company’s final prospectus related to the IPO filed with the SEC pursuant to Rule 424(b)(4) under the Securities Act of 1933, as amended (the “Securities Act”) on August 6, 2021.</w:t>
      </w:r>
    </w:p>
    <w:p>
      <w:pPr>
        <w:spacing w:after="0" w:line="122"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2022 and 2021 the 21,250,000 shares of common stock repurchased from Adimab were retired and redesignated as authorized but unissued shares of the Company’s common stock. The fair value of the repurchased common stock was $0.004 per share, or $85,000 in the aggregate, as determined based on a third-party valuation (see Note 7).</w:t>
      </w:r>
    </w:p>
    <w:p>
      <w:pPr>
        <w:spacing w:after="0" w:line="70"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8"/>
          <w:szCs w:val="18"/>
          <w:b w:val="1"/>
          <w:bCs w:val="1"/>
          <w:color w:val="auto"/>
        </w:rPr>
        <w:t>In April 2021, the Company increased the number of shares of common stock authorized for issuance from 19,000,000 to 23,251,555 shares and increased the number of shares of preferred stock authorized for issuance from 12,647,934 to 16,944,484 shares, of which 4,296,550 shares were designated as Series C Preferred Stock.</w:t>
      </w:r>
    </w:p>
    <w:p>
      <w:pPr>
        <w:spacing w:after="0" w:line="103"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As described in Note 10 above, in July 2021, the Company filed an amended and restated certificate of incorporation, which increased the Company’s authority to issue 150,000,000 shares of common stock. In August 2021, in connection with the closing of the IPO, the Company filed an amended and restated certificate of incorporation to, among other things, increase the number of authorized shares of common stock from 150,000,000 shares to 1,000,000,000 shares.</w:t>
      </w:r>
    </w:p>
    <w:p>
      <w:pPr>
        <w:spacing w:after="0" w:line="9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As of December 31, 2022, the Company had reserved 44,164,654 shares of common stock for the exercise of outstanding stock options and the issuance of awards available for grant under the Company’s 2020 Equity Incentive Plan, 2021 Equity Incentive Plan and 2021 Employee Stock Purchase Plan (see Note 12).</w:t>
      </w:r>
    </w:p>
    <w:p>
      <w:pPr>
        <w:spacing w:after="0" w:line="35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Shelf Registration Statement</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September 2022, the Company filed a shelf registration statement on Form S-3 with the SEC (File No. 333-267643) and accompanying base prospectus, which was declared effective by the SEC on October 5, 2022, for the offer and sale of up to $400 million of the Company’s securities.</w:t>
      </w:r>
    </w:p>
    <w:p>
      <w:pPr>
        <w:spacing w:after="0" w:line="36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Treasury Stock</w:t>
      </w:r>
    </w:p>
    <w:p>
      <w:pPr>
        <w:spacing w:after="0" w:line="131"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In April and May 2021, the Company retired an aggregate of 22,600,000 shares of common stock held in treasury. Upon retirement, the shares were redesignated as authorized but unissued shares of the Company’s common stock.</w:t>
      </w:r>
    </w:p>
    <w:p>
      <w:pPr>
        <w:spacing w:after="0" w:line="73"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In November 2021, the Company repurchased 468,751 shares of unvested restricted common stock at the original purchase price upon a termination of service during the vesting period. As of December 31, 2021, the shares of common stock repurchased were recorded as treasury stock in the accompanying consolidated balance sheets and consolidated statements of convertible preferred stock and stockholders’ equity (deficit) as such shares were not retired. The fair value of the repurchased common stock was insignificant.</w:t>
      </w:r>
    </w:p>
    <w:p>
      <w:pPr>
        <w:spacing w:after="0" w:line="122"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In February and June 2022, the Company repurchased 1,158,089 and 992,648 shares of unvested restricted common stock, respectively, at the original purchase price upon a termination of service during the vesting period. The shares of common stock repurchased were recorded as treasury stock in the accompanying condensed consolidated balance sheets and consolidated statements of convertible preferred stock and stockholders’ equity (deficit) as such shares were not retired. The fair value of the repurchased common stock was insignificant.</w:t>
      </w:r>
    </w:p>
    <w:p>
      <w:pPr>
        <w:spacing w:after="0" w:line="105"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March and September 2022, the Company retired an aggregate of 1,626,840 and 992,648 shares of common stock, respectively, held in treasury. Upon retirement, the shares were redesignated as authorized but unissued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F-26</w:t>
      </w:r>
    </w:p>
    <w:p>
      <w:pPr>
        <w:sectPr>
          <w:pgSz w:w="12240" w:h="15840" w:orient="portrait"/>
          <w:cols w:equalWidth="0" w:num="1">
            <w:col w:w="10080"/>
          </w:cols>
          <w:pgMar w:left="1080" w:top="1089" w:right="1080" w:bottom="157" w:gutter="0" w:footer="0" w:header="0"/>
        </w:sectPr>
      </w:pPr>
    </w:p>
    <w:bookmarkStart w:id="146" w:name="page147"/>
    <w:bookmarkEnd w:id="146"/>
    <w:p>
      <w:pPr>
        <w:jc w:val="both"/>
        <w:ind w:firstLine="490"/>
        <w:spacing w:after="0" w:line="234" w:lineRule="auto"/>
        <w:rPr>
          <w:sz w:val="20"/>
          <w:szCs w:val="20"/>
          <w:color w:val="auto"/>
        </w:rPr>
      </w:pPr>
      <w:r>
        <w:rPr>
          <w:rFonts w:ascii="Arial" w:cs="Arial" w:eastAsia="Arial" w:hAnsi="Arial"/>
          <w:sz w:val="20"/>
          <w:szCs w:val="20"/>
          <w:b w:val="1"/>
          <w:bCs w:val="1"/>
          <w:color w:val="auto"/>
        </w:rPr>
        <w:t>In March 2023, the Company repurchased 206,802 shares of unvested restricted common stock at the original purchase price upon a termination of service during the vesting period.</w:t>
      </w:r>
    </w:p>
    <w:p>
      <w:pPr>
        <w:spacing w:after="0" w:line="35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Stock Split</w:t>
      </w:r>
    </w:p>
    <w:p>
      <w:pPr>
        <w:spacing w:after="0" w:line="131"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In July 2021, the Company effected a five-for-one stock split of its issued and outstanding shares of common stock and a proportional adjustment to the existing conversion ratios of each series of the Company’s preferred stock (see Note 10).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33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Initial Public Offering</w:t>
      </w:r>
    </w:p>
    <w:p>
      <w:pPr>
        <w:spacing w:after="0" w:line="131"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In August 2021, the Company completed its IPO, pursuant to which it issued and sold 20,930,000 shares of its common stock at an initial public offering price of $17.00 per share, including 2,730,000 shares of its common stock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of the shares of the Company’s convertible preferred stock then outstanding converted into 84,722,420 shares of common stock. Upon the conversion of the convertible preferred stock, the Company reclassified the carrying value of the convertible preferred stock to common stock (at par value) and additional paid-in capital.</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Stock-Based Compensation</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2020 Equity Incentive Plan</w:t>
      </w:r>
    </w:p>
    <w:p>
      <w:pPr>
        <w:spacing w:after="0" w:line="129" w:lineRule="exact"/>
        <w:rPr>
          <w:sz w:val="20"/>
          <w:szCs w:val="20"/>
          <w:color w:val="auto"/>
        </w:rPr>
      </w:pPr>
    </w:p>
    <w:p>
      <w:pPr>
        <w:jc w:val="both"/>
        <w:ind w:firstLine="490"/>
        <w:spacing w:after="0" w:line="333" w:lineRule="auto"/>
        <w:rPr>
          <w:sz w:val="20"/>
          <w:szCs w:val="20"/>
          <w:color w:val="auto"/>
        </w:rPr>
      </w:pPr>
      <w:r>
        <w:rPr>
          <w:rFonts w:ascii="Arial" w:cs="Arial" w:eastAsia="Arial" w:hAnsi="Arial"/>
          <w:sz w:val="15"/>
          <w:szCs w:val="15"/>
          <w:b w:val="1"/>
          <w:bCs w:val="1"/>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64" w:lineRule="exact"/>
        <w:rPr>
          <w:sz w:val="20"/>
          <w:szCs w:val="20"/>
          <w:color w:val="auto"/>
        </w:rPr>
      </w:pPr>
    </w:p>
    <w:p>
      <w:pPr>
        <w:jc w:val="both"/>
        <w:ind w:firstLine="490"/>
        <w:spacing w:after="0" w:line="326" w:lineRule="auto"/>
        <w:rPr>
          <w:sz w:val="20"/>
          <w:szCs w:val="20"/>
          <w:color w:val="auto"/>
        </w:rPr>
      </w:pPr>
      <w:r>
        <w:rPr>
          <w:rFonts w:ascii="Arial" w:cs="Arial" w:eastAsia="Arial" w:hAnsi="Arial"/>
          <w:sz w:val="15"/>
          <w:szCs w:val="15"/>
          <w:b w:val="1"/>
          <w:bCs w:val="1"/>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303"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As of December 31, 2022, there were 10,362,687 shares authorized to be issued upon the exercise of outstanding stock option grants and no shares reserved for future issuance under the 2020 Plan.</w:t>
      </w:r>
    </w:p>
    <w:p>
      <w:pPr>
        <w:spacing w:after="0" w:line="36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2021 Equity Incentive Plan</w:t>
      </w:r>
    </w:p>
    <w:p>
      <w:pPr>
        <w:spacing w:after="0" w:line="131" w:lineRule="exact"/>
        <w:rPr>
          <w:sz w:val="20"/>
          <w:szCs w:val="20"/>
          <w:color w:val="auto"/>
        </w:rPr>
      </w:pPr>
    </w:p>
    <w:p>
      <w:pPr>
        <w:jc w:val="both"/>
        <w:ind w:firstLine="490"/>
        <w:spacing w:after="0" w:line="327" w:lineRule="auto"/>
        <w:rPr>
          <w:sz w:val="20"/>
          <w:szCs w:val="20"/>
          <w:color w:val="auto"/>
        </w:rPr>
      </w:pPr>
      <w:r>
        <w:rPr>
          <w:rFonts w:ascii="Arial" w:cs="Arial" w:eastAsia="Arial" w:hAnsi="Arial"/>
          <w:sz w:val="15"/>
          <w:szCs w:val="15"/>
          <w:b w:val="1"/>
          <w:bCs w:val="1"/>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F-27</w:t>
      </w:r>
    </w:p>
    <w:p>
      <w:pPr>
        <w:sectPr>
          <w:pgSz w:w="12240" w:h="15840" w:orient="portrait"/>
          <w:cols w:equalWidth="0" w:num="1">
            <w:col w:w="10080"/>
          </w:cols>
          <w:pgMar w:left="1080" w:top="1089" w:right="1080" w:bottom="157" w:gutter="0" w:footer="0" w:header="0"/>
        </w:sectPr>
      </w:pPr>
    </w:p>
    <w:bookmarkStart w:id="147" w:name="page148"/>
    <w:bookmarkEnd w:id="147"/>
    <w:p>
      <w:pPr>
        <w:jc w:val="both"/>
        <w:spacing w:after="0" w:line="329" w:lineRule="auto"/>
        <w:rPr>
          <w:sz w:val="20"/>
          <w:szCs w:val="20"/>
          <w:color w:val="auto"/>
        </w:rPr>
      </w:pPr>
      <w:r>
        <w:rPr>
          <w:rFonts w:ascii="Arial" w:cs="Arial" w:eastAsia="Arial" w:hAnsi="Arial"/>
          <w:sz w:val="15"/>
          <w:szCs w:val="15"/>
          <w:b w:val="1"/>
          <w:bCs w:val="1"/>
          <w:color w:val="auto"/>
        </w:rPr>
        <w:t>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The number of shares to be issued under the 2021 Plan did not increase on January 1, 2023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67"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As of December 31, 2022, there were an aggregate of 42,935,402 shares authorized to be issued under the 2020 Plan and the 2021 Plan, which includes 10,362,687 and 12,876,704 shares authorized to be issued upon the exercise of outstanding stock option grants from the 2020 Plan and 2021 Plan, respectively, and 0 and 19,696,011 shares reserved for future issuance under the 2020 Plan and 2021 Plan, respectively.</w:t>
      </w:r>
    </w:p>
    <w:p>
      <w:pPr>
        <w:spacing w:after="0" w:line="35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Stock Option Valuation</w:t>
      </w:r>
    </w:p>
    <w:p>
      <w:pPr>
        <w:spacing w:after="0" w:line="131" w:lineRule="exact"/>
        <w:rPr>
          <w:sz w:val="20"/>
          <w:szCs w:val="20"/>
          <w:color w:val="auto"/>
        </w:rPr>
      </w:pPr>
    </w:p>
    <w:p>
      <w:pPr>
        <w:jc w:val="both"/>
        <w:ind w:firstLine="490"/>
        <w:spacing w:after="0" w:line="329" w:lineRule="auto"/>
        <w:rPr>
          <w:sz w:val="20"/>
          <w:szCs w:val="20"/>
          <w:color w:val="auto"/>
        </w:rPr>
      </w:pPr>
      <w:r>
        <w:rPr>
          <w:rFonts w:ascii="Arial" w:cs="Arial" w:eastAsia="Arial" w:hAnsi="Arial"/>
          <w:sz w:val="15"/>
          <w:szCs w:val="15"/>
          <w:b w:val="1"/>
          <w:bCs w:val="1"/>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297"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following table presents, on a weighted-average basis, the assumptions used in the Black-Scholes option-pricing model to determine the grant-date fair value of stock options granted: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84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16"/>
                <w:szCs w:val="16"/>
                <w:color w:val="auto"/>
              </w:rPr>
            </w:pPr>
          </w:p>
        </w:tc>
      </w:tr>
      <w:tr>
        <w:trPr>
          <w:trHeight w:val="220"/>
        </w:trPr>
        <w:tc>
          <w:tcPr>
            <w:tcW w:w="7800" w:type="dxa"/>
            <w:vAlign w:val="bottom"/>
            <w:gridSpan w:val="2"/>
          </w:tcPr>
          <w:p>
            <w:pPr>
              <w:spacing w:after="0" w:line="220" w:lineRule="exact"/>
              <w:rPr>
                <w:sz w:val="20"/>
                <w:szCs w:val="20"/>
                <w:color w:val="auto"/>
              </w:rPr>
            </w:pPr>
            <w:r>
              <w:rPr>
                <w:rFonts w:ascii="Arial" w:cs="Arial" w:eastAsia="Arial" w:hAnsi="Arial"/>
                <w:sz w:val="20"/>
                <w:szCs w:val="20"/>
                <w:b w:val="1"/>
                <w:bCs w:val="1"/>
                <w:color w:val="auto"/>
              </w:rPr>
              <w:t>Expected term (in years)</w:t>
            </w:r>
          </w:p>
        </w:tc>
        <w:tc>
          <w:tcPr>
            <w:tcW w:w="60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auto"/>
              </w:rPr>
              <w:t>6.0</w:t>
            </w:r>
          </w:p>
        </w:tc>
        <w:tc>
          <w:tcPr>
            <w:tcW w:w="1680" w:type="dxa"/>
            <w:vAlign w:val="bottom"/>
            <w:gridSpan w:val="3"/>
          </w:tcPr>
          <w:p>
            <w:pPr>
              <w:jc w:val="right"/>
              <w:ind w:right="160"/>
              <w:spacing w:after="0" w:line="220" w:lineRule="exact"/>
              <w:rPr>
                <w:sz w:val="20"/>
                <w:szCs w:val="20"/>
                <w:color w:val="auto"/>
              </w:rPr>
            </w:pPr>
            <w:r>
              <w:rPr>
                <w:rFonts w:ascii="Arial" w:cs="Arial" w:eastAsia="Arial" w:hAnsi="Arial"/>
                <w:sz w:val="20"/>
                <w:szCs w:val="20"/>
                <w:b w:val="1"/>
                <w:bCs w:val="1"/>
                <w:color w:val="auto"/>
              </w:rPr>
              <w:t>6.0</w:t>
            </w:r>
          </w:p>
        </w:tc>
      </w:tr>
      <w:tr>
        <w:trPr>
          <w:trHeight w:val="228"/>
        </w:trPr>
        <w:tc>
          <w:tcPr>
            <w:tcW w:w="780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Expected volatility</w:t>
            </w:r>
          </w:p>
        </w:tc>
        <w:tc>
          <w:tcPr>
            <w:tcW w:w="60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71.8%</w:t>
            </w:r>
          </w:p>
        </w:tc>
        <w:tc>
          <w:tcPr>
            <w:tcW w:w="1680" w:type="dxa"/>
            <w:vAlign w:val="bottom"/>
            <w:gridSpan w:val="3"/>
          </w:tcPr>
          <w:p>
            <w:pPr>
              <w:jc w:val="right"/>
              <w:spacing w:after="0" w:line="228" w:lineRule="exact"/>
              <w:rPr>
                <w:sz w:val="20"/>
                <w:szCs w:val="20"/>
                <w:color w:val="auto"/>
              </w:rPr>
            </w:pPr>
            <w:r>
              <w:rPr>
                <w:rFonts w:ascii="Arial" w:cs="Arial" w:eastAsia="Arial" w:hAnsi="Arial"/>
                <w:sz w:val="20"/>
                <w:szCs w:val="20"/>
                <w:b w:val="1"/>
                <w:bCs w:val="1"/>
                <w:color w:val="auto"/>
              </w:rPr>
              <w:t>73.3%</w:t>
            </w:r>
          </w:p>
        </w:tc>
      </w:tr>
      <w:tr>
        <w:trPr>
          <w:trHeight w:val="230"/>
        </w:trPr>
        <w:tc>
          <w:tcPr>
            <w:tcW w:w="7800" w:type="dxa"/>
            <w:vAlign w:val="bottom"/>
            <w:gridSpan w:val="2"/>
          </w:tcPr>
          <w:p>
            <w:pPr>
              <w:spacing w:after="0"/>
              <w:rPr>
                <w:sz w:val="20"/>
                <w:szCs w:val="20"/>
                <w:color w:val="auto"/>
              </w:rPr>
            </w:pPr>
            <w:r>
              <w:rPr>
                <w:rFonts w:ascii="Arial" w:cs="Arial" w:eastAsia="Arial" w:hAnsi="Arial"/>
                <w:sz w:val="20"/>
                <w:szCs w:val="20"/>
                <w:b w:val="1"/>
                <w:bCs w:val="1"/>
                <w:color w:val="auto"/>
              </w:rPr>
              <w:t>Risk-free interest rate</w:t>
            </w:r>
          </w:p>
        </w:tc>
        <w:tc>
          <w:tcPr>
            <w:tcW w:w="600" w:type="dxa"/>
            <w:vAlign w:val="bottom"/>
            <w:gridSpan w:val="2"/>
          </w:tcPr>
          <w:p>
            <w:pPr>
              <w:jc w:val="right"/>
              <w:spacing w:after="0"/>
              <w:rPr>
                <w:sz w:val="20"/>
                <w:szCs w:val="20"/>
                <w:color w:val="auto"/>
              </w:rPr>
            </w:pPr>
            <w:r>
              <w:rPr>
                <w:rFonts w:ascii="Arial" w:cs="Arial" w:eastAsia="Arial" w:hAnsi="Arial"/>
                <w:sz w:val="20"/>
                <w:szCs w:val="20"/>
                <w:b w:val="1"/>
                <w:bCs w:val="1"/>
                <w:color w:val="auto"/>
              </w:rPr>
              <w:t>2.7%</w:t>
            </w:r>
          </w:p>
        </w:tc>
        <w:tc>
          <w:tcPr>
            <w:tcW w:w="1680" w:type="dxa"/>
            <w:vAlign w:val="bottom"/>
            <w:gridSpan w:val="3"/>
          </w:tcPr>
          <w:p>
            <w:pPr>
              <w:jc w:val="right"/>
              <w:spacing w:after="0"/>
              <w:rPr>
                <w:sz w:val="20"/>
                <w:szCs w:val="20"/>
                <w:color w:val="auto"/>
              </w:rPr>
            </w:pPr>
            <w:r>
              <w:rPr>
                <w:rFonts w:ascii="Arial" w:cs="Arial" w:eastAsia="Arial" w:hAnsi="Arial"/>
                <w:sz w:val="20"/>
                <w:szCs w:val="20"/>
                <w:b w:val="1"/>
                <w:bCs w:val="1"/>
                <w:color w:val="auto"/>
              </w:rPr>
              <w:t>1.0%</w:t>
            </w:r>
          </w:p>
        </w:tc>
      </w:tr>
      <w:tr>
        <w:trPr>
          <w:trHeight w:val="230"/>
        </w:trPr>
        <w:tc>
          <w:tcPr>
            <w:tcW w:w="7800" w:type="dxa"/>
            <w:vAlign w:val="bottom"/>
            <w:gridSpan w:val="2"/>
          </w:tcPr>
          <w:p>
            <w:pPr>
              <w:spacing w:after="0"/>
              <w:rPr>
                <w:sz w:val="20"/>
                <w:szCs w:val="20"/>
                <w:color w:val="auto"/>
              </w:rPr>
            </w:pPr>
            <w:r>
              <w:rPr>
                <w:rFonts w:ascii="Arial" w:cs="Arial" w:eastAsia="Arial" w:hAnsi="Arial"/>
                <w:sz w:val="20"/>
                <w:szCs w:val="20"/>
                <w:b w:val="1"/>
                <w:bCs w:val="1"/>
                <w:color w:val="auto"/>
              </w:rPr>
              <w:t>Expected dividend yield</w:t>
            </w:r>
          </w:p>
        </w:tc>
        <w:tc>
          <w:tcPr>
            <w:tcW w:w="6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-602615</wp:posOffset>
            </wp:positionV>
            <wp:extent cx="6427470" cy="6184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18">
                      <a:extLst>
                        <a:ext uri="{28A0092B-C50C-407E-A947-70E740481C1C}"/>
                      </a:extLst>
                    </a:blip>
                    <a:srcRect/>
                    <a:stretch>
                      <a:fillRect/>
                    </a:stretch>
                  </pic:blipFill>
                  <pic:spPr bwMode="auto">
                    <a:xfrm>
                      <a:off x="0" y="0"/>
                      <a:ext cx="6427470" cy="618490"/>
                    </a:xfrm>
                    <a:prstGeom prst="rect">
                      <a:avLst/>
                    </a:prstGeom>
                    <a:noFill/>
                  </pic:spPr>
                </pic:pic>
              </a:graphicData>
            </a:graphic>
          </wp:anchor>
        </w:drawing>
      </w:r>
    </w:p>
    <w:p>
      <w:pPr>
        <w:spacing w:after="0" w:line="376"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Stock Option Activity</w:t>
      </w:r>
    </w:p>
    <w:p>
      <w:pPr>
        <w:spacing w:after="0" w:line="12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following table summarizes the Company’s stock option activity since December 31, 2021:</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5"/>
        </w:trPr>
        <w:tc>
          <w:tcPr>
            <w:tcW w:w="5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47"/>
              <w:spacing w:after="0"/>
              <w:rPr>
                <w:sz w:val="20"/>
                <w:szCs w:val="20"/>
                <w:color w:val="auto"/>
              </w:rPr>
            </w:pPr>
            <w:r>
              <w:rPr>
                <w:rFonts w:ascii="Arial" w:cs="Arial" w:eastAsia="Arial" w:hAnsi="Arial"/>
                <w:sz w:val="16"/>
                <w:szCs w:val="16"/>
                <w:b w:val="1"/>
                <w:bCs w:val="1"/>
                <w:color w:val="auto"/>
                <w:w w:val="90"/>
              </w:rPr>
              <w:t>Weighted-</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2"/>
        </w:trPr>
        <w:tc>
          <w:tcPr>
            <w:tcW w:w="5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47"/>
              <w:spacing w:after="0" w:line="182" w:lineRule="exact"/>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0"/>
              </w:rPr>
              <w:t>Remaining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29"/>
              <w:spacing w:after="0" w:line="182" w:lineRule="exact"/>
              <w:rPr>
                <w:sz w:val="20"/>
                <w:szCs w:val="20"/>
                <w:color w:val="auto"/>
              </w:rPr>
            </w:pPr>
            <w:r>
              <w:rPr>
                <w:rFonts w:ascii="Arial" w:cs="Arial" w:eastAsia="Arial" w:hAnsi="Arial"/>
                <w:sz w:val="16"/>
                <w:szCs w:val="16"/>
                <w:b w:val="1"/>
                <w:bCs w:val="1"/>
                <w:color w:val="auto"/>
                <w:w w:val="88"/>
              </w:rPr>
              <w:t>Aggregate</w:t>
            </w:r>
          </w:p>
        </w:tc>
      </w:tr>
      <w:tr>
        <w:trPr>
          <w:trHeight w:val="185"/>
        </w:trPr>
        <w:tc>
          <w:tcPr>
            <w:tcW w:w="5160" w:type="dxa"/>
            <w:vAlign w:val="bottom"/>
          </w:tcPr>
          <w:p>
            <w:pPr>
              <w:spacing w:after="0"/>
              <w:rPr>
                <w:sz w:val="16"/>
                <w:szCs w:val="16"/>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880" w:type="dxa"/>
            <w:vAlign w:val="bottom"/>
          </w:tcPr>
          <w:p>
            <w:pPr>
              <w:jc w:val="center"/>
              <w:ind w:right="47"/>
              <w:spacing w:after="0"/>
              <w:rPr>
                <w:sz w:val="20"/>
                <w:szCs w:val="20"/>
                <w:color w:val="auto"/>
              </w:rPr>
            </w:pPr>
            <w:r>
              <w:rPr>
                <w:rFonts w:ascii="Arial" w:cs="Arial" w:eastAsia="Arial" w:hAnsi="Arial"/>
                <w:sz w:val="16"/>
                <w:szCs w:val="16"/>
                <w:b w:val="1"/>
                <w:bCs w:val="1"/>
                <w:color w:val="auto"/>
                <w:w w:val="88"/>
              </w:rPr>
              <w:t>Exercise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29"/>
              <w:spacing w:after="0"/>
              <w:rPr>
                <w:sz w:val="20"/>
                <w:szCs w:val="20"/>
                <w:color w:val="auto"/>
              </w:rPr>
            </w:pPr>
            <w:r>
              <w:rPr>
                <w:rFonts w:ascii="Arial" w:cs="Arial" w:eastAsia="Arial" w:hAnsi="Arial"/>
                <w:sz w:val="16"/>
                <w:szCs w:val="16"/>
                <w:b w:val="1"/>
                <w:bCs w:val="1"/>
                <w:color w:val="auto"/>
                <w:w w:val="93"/>
              </w:rPr>
              <w:t>Intrinsic</w:t>
            </w:r>
          </w:p>
        </w:tc>
      </w:tr>
      <w:tr>
        <w:trPr>
          <w:trHeight w:val="183"/>
        </w:trPr>
        <w:tc>
          <w:tcPr>
            <w:tcW w:w="516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5"/>
                <w:szCs w:val="15"/>
                <w:color w:val="auto"/>
              </w:rPr>
            </w:pPr>
          </w:p>
        </w:tc>
        <w:tc>
          <w:tcPr>
            <w:tcW w:w="880" w:type="dxa"/>
            <w:vAlign w:val="bottom"/>
          </w:tcPr>
          <w:p>
            <w:pPr>
              <w:jc w:val="center"/>
              <w:ind w:right="47"/>
              <w:spacing w:after="0"/>
              <w:rPr>
                <w:sz w:val="20"/>
                <w:szCs w:val="20"/>
                <w:color w:val="auto"/>
              </w:rPr>
            </w:pPr>
            <w:r>
              <w:rPr>
                <w:rFonts w:ascii="Arial" w:cs="Arial" w:eastAsia="Arial" w:hAnsi="Arial"/>
                <w:sz w:val="16"/>
                <w:szCs w:val="16"/>
                <w:b w:val="1"/>
                <w:bCs w:val="1"/>
                <w:color w:val="auto"/>
                <w:w w:val="86"/>
              </w:rPr>
              <w:t>Price</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7"/>
              </w:rPr>
              <w:t>Term</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49"/>
              <w:spacing w:after="0"/>
              <w:rPr>
                <w:sz w:val="20"/>
                <w:szCs w:val="20"/>
                <w:color w:val="auto"/>
              </w:rPr>
            </w:pPr>
            <w:r>
              <w:rPr>
                <w:rFonts w:ascii="Arial" w:cs="Arial" w:eastAsia="Arial" w:hAnsi="Arial"/>
                <w:sz w:val="16"/>
                <w:szCs w:val="16"/>
                <w:b w:val="1"/>
                <w:bCs w:val="1"/>
                <w:color w:val="auto"/>
                <w:w w:val="93"/>
              </w:rPr>
              <w:t>Value</w:t>
            </w:r>
          </w:p>
        </w:tc>
      </w:tr>
      <w:tr>
        <w:trPr>
          <w:trHeight w:val="174"/>
        </w:trPr>
        <w:tc>
          <w:tcPr>
            <w:tcW w:w="51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6"/>
                <w:szCs w:val="16"/>
                <w:b w:val="1"/>
                <w:bCs w:val="1"/>
                <w:color w:val="auto"/>
                <w:w w:val="92"/>
              </w:rPr>
              <w:t>(in years)</w:t>
            </w:r>
          </w:p>
        </w:tc>
        <w:tc>
          <w:tcPr>
            <w:tcW w:w="240" w:type="dxa"/>
            <w:vAlign w:val="bottom"/>
          </w:tcPr>
          <w:p>
            <w:pPr>
              <w:spacing w:after="0"/>
              <w:rPr>
                <w:sz w:val="15"/>
                <w:szCs w:val="15"/>
                <w:color w:val="auto"/>
              </w:rPr>
            </w:pPr>
          </w:p>
        </w:tc>
        <w:tc>
          <w:tcPr>
            <w:tcW w:w="1020" w:type="dxa"/>
            <w:vAlign w:val="bottom"/>
            <w:tcBorders>
              <w:top w:val="single" w:sz="8" w:color="auto"/>
            </w:tcBorders>
            <w:gridSpan w:val="2"/>
          </w:tcPr>
          <w:p>
            <w:pPr>
              <w:jc w:val="center"/>
              <w:spacing w:after="0" w:line="174" w:lineRule="exact"/>
              <w:rPr>
                <w:sz w:val="20"/>
                <w:szCs w:val="20"/>
                <w:color w:val="auto"/>
              </w:rPr>
            </w:pPr>
            <w:r>
              <w:rPr>
                <w:rFonts w:ascii="Arial" w:cs="Arial" w:eastAsia="Arial" w:hAnsi="Arial"/>
                <w:sz w:val="16"/>
                <w:szCs w:val="16"/>
                <w:b w:val="1"/>
                <w:bCs w:val="1"/>
                <w:color w:val="auto"/>
                <w:w w:val="88"/>
              </w:rPr>
              <w:t>(in thousands)</w:t>
            </w:r>
          </w:p>
        </w:tc>
      </w:tr>
      <w:tr>
        <w:trPr>
          <w:trHeight w:val="231"/>
        </w:trPr>
        <w:tc>
          <w:tcPr>
            <w:tcW w:w="5160" w:type="dxa"/>
            <w:vAlign w:val="bottom"/>
          </w:tcPr>
          <w:p>
            <w:pPr>
              <w:spacing w:after="0"/>
              <w:rPr>
                <w:sz w:val="20"/>
                <w:szCs w:val="20"/>
                <w:color w:val="auto"/>
              </w:rPr>
            </w:pPr>
            <w:r>
              <w:rPr>
                <w:rFonts w:ascii="Arial" w:cs="Arial" w:eastAsia="Arial" w:hAnsi="Arial"/>
                <w:sz w:val="20"/>
                <w:szCs w:val="20"/>
                <w:b w:val="1"/>
                <w:bCs w:val="1"/>
                <w:color w:val="auto"/>
              </w:rPr>
              <w:t>Outstanding at December 31, 2021</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shd w:val="clear" w:color="auto" w:fill="E1E1E1"/>
              </w:rPr>
              <w:t>18,871,592</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10.15</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9.3</w:t>
            </w:r>
          </w:p>
        </w:tc>
        <w:tc>
          <w:tcPr>
            <w:tcW w:w="3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24,897</w:t>
            </w:r>
          </w:p>
        </w:tc>
      </w:tr>
      <w:tr>
        <w:trPr>
          <w:trHeight w:val="228"/>
        </w:trPr>
        <w:tc>
          <w:tcPr>
            <w:tcW w:w="516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Granted</w:t>
            </w:r>
          </w:p>
        </w:tc>
        <w:tc>
          <w:tcPr>
            <w:tcW w:w="10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highlight w:val="white"/>
              </w:rPr>
              <w:t>12,625,109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4.30</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20"/>
                <w:szCs w:val="20"/>
                <w:b w:val="1"/>
                <w:bCs w:val="1"/>
                <w:color w:val="auto"/>
              </w:rPr>
              <w:t>Exercised</w:t>
            </w:r>
          </w:p>
        </w:tc>
        <w:tc>
          <w:tcPr>
            <w:tcW w:w="12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(298,353)</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0.81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20"/>
                <w:szCs w:val="20"/>
                <w:b w:val="1"/>
                <w:bCs w:val="1"/>
                <w:color w:val="auto"/>
              </w:rPr>
              <w:t>Forfeited</w:t>
            </w:r>
          </w:p>
        </w:tc>
        <w:tc>
          <w:tcPr>
            <w:tcW w:w="12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highlight w:val="white"/>
              </w:rPr>
              <w:t>(7,958,957)</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10.41</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5160" w:type="dxa"/>
            <w:vAlign w:val="bottom"/>
          </w:tcPr>
          <w:p>
            <w:pPr>
              <w:spacing w:after="0" w:line="220" w:lineRule="exact"/>
              <w:rPr>
                <w:sz w:val="20"/>
                <w:szCs w:val="20"/>
                <w:color w:val="auto"/>
              </w:rPr>
            </w:pPr>
            <w:r>
              <w:rPr>
                <w:rFonts w:ascii="Arial" w:cs="Arial" w:eastAsia="Arial" w:hAnsi="Arial"/>
                <w:sz w:val="20"/>
                <w:szCs w:val="20"/>
                <w:b w:val="1"/>
                <w:bCs w:val="1"/>
                <w:color w:val="auto"/>
              </w:rPr>
              <w:t>Outstanding at December 31, 2022</w:t>
            </w:r>
          </w:p>
        </w:tc>
        <w:tc>
          <w:tcPr>
            <w:tcW w:w="106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23,239,391</w:t>
            </w:r>
          </w:p>
        </w:tc>
        <w:tc>
          <w:tcPr>
            <w:tcW w:w="220" w:type="dxa"/>
            <w:vAlign w:val="bottom"/>
          </w:tcPr>
          <w:p>
            <w:pPr>
              <w:spacing w:after="0"/>
              <w:rPr>
                <w:sz w:val="19"/>
                <w:szCs w:val="19"/>
                <w:color w:val="auto"/>
              </w:rPr>
            </w:pPr>
          </w:p>
        </w:tc>
        <w:tc>
          <w:tcPr>
            <w:tcW w:w="140" w:type="dxa"/>
            <w:vAlign w:val="bottom"/>
          </w:tcPr>
          <w:p>
            <w:pPr>
              <w:jc w:val="right"/>
              <w:spacing w:after="0" w:line="220"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7.01</w:t>
            </w:r>
          </w:p>
        </w:tc>
        <w:tc>
          <w:tcPr>
            <w:tcW w:w="12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7.9</w:t>
            </w:r>
          </w:p>
        </w:tc>
        <w:tc>
          <w:tcPr>
            <w:tcW w:w="3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1,594</w:t>
            </w:r>
          </w:p>
        </w:tc>
      </w:tr>
      <w:tr>
        <w:trPr>
          <w:trHeight w:val="276"/>
        </w:trPr>
        <w:tc>
          <w:tcPr>
            <w:tcW w:w="5160" w:type="dxa"/>
            <w:vAlign w:val="bottom"/>
          </w:tcPr>
          <w:p>
            <w:pPr>
              <w:spacing w:after="0"/>
              <w:rPr>
                <w:sz w:val="20"/>
                <w:szCs w:val="20"/>
                <w:color w:val="auto"/>
              </w:rPr>
            </w:pPr>
            <w:r>
              <w:rPr>
                <w:rFonts w:ascii="Arial" w:cs="Arial" w:eastAsia="Arial" w:hAnsi="Arial"/>
                <w:sz w:val="20"/>
                <w:szCs w:val="20"/>
                <w:b w:val="1"/>
                <w:bCs w:val="1"/>
                <w:color w:val="auto"/>
              </w:rPr>
              <w:t>Vested and expected to vest at December 31, 2022</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23,239,391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7.01</w:t>
            </w:r>
          </w:p>
        </w:tc>
        <w:tc>
          <w:tcPr>
            <w:tcW w:w="1260" w:type="dxa"/>
            <w:vAlign w:val="bottom"/>
            <w:gridSpan w:val="2"/>
          </w:tcPr>
          <w:p>
            <w:pPr>
              <w:jc w:val="right"/>
              <w:spacing w:after="0"/>
              <w:rPr>
                <w:sz w:val="20"/>
                <w:szCs w:val="20"/>
                <w:color w:val="auto"/>
              </w:rPr>
            </w:pPr>
            <w:r>
              <w:rPr>
                <w:rFonts w:ascii="Arial" w:cs="Arial" w:eastAsia="Arial" w:hAnsi="Arial"/>
                <w:sz w:val="20"/>
                <w:szCs w:val="20"/>
                <w:b w:val="1"/>
                <w:bCs w:val="1"/>
                <w:color w:val="auto"/>
              </w:rPr>
              <w:t>7.9</w:t>
            </w:r>
          </w:p>
        </w:tc>
        <w:tc>
          <w:tcPr>
            <w:tcW w:w="3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1,594</w:t>
            </w:r>
          </w:p>
        </w:tc>
      </w:tr>
      <w:tr>
        <w:trPr>
          <w:trHeight w:val="228"/>
        </w:trPr>
        <w:tc>
          <w:tcPr>
            <w:tcW w:w="5160" w:type="dxa"/>
            <w:vAlign w:val="bottom"/>
          </w:tcPr>
          <w:p>
            <w:pPr>
              <w:spacing w:after="0" w:line="228" w:lineRule="exact"/>
              <w:rPr>
                <w:sz w:val="20"/>
                <w:szCs w:val="20"/>
                <w:color w:val="auto"/>
              </w:rPr>
            </w:pPr>
            <w:r>
              <w:rPr>
                <w:rFonts w:ascii="Arial" w:cs="Arial" w:eastAsia="Arial" w:hAnsi="Arial"/>
                <w:sz w:val="20"/>
                <w:szCs w:val="20"/>
                <w:b w:val="1"/>
                <w:bCs w:val="1"/>
                <w:color w:val="auto"/>
              </w:rPr>
              <w:t>Options exercisable at December 31, 2022</w:t>
            </w:r>
          </w:p>
        </w:tc>
        <w:tc>
          <w:tcPr>
            <w:tcW w:w="106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6,845,330</w:t>
            </w:r>
          </w:p>
        </w:tc>
        <w:tc>
          <w:tcPr>
            <w:tcW w:w="220" w:type="dxa"/>
            <w:vAlign w:val="bottom"/>
          </w:tcPr>
          <w:p>
            <w:pPr>
              <w:spacing w:after="0"/>
              <w:rPr>
                <w:sz w:val="19"/>
                <w:szCs w:val="19"/>
                <w:color w:val="auto"/>
              </w:rPr>
            </w:pPr>
          </w:p>
        </w:tc>
        <w:tc>
          <w:tcPr>
            <w:tcW w:w="140" w:type="dxa"/>
            <w:vAlign w:val="bottom"/>
          </w:tcPr>
          <w:p>
            <w:pPr>
              <w:jc w:val="right"/>
              <w:spacing w:after="0" w:line="228" w:lineRule="exact"/>
              <w:rPr>
                <w:sz w:val="20"/>
                <w:szCs w:val="20"/>
                <w:color w:val="auto"/>
              </w:rPr>
            </w:pPr>
            <w:r>
              <w:rPr>
                <w:rFonts w:ascii="Arial" w:cs="Arial" w:eastAsia="Arial" w:hAnsi="Arial"/>
                <w:sz w:val="20"/>
                <w:szCs w:val="20"/>
                <w:b w:val="1"/>
                <w:bCs w:val="1"/>
                <w:color w:val="auto"/>
                <w:w w:val="71"/>
              </w:rPr>
              <w:t>$</w:t>
            </w:r>
          </w:p>
        </w:tc>
        <w:tc>
          <w:tcPr>
            <w:tcW w:w="88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8.25</w:t>
            </w:r>
          </w:p>
        </w:tc>
        <w:tc>
          <w:tcPr>
            <w:tcW w:w="12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6.3</w:t>
            </w:r>
          </w:p>
        </w:tc>
        <w:tc>
          <w:tcPr>
            <w:tcW w:w="3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-1068705</wp:posOffset>
            </wp:positionV>
            <wp:extent cx="6427470" cy="108458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19">
                      <a:extLst>
                        <a:ext uri="{28A0092B-C50C-407E-A947-70E740481C1C}"/>
                      </a:extLst>
                    </a:blip>
                    <a:srcRect/>
                    <a:stretch>
                      <a:fillRect/>
                    </a:stretch>
                  </pic:blipFill>
                  <pic:spPr bwMode="auto">
                    <a:xfrm>
                      <a:off x="0" y="0"/>
                      <a:ext cx="6427470" cy="1084580"/>
                    </a:xfrm>
                    <a:prstGeom prst="rect">
                      <a:avLst/>
                    </a:prstGeom>
                    <a:noFill/>
                  </pic:spPr>
                </pic:pic>
              </a:graphicData>
            </a:graphic>
          </wp:anchor>
        </w:drawing>
      </w:r>
    </w:p>
    <w:p>
      <w:pPr>
        <w:spacing w:after="0" w:line="2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weighted-average grant date fair value of stock options granted during the year ended December 31, 2022 and 2021 was $2.79 and $7.56, respectively, per share.</w:t>
      </w:r>
    </w:p>
    <w:p>
      <w:pPr>
        <w:spacing w:after="0" w:line="132" w:lineRule="exact"/>
        <w:rPr>
          <w:sz w:val="20"/>
          <w:szCs w:val="20"/>
          <w:color w:val="auto"/>
        </w:rPr>
      </w:pPr>
    </w:p>
    <w:p>
      <w:pPr>
        <w:jc w:val="both"/>
        <w:ind w:firstLine="490"/>
        <w:spacing w:after="0" w:line="253" w:lineRule="auto"/>
        <w:rPr>
          <w:sz w:val="20"/>
          <w:szCs w:val="20"/>
          <w:color w:val="auto"/>
        </w:rPr>
      </w:pPr>
      <w:r>
        <w:rPr>
          <w:rFonts w:ascii="Arial" w:cs="Arial" w:eastAsia="Arial" w:hAnsi="Arial"/>
          <w:sz w:val="19"/>
          <w:szCs w:val="19"/>
          <w:b w:val="1"/>
          <w:bCs w:val="1"/>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December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F-28</w:t>
      </w:r>
    </w:p>
    <w:p>
      <w:pPr>
        <w:sectPr>
          <w:pgSz w:w="12240" w:h="15840" w:orient="portrait"/>
          <w:cols w:equalWidth="0" w:num="1">
            <w:col w:w="10080"/>
          </w:cols>
          <w:pgMar w:left="1080" w:top="1089" w:right="1080" w:bottom="157" w:gutter="0" w:footer="0" w:header="0"/>
        </w:sectPr>
      </w:pPr>
    </w:p>
    <w:bookmarkStart w:id="148" w:name="page149"/>
    <w:bookmarkEnd w:id="148"/>
    <w:p>
      <w:pPr>
        <w:jc w:val="both"/>
        <w:ind w:firstLine="490"/>
        <w:spacing w:after="0" w:line="234" w:lineRule="auto"/>
        <w:rPr>
          <w:sz w:val="20"/>
          <w:szCs w:val="20"/>
          <w:color w:val="auto"/>
        </w:rPr>
      </w:pPr>
      <w:r>
        <w:rPr>
          <w:rFonts w:ascii="Arial" w:cs="Arial" w:eastAsia="Arial" w:hAnsi="Arial"/>
          <w:sz w:val="20"/>
          <w:szCs w:val="20"/>
          <w:b w:val="1"/>
          <w:bCs w:val="1"/>
          <w:color w:val="auto"/>
        </w:rPr>
        <w:t>The total intrinsic value of stock options exercised was $1.0 million for the year ended December 31, 2022. There were no options exercised during the year ended December 31, 2021.</w:t>
      </w:r>
    </w:p>
    <w:p>
      <w:pPr>
        <w:spacing w:after="0" w:line="130"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July 2022, David Hering, M.B.A. was appointed as the Company's Chief Executive Officer. In conjunction with this appointment, Mr. Hering was granted a stock option to purchase 2,000,000 shares of common stock, which vest monthly in equal installments over 48 months.</w:t>
      </w:r>
    </w:p>
    <w:p>
      <w:pPr>
        <w:spacing w:after="0" w:line="133"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Mr. Hering was also eligible to receive an additional stock option to purchase up to 1,000,000 shares of common stock (the “Additional Option Grant”) if certain goals approved by the Company’s board of directors, on the recommendation of the Compensation Committee, were achieved on or prior to December 31, 2022, with such achievement to be determined by the Company’s board of directors, upon the recommendation of the Compensation Committee. If such performance goals were partially achieved on or prior to December 31, 2022, then Mr. Hering was entitled to receive a partial amount of the Additional Option Grant, with such partial amount to be determined by the Company’s board of directors, in its sole and absolute discretion. In December 2022, Mr. Hering received a partial amount of the Additional Option Grant and was granted a stock option to purchase 700,000 shares of common stock, which vests in monthly equal installments over a 48-month period commencing on the grant date.</w:t>
      </w:r>
    </w:p>
    <w:p>
      <w:pPr>
        <w:spacing w:after="0" w:line="338"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Early Exercise of Stock Options into Restricted Stock</w:t>
      </w:r>
    </w:p>
    <w:p>
      <w:pPr>
        <w:spacing w:after="0" w:line="131" w:lineRule="exact"/>
        <w:rPr>
          <w:sz w:val="20"/>
          <w:szCs w:val="20"/>
          <w:color w:val="auto"/>
        </w:rPr>
      </w:pPr>
    </w:p>
    <w:p>
      <w:pPr>
        <w:jc w:val="both"/>
        <w:ind w:firstLine="490"/>
        <w:spacing w:after="0" w:line="332" w:lineRule="auto"/>
        <w:rPr>
          <w:sz w:val="20"/>
          <w:szCs w:val="20"/>
          <w:color w:val="auto"/>
        </w:rPr>
      </w:pPr>
      <w:r>
        <w:rPr>
          <w:rFonts w:ascii="Arial" w:cs="Arial" w:eastAsia="Arial" w:hAnsi="Arial"/>
          <w:sz w:val="15"/>
          <w:szCs w:val="15"/>
          <w:b w:val="1"/>
          <w:bCs w:val="1"/>
          <w:color w:val="auto"/>
        </w:rPr>
        <w:t>The Company’s restricted stock activity during the year ended December 31, 2022 was solely due to shares of restricted common stock issued pursuant to the permitted early exercise of stock options as permitted under the 2020 Plan prior to amendments. The 2021 Plan does not permit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Number</w:t>
            </w:r>
          </w:p>
        </w:tc>
      </w:tr>
      <w:tr>
        <w:trPr>
          <w:trHeight w:val="183"/>
        </w:trPr>
        <w:tc>
          <w:tcPr>
            <w:tcW w:w="8240" w:type="dxa"/>
            <w:vAlign w:val="bottom"/>
          </w:tcPr>
          <w:p>
            <w:pPr>
              <w:spacing w:after="0"/>
              <w:rPr>
                <w:sz w:val="15"/>
                <w:szCs w:val="15"/>
                <w:color w:val="auto"/>
              </w:rPr>
            </w:pPr>
          </w:p>
        </w:tc>
        <w:tc>
          <w:tcPr>
            <w:tcW w:w="1740" w:type="dxa"/>
            <w:vAlign w:val="bottom"/>
            <w:tcBorders>
              <w:bottom w:val="single" w:sz="8" w:color="auto"/>
            </w:tcBorders>
          </w:tcPr>
          <w:p>
            <w:pPr>
              <w:jc w:val="right"/>
              <w:ind w:right="466"/>
              <w:spacing w:after="0" w:line="183" w:lineRule="exact"/>
              <w:rPr>
                <w:sz w:val="20"/>
                <w:szCs w:val="20"/>
                <w:color w:val="auto"/>
              </w:rPr>
            </w:pPr>
            <w:r>
              <w:rPr>
                <w:rFonts w:ascii="Arial" w:cs="Arial" w:eastAsia="Arial" w:hAnsi="Arial"/>
                <w:sz w:val="16"/>
                <w:szCs w:val="16"/>
                <w:b w:val="1"/>
                <w:bCs w:val="1"/>
                <w:color w:val="auto"/>
              </w:rPr>
              <w:t>of Shares</w:t>
            </w:r>
          </w:p>
        </w:tc>
        <w:tc>
          <w:tcPr>
            <w:tcW w:w="60" w:type="dxa"/>
            <w:vAlign w:val="bottom"/>
          </w:tcPr>
          <w:p>
            <w:pPr>
              <w:spacing w:after="0"/>
              <w:rPr>
                <w:sz w:val="15"/>
                <w:szCs w:val="15"/>
                <w:color w:val="auto"/>
              </w:rPr>
            </w:pPr>
          </w:p>
        </w:tc>
      </w:tr>
      <w:tr>
        <w:trPr>
          <w:trHeight w:val="220"/>
        </w:trPr>
        <w:tc>
          <w:tcPr>
            <w:tcW w:w="8240" w:type="dxa"/>
            <w:vAlign w:val="bottom"/>
          </w:tcPr>
          <w:p>
            <w:pPr>
              <w:spacing w:after="0" w:line="220" w:lineRule="exact"/>
              <w:rPr>
                <w:sz w:val="20"/>
                <w:szCs w:val="20"/>
                <w:color w:val="auto"/>
              </w:rPr>
            </w:pPr>
            <w:r>
              <w:rPr>
                <w:rFonts w:ascii="Arial" w:cs="Arial" w:eastAsia="Arial" w:hAnsi="Arial"/>
                <w:sz w:val="20"/>
                <w:szCs w:val="20"/>
                <w:b w:val="1"/>
                <w:bCs w:val="1"/>
                <w:color w:val="auto"/>
              </w:rPr>
              <w:t>Unvested restricted stock at December 31, 2021</w:t>
            </w:r>
          </w:p>
        </w:tc>
        <w:tc>
          <w:tcPr>
            <w:tcW w:w="1800" w:type="dxa"/>
            <w:vAlign w:val="bottom"/>
            <w:gridSpan w:val="2"/>
          </w:tcPr>
          <w:p>
            <w:pPr>
              <w:jc w:val="right"/>
              <w:ind w:right="60"/>
              <w:spacing w:after="0" w:line="220" w:lineRule="exact"/>
              <w:rPr>
                <w:sz w:val="20"/>
                <w:szCs w:val="20"/>
                <w:color w:val="auto"/>
              </w:rPr>
            </w:pPr>
            <w:r>
              <w:rPr>
                <w:rFonts w:ascii="Arial" w:cs="Arial" w:eastAsia="Arial" w:hAnsi="Arial"/>
                <w:sz w:val="20"/>
                <w:szCs w:val="20"/>
                <w:b w:val="1"/>
                <w:bCs w:val="1"/>
                <w:color w:val="auto"/>
              </w:rPr>
              <w:t>3,082,175</w:t>
            </w:r>
          </w:p>
        </w:tc>
      </w:tr>
      <w:tr>
        <w:trPr>
          <w:trHeight w:val="228"/>
        </w:trPr>
        <w:tc>
          <w:tcPr>
            <w:tcW w:w="824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Issued</w:t>
            </w:r>
          </w:p>
        </w:tc>
        <w:tc>
          <w:tcPr>
            <w:tcW w:w="180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w:t>
            </w:r>
          </w:p>
        </w:tc>
      </w:tr>
      <w:tr>
        <w:trPr>
          <w:trHeight w:val="230"/>
        </w:trPr>
        <w:tc>
          <w:tcPr>
            <w:tcW w:w="8240" w:type="dxa"/>
            <w:vAlign w:val="bottom"/>
          </w:tcPr>
          <w:p>
            <w:pPr>
              <w:ind w:left="200"/>
              <w:spacing w:after="0"/>
              <w:rPr>
                <w:sz w:val="20"/>
                <w:szCs w:val="20"/>
                <w:color w:val="auto"/>
              </w:rPr>
            </w:pPr>
            <w:r>
              <w:rPr>
                <w:rFonts w:ascii="Arial" w:cs="Arial" w:eastAsia="Arial" w:hAnsi="Arial"/>
                <w:sz w:val="20"/>
                <w:szCs w:val="20"/>
                <w:b w:val="1"/>
                <w:bCs w:val="1"/>
                <w:color w:val="auto"/>
              </w:rPr>
              <w:t>Vested</w:t>
            </w:r>
          </w:p>
        </w:tc>
        <w:tc>
          <w:tcPr>
            <w:tcW w:w="1800" w:type="dxa"/>
            <w:vAlign w:val="bottom"/>
            <w:gridSpan w:val="2"/>
          </w:tcPr>
          <w:p>
            <w:pPr>
              <w:jc w:val="right"/>
              <w:spacing w:after="0"/>
              <w:rPr>
                <w:sz w:val="20"/>
                <w:szCs w:val="20"/>
                <w:color w:val="auto"/>
              </w:rPr>
            </w:pPr>
            <w:r>
              <w:rPr>
                <w:rFonts w:ascii="Arial" w:cs="Arial" w:eastAsia="Arial" w:hAnsi="Arial"/>
                <w:sz w:val="20"/>
                <w:szCs w:val="20"/>
                <w:b w:val="1"/>
                <w:bCs w:val="1"/>
                <w:color w:val="auto"/>
              </w:rPr>
              <w:t>(571,105)</w:t>
            </w:r>
          </w:p>
        </w:tc>
      </w:tr>
      <w:tr>
        <w:trPr>
          <w:trHeight w:val="230"/>
        </w:trPr>
        <w:tc>
          <w:tcPr>
            <w:tcW w:w="8240" w:type="dxa"/>
            <w:vAlign w:val="bottom"/>
          </w:tcPr>
          <w:p>
            <w:pPr>
              <w:ind w:left="200"/>
              <w:spacing w:after="0"/>
              <w:rPr>
                <w:sz w:val="20"/>
                <w:szCs w:val="20"/>
                <w:color w:val="auto"/>
              </w:rPr>
            </w:pPr>
            <w:r>
              <w:rPr>
                <w:rFonts w:ascii="Arial" w:cs="Arial" w:eastAsia="Arial" w:hAnsi="Arial"/>
                <w:sz w:val="20"/>
                <w:szCs w:val="20"/>
                <w:b w:val="1"/>
                <w:bCs w:val="1"/>
                <w:color w:val="auto"/>
              </w:rPr>
              <w:t>Repurchased</w:t>
            </w:r>
          </w:p>
        </w:tc>
        <w:tc>
          <w:tcPr>
            <w:tcW w:w="1800" w:type="dxa"/>
            <w:vAlign w:val="bottom"/>
            <w:gridSpan w:val="2"/>
          </w:tcPr>
          <w:p>
            <w:pPr>
              <w:jc w:val="right"/>
              <w:spacing w:after="0"/>
              <w:rPr>
                <w:sz w:val="20"/>
                <w:szCs w:val="20"/>
                <w:color w:val="auto"/>
              </w:rPr>
            </w:pPr>
            <w:r>
              <w:rPr>
                <w:rFonts w:ascii="Arial" w:cs="Arial" w:eastAsia="Arial" w:hAnsi="Arial"/>
                <w:sz w:val="20"/>
                <w:szCs w:val="20"/>
                <w:b w:val="1"/>
                <w:bCs w:val="1"/>
                <w:color w:val="auto"/>
              </w:rPr>
              <w:t>(2,150,737)</w:t>
            </w:r>
          </w:p>
        </w:tc>
      </w:tr>
      <w:tr>
        <w:trPr>
          <w:trHeight w:val="220"/>
        </w:trPr>
        <w:tc>
          <w:tcPr>
            <w:tcW w:w="8240" w:type="dxa"/>
            <w:vAlign w:val="bottom"/>
          </w:tcPr>
          <w:p>
            <w:pPr>
              <w:spacing w:after="0" w:line="220" w:lineRule="exact"/>
              <w:rPr>
                <w:sz w:val="20"/>
                <w:szCs w:val="20"/>
                <w:color w:val="auto"/>
              </w:rPr>
            </w:pPr>
            <w:r>
              <w:rPr>
                <w:rFonts w:ascii="Arial" w:cs="Arial" w:eastAsia="Arial" w:hAnsi="Arial"/>
                <w:sz w:val="20"/>
                <w:szCs w:val="20"/>
                <w:b w:val="1"/>
                <w:bCs w:val="1"/>
                <w:color w:val="auto"/>
              </w:rPr>
              <w:t>Unvested restricted stock at December 31, 2022</w:t>
            </w:r>
          </w:p>
        </w:tc>
        <w:tc>
          <w:tcPr>
            <w:tcW w:w="1740" w:type="dxa"/>
            <w:vAlign w:val="bottom"/>
            <w:tcBorders>
              <w:top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360,333</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-755015</wp:posOffset>
            </wp:positionV>
            <wp:extent cx="6427470" cy="7981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20">
                      <a:extLst>
                        <a:ext uri="{28A0092B-C50C-407E-A947-70E740481C1C}"/>
                      </a:extLst>
                    </a:blip>
                    <a:srcRect/>
                    <a:stretch>
                      <a:fillRect/>
                    </a:stretch>
                  </pic:blipFill>
                  <pic:spPr bwMode="auto">
                    <a:xfrm>
                      <a:off x="0" y="0"/>
                      <a:ext cx="6427470" cy="798195"/>
                    </a:xfrm>
                    <a:prstGeom prst="rect">
                      <a:avLst/>
                    </a:prstGeom>
                    <a:noFill/>
                  </pic:spPr>
                </pic:pic>
              </a:graphicData>
            </a:graphic>
          </wp:anchor>
        </w:drawing>
      </w:r>
    </w:p>
    <w:p>
      <w:pPr>
        <w:spacing w:after="0" w:line="313"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each of December 31, 2022 and 2021, the liability related to the payments for unvested shares from early-exercised options was less than $0.1 million.</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Stock-Based Compensation Expense</w:t>
      </w:r>
    </w:p>
    <w:p>
      <w:pPr>
        <w:spacing w:after="0" w:line="1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The Company recorded stock-based compensation expense in the following expense categories of its consolidated statements of operations and comprehensive loss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6"/>
                <w:szCs w:val="16"/>
                <w:b w:val="1"/>
                <w:bCs w:val="1"/>
                <w:color w:val="auto"/>
              </w:rPr>
              <w:t>2021</w:t>
            </w:r>
          </w:p>
        </w:tc>
      </w:tr>
      <w:tr>
        <w:trPr>
          <w:trHeight w:val="220"/>
        </w:trPr>
        <w:tc>
          <w:tcPr>
            <w:tcW w:w="6780" w:type="dxa"/>
            <w:vAlign w:val="bottom"/>
          </w:tcPr>
          <w:p>
            <w:pPr>
              <w:spacing w:after="0" w:line="220" w:lineRule="exact"/>
              <w:rPr>
                <w:sz w:val="20"/>
                <w:szCs w:val="20"/>
                <w:color w:val="auto"/>
              </w:rPr>
            </w:pPr>
            <w:r>
              <w:rPr>
                <w:rFonts w:ascii="Arial" w:cs="Arial" w:eastAsia="Arial" w:hAnsi="Arial"/>
                <w:sz w:val="20"/>
                <w:szCs w:val="20"/>
                <w:b w:val="1"/>
                <w:bCs w:val="1"/>
                <w:color w:val="auto"/>
              </w:rPr>
              <w:t>Research and development</w:t>
            </w: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16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auto"/>
              </w:rPr>
              <w:t>12,800</w:t>
            </w:r>
          </w:p>
        </w:tc>
        <w:tc>
          <w:tcPr>
            <w:tcW w:w="520" w:type="dxa"/>
            <w:vAlign w:val="bottom"/>
            <w:gridSpan w:val="2"/>
          </w:tcPr>
          <w:p>
            <w:pPr>
              <w:jc w:val="right"/>
              <w:ind w:right="260"/>
              <w:spacing w:after="0" w:line="220"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6,591</w:t>
            </w:r>
          </w:p>
        </w:tc>
      </w:tr>
      <w:tr>
        <w:trPr>
          <w:trHeight w:val="230"/>
        </w:trPr>
        <w:tc>
          <w:tcPr>
            <w:tcW w:w="6780" w:type="dxa"/>
            <w:vAlign w:val="bottom"/>
          </w:tcPr>
          <w:p>
            <w:pPr>
              <w:spacing w:after="0"/>
              <w:rPr>
                <w:sz w:val="20"/>
                <w:szCs w:val="20"/>
                <w:color w:val="auto"/>
              </w:rPr>
            </w:pPr>
            <w:r>
              <w:rPr>
                <w:rFonts w:ascii="Arial" w:cs="Arial" w:eastAsia="Arial" w:hAnsi="Arial"/>
                <w:sz w:val="20"/>
                <w:szCs w:val="20"/>
                <w:b w:val="1"/>
                <w:bCs w:val="1"/>
                <w:color w:val="auto"/>
              </w:rPr>
              <w:t>Selling, general and administrative</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8,848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11,173</w:t>
            </w:r>
          </w:p>
        </w:tc>
      </w:tr>
      <w:tr>
        <w:trPr>
          <w:trHeight w:val="220"/>
        </w:trPr>
        <w:tc>
          <w:tcPr>
            <w:tcW w:w="6780" w:type="dxa"/>
            <w:vAlign w:val="bottom"/>
          </w:tcPr>
          <w:p>
            <w:pPr>
              <w:spacing w:after="0"/>
              <w:rPr>
                <w:sz w:val="19"/>
                <w:szCs w:val="19"/>
                <w:color w:val="auto"/>
              </w:rPr>
            </w:pPr>
          </w:p>
        </w:tc>
        <w:tc>
          <w:tcPr>
            <w:tcW w:w="320" w:type="dxa"/>
            <w:vAlign w:val="bottom"/>
          </w:tcPr>
          <w:p>
            <w:pPr>
              <w:jc w:val="right"/>
              <w:ind w:right="120"/>
              <w:spacing w:after="0" w:line="220" w:lineRule="exact"/>
              <w:rPr>
                <w:sz w:val="20"/>
                <w:szCs w:val="20"/>
                <w:color w:val="auto"/>
              </w:rPr>
            </w:pPr>
            <w:r>
              <w:rPr>
                <w:rFonts w:ascii="Arial" w:cs="Arial" w:eastAsia="Arial" w:hAnsi="Arial"/>
                <w:sz w:val="20"/>
                <w:szCs w:val="20"/>
                <w:b w:val="1"/>
                <w:bCs w:val="1"/>
                <w:color w:val="auto"/>
                <w:w w:val="71"/>
              </w:rPr>
              <w:t>$</w:t>
            </w:r>
          </w:p>
        </w:tc>
        <w:tc>
          <w:tcPr>
            <w:tcW w:w="1160" w:type="dxa"/>
            <w:vAlign w:val="bottom"/>
            <w:gridSpan w:val="2"/>
          </w:tcPr>
          <w:p>
            <w:pPr>
              <w:jc w:val="right"/>
              <w:ind w:right="100"/>
              <w:spacing w:after="0" w:line="220" w:lineRule="exact"/>
              <w:rPr>
                <w:sz w:val="20"/>
                <w:szCs w:val="20"/>
                <w:color w:val="auto"/>
              </w:rPr>
            </w:pPr>
            <w:r>
              <w:rPr>
                <w:rFonts w:ascii="Arial" w:cs="Arial" w:eastAsia="Arial" w:hAnsi="Arial"/>
                <w:sz w:val="20"/>
                <w:szCs w:val="20"/>
                <w:b w:val="1"/>
                <w:bCs w:val="1"/>
                <w:color w:val="auto"/>
              </w:rPr>
              <w:t>21,648</w:t>
            </w:r>
          </w:p>
        </w:tc>
        <w:tc>
          <w:tcPr>
            <w:tcW w:w="520" w:type="dxa"/>
            <w:vAlign w:val="bottom"/>
            <w:gridSpan w:val="2"/>
          </w:tcPr>
          <w:p>
            <w:pPr>
              <w:jc w:val="right"/>
              <w:ind w:right="260"/>
              <w:spacing w:after="0" w:line="220"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17,764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-462280</wp:posOffset>
            </wp:positionV>
            <wp:extent cx="6427470" cy="50546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21">
                      <a:extLst>
                        <a:ext uri="{28A0092B-C50C-407E-A947-70E740481C1C}"/>
                      </a:extLst>
                    </a:blip>
                    <a:srcRect/>
                    <a:stretch>
                      <a:fillRect/>
                    </a:stretch>
                  </pic:blipFill>
                  <pic:spPr bwMode="auto">
                    <a:xfrm>
                      <a:off x="0" y="0"/>
                      <a:ext cx="6427470" cy="505460"/>
                    </a:xfrm>
                    <a:prstGeom prst="rect">
                      <a:avLst/>
                    </a:prstGeom>
                    <a:noFill/>
                  </pic:spPr>
                </pic:pic>
              </a:graphicData>
            </a:graphic>
          </wp:anchor>
        </w:drawing>
      </w:r>
    </w:p>
    <w:p>
      <w:pPr>
        <w:spacing w:after="0" w:line="312"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In February 2022, Tillman U. Gerngross, Ph.D., resigned as Chief Executive Officer and President and as a member of the Company's board of directors. In accordance with his resignation, Dr. Gerngross's outstanding stock options were forfeited, resulting in a reversal of selling, general and administrative related stock-based compensation expense of approximately $4.6 million.</w:t>
      </w:r>
    </w:p>
    <w:p>
      <w:pPr>
        <w:spacing w:after="0" w:line="135" w:lineRule="exact"/>
        <w:rPr>
          <w:sz w:val="20"/>
          <w:szCs w:val="20"/>
          <w:color w:val="auto"/>
        </w:rPr>
      </w:pPr>
    </w:p>
    <w:p>
      <w:pPr>
        <w:jc w:val="both"/>
        <w:ind w:firstLine="490"/>
        <w:spacing w:after="0" w:line="281" w:lineRule="auto"/>
        <w:rPr>
          <w:sz w:val="20"/>
          <w:szCs w:val="20"/>
          <w:color w:val="auto"/>
        </w:rPr>
      </w:pPr>
      <w:r>
        <w:rPr>
          <w:rFonts w:ascii="Arial" w:cs="Arial" w:eastAsia="Arial" w:hAnsi="Arial"/>
          <w:sz w:val="18"/>
          <w:szCs w:val="18"/>
          <w:b w:val="1"/>
          <w:bCs w:val="1"/>
          <w:color w:val="auto"/>
        </w:rPr>
        <w:t>As of December 31, 2022, total unrecognized stock-based compensation cost related to unvested awards was $62.0 million and the weighted-average period over which such expense is expected to be recognized was 2.8 years.</w:t>
      </w:r>
    </w:p>
    <w:p>
      <w:pPr>
        <w:sectPr>
          <w:pgSz w:w="12240" w:h="15840" w:orient="portrait"/>
          <w:cols w:equalWidth="0" w:num="1">
            <w:col w:w="10080"/>
          </w:cols>
          <w:pgMar w:left="1080" w:top="1089" w:right="108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F-29</w:t>
      </w:r>
    </w:p>
    <w:p>
      <w:pPr>
        <w:sectPr>
          <w:pgSz w:w="12240" w:h="15840" w:orient="portrait"/>
          <w:cols w:equalWidth="0" w:num="1">
            <w:col w:w="10080"/>
          </w:cols>
          <w:pgMar w:left="1080" w:top="1089" w:right="1080" w:bottom="181" w:gutter="0" w:footer="0" w:header="0"/>
          <w:type w:val="continuous"/>
        </w:sectPr>
      </w:pPr>
    </w:p>
    <w:bookmarkStart w:id="149" w:name="page150"/>
    <w:bookmarkEnd w:id="149"/>
    <w:p>
      <w:pPr>
        <w:ind w:left="480"/>
        <w:spacing w:after="0"/>
        <w:rPr>
          <w:sz w:val="20"/>
          <w:szCs w:val="20"/>
          <w:color w:val="auto"/>
        </w:rPr>
      </w:pPr>
      <w:r>
        <w:rPr>
          <w:rFonts w:ascii="Arial" w:cs="Arial" w:eastAsia="Arial" w:hAnsi="Arial"/>
          <w:sz w:val="20"/>
          <w:szCs w:val="20"/>
          <w:b w:val="1"/>
          <w:bCs w:val="1"/>
          <w:color w:val="auto"/>
        </w:rPr>
        <w:t>2021 Employee Stock Purchase Plan</w:t>
      </w:r>
    </w:p>
    <w:p>
      <w:pPr>
        <w:spacing w:after="0" w:line="131" w:lineRule="exact"/>
        <w:rPr>
          <w:sz w:val="20"/>
          <w:szCs w:val="20"/>
          <w:color w:val="auto"/>
        </w:rPr>
      </w:pPr>
    </w:p>
    <w:p>
      <w:pPr>
        <w:jc w:val="both"/>
        <w:ind w:firstLine="490"/>
        <w:spacing w:after="0" w:line="319" w:lineRule="auto"/>
        <w:rPr>
          <w:sz w:val="20"/>
          <w:szCs w:val="20"/>
          <w:color w:val="auto"/>
        </w:rPr>
      </w:pPr>
      <w:r>
        <w:rPr>
          <w:rFonts w:ascii="Arial" w:cs="Arial" w:eastAsia="Arial" w:hAnsi="Arial"/>
          <w:sz w:val="15"/>
          <w:szCs w:val="15"/>
          <w:b w:val="1"/>
          <w:bCs w:val="1"/>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113,521 shares issued under the 2021 ESPP as of December 31, 2022.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w:t>
      </w:r>
    </w:p>
    <w:p>
      <w:pPr>
        <w:spacing w:after="0" w:line="3" w:lineRule="exact"/>
        <w:rPr>
          <w:sz w:val="20"/>
          <w:szCs w:val="20"/>
          <w:color w:val="auto"/>
        </w:rPr>
      </w:pPr>
    </w:p>
    <w:p>
      <w:pPr>
        <w:jc w:val="both"/>
        <w:spacing w:after="0" w:line="238" w:lineRule="auto"/>
        <w:tabs>
          <w:tab w:leader="none" w:pos="297"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2,685,546 shares and (iii) an amount determined by the Company’s board of directors. The number of shares to be issued under the 2021 ESPP did not increase on January 1, 2023 as determined by the Company's board of directors. The first offering under the 2021 ESPP was June 6, 2022. As of December 31, 2022, 1,229,252 shares remained available for issuance under the 2021 ESPP. During the year ended December 31, 2022, the Company recognized $0.1 million in related stock-based compensation expense.</w:t>
      </w:r>
    </w:p>
    <w:p>
      <w:pPr>
        <w:spacing w:after="0" w:line="361"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Warrant Expense</w:t>
      </w:r>
    </w:p>
    <w:p>
      <w:pPr>
        <w:spacing w:after="0" w:line="129"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106"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The following table sets forth the activity relating to the PHP Warrant outstanding for the year ended December 31, 2022 (aggregate value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2"/>
        </w:trPr>
        <w:tc>
          <w:tcPr>
            <w:tcW w:w="5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0"/>
              <w:spacing w:after="0" w:line="182" w:lineRule="exact"/>
              <w:rPr>
                <w:sz w:val="20"/>
                <w:szCs w:val="20"/>
                <w:color w:val="auto"/>
              </w:rPr>
            </w:pPr>
            <w:r>
              <w:rPr>
                <w:rFonts w:ascii="Arial" w:cs="Arial" w:eastAsia="Arial" w:hAnsi="Arial"/>
                <w:sz w:val="16"/>
                <w:szCs w:val="16"/>
                <w:b w:val="1"/>
                <w:bCs w:val="1"/>
                <w:color w:val="auto"/>
                <w:w w:val="90"/>
              </w:rPr>
              <w:t>Weighted-</w:t>
            </w:r>
          </w:p>
        </w:tc>
        <w:tc>
          <w:tcPr>
            <w:tcW w:w="200" w:type="dxa"/>
            <w:vAlign w:val="bottom"/>
          </w:tcPr>
          <w:p>
            <w:pPr>
              <w:spacing w:after="0"/>
              <w:rPr>
                <w:sz w:val="15"/>
                <w:szCs w:val="15"/>
                <w:color w:val="auto"/>
              </w:rPr>
            </w:pPr>
          </w:p>
        </w:tc>
        <w:tc>
          <w:tcPr>
            <w:tcW w:w="10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Average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5"/>
        </w:trPr>
        <w:tc>
          <w:tcPr>
            <w:tcW w:w="5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Arial" w:cs="Arial" w:eastAsia="Arial" w:hAnsi="Arial"/>
                <w:sz w:val="16"/>
                <w:szCs w:val="16"/>
                <w:b w:val="1"/>
                <w:bCs w:val="1"/>
                <w:color w:val="auto"/>
                <w:w w:val="91"/>
              </w:rPr>
              <w:t>Average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Remaining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rPr>
                <w:sz w:val="20"/>
                <w:szCs w:val="20"/>
                <w:color w:val="auto"/>
              </w:rPr>
            </w:pPr>
            <w:r>
              <w:rPr>
                <w:rFonts w:ascii="Arial" w:cs="Arial" w:eastAsia="Arial" w:hAnsi="Arial"/>
                <w:sz w:val="16"/>
                <w:szCs w:val="16"/>
                <w:b w:val="1"/>
                <w:bCs w:val="1"/>
                <w:color w:val="auto"/>
                <w:w w:val="88"/>
              </w:rPr>
              <w:t>Aggregate</w:t>
            </w:r>
          </w:p>
        </w:tc>
      </w:tr>
      <w:tr>
        <w:trPr>
          <w:trHeight w:val="185"/>
        </w:trPr>
        <w:tc>
          <w:tcPr>
            <w:tcW w:w="5160" w:type="dxa"/>
            <w:vAlign w:val="bottom"/>
          </w:tcPr>
          <w:p>
            <w:pPr>
              <w:spacing w:after="0"/>
              <w:rPr>
                <w:sz w:val="16"/>
                <w:szCs w:val="16"/>
                <w:color w:val="auto"/>
              </w:rPr>
            </w:pPr>
          </w:p>
        </w:tc>
        <w:tc>
          <w:tcPr>
            <w:tcW w:w="1060" w:type="dxa"/>
            <w:vAlign w:val="bottom"/>
          </w:tcPr>
          <w:p>
            <w:pPr>
              <w:jc w:val="right"/>
              <w:ind w:right="67"/>
              <w:spacing w:after="0"/>
              <w:rPr>
                <w:sz w:val="20"/>
                <w:szCs w:val="20"/>
                <w:color w:val="auto"/>
              </w:rPr>
            </w:pPr>
            <w:r>
              <w:rPr>
                <w:rFonts w:ascii="Arial" w:cs="Arial" w:eastAsia="Arial" w:hAnsi="Arial"/>
                <w:sz w:val="16"/>
                <w:szCs w:val="16"/>
                <w:b w:val="1"/>
                <w:bCs w:val="1"/>
                <w:color w:val="auto"/>
              </w:rPr>
              <w:t>Number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rPr>
                <w:sz w:val="20"/>
                <w:szCs w:val="20"/>
                <w:color w:val="auto"/>
              </w:rPr>
            </w:pPr>
            <w:r>
              <w:rPr>
                <w:rFonts w:ascii="Arial" w:cs="Arial" w:eastAsia="Arial" w:hAnsi="Arial"/>
                <w:sz w:val="16"/>
                <w:szCs w:val="16"/>
                <w:b w:val="1"/>
                <w:bCs w:val="1"/>
                <w:color w:val="auto"/>
                <w:w w:val="88"/>
              </w:rPr>
              <w:t>Exercise</w:t>
            </w:r>
          </w:p>
        </w:tc>
        <w:tc>
          <w:tcPr>
            <w:tcW w:w="20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rPr>
                <w:sz w:val="20"/>
                <w:szCs w:val="20"/>
                <w:color w:val="auto"/>
              </w:rPr>
            </w:pPr>
            <w:r>
              <w:rPr>
                <w:rFonts w:ascii="Arial" w:cs="Arial" w:eastAsia="Arial" w:hAnsi="Arial"/>
                <w:sz w:val="16"/>
                <w:szCs w:val="16"/>
                <w:b w:val="1"/>
                <w:bCs w:val="1"/>
                <w:color w:val="auto"/>
                <w:w w:val="93"/>
              </w:rPr>
              <w:t>Intrinsic</w:t>
            </w:r>
          </w:p>
        </w:tc>
      </w:tr>
      <w:tr>
        <w:trPr>
          <w:trHeight w:val="183"/>
        </w:trPr>
        <w:tc>
          <w:tcPr>
            <w:tcW w:w="5160" w:type="dxa"/>
            <w:vAlign w:val="bottom"/>
          </w:tcPr>
          <w:p>
            <w:pPr>
              <w:spacing w:after="0"/>
              <w:rPr>
                <w:sz w:val="15"/>
                <w:szCs w:val="15"/>
                <w:color w:val="auto"/>
              </w:rPr>
            </w:pPr>
          </w:p>
        </w:tc>
        <w:tc>
          <w:tcPr>
            <w:tcW w:w="1060" w:type="dxa"/>
            <w:vAlign w:val="bottom"/>
            <w:tcBorders>
              <w:bottom w:val="single" w:sz="8" w:color="auto"/>
            </w:tcBorders>
          </w:tcPr>
          <w:p>
            <w:pPr>
              <w:jc w:val="right"/>
              <w:ind w:right="207"/>
              <w:spacing w:after="0" w:line="182" w:lineRule="exact"/>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0"/>
              <w:spacing w:after="0" w:line="182" w:lineRule="exact"/>
              <w:rPr>
                <w:sz w:val="20"/>
                <w:szCs w:val="20"/>
                <w:color w:val="auto"/>
              </w:rPr>
            </w:pPr>
            <w:r>
              <w:rPr>
                <w:rFonts w:ascii="Arial" w:cs="Arial" w:eastAsia="Arial" w:hAnsi="Arial"/>
                <w:sz w:val="16"/>
                <w:szCs w:val="16"/>
                <w:b w:val="1"/>
                <w:bCs w:val="1"/>
                <w:color w:val="auto"/>
                <w:w w:val="86"/>
              </w:rPr>
              <w:t>Price</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7"/>
              </w:rPr>
              <w:t>Term</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0"/>
              <w:spacing w:after="0" w:line="182" w:lineRule="exact"/>
              <w:rPr>
                <w:sz w:val="20"/>
                <w:szCs w:val="20"/>
                <w:color w:val="auto"/>
              </w:rPr>
            </w:pPr>
            <w:r>
              <w:rPr>
                <w:rFonts w:ascii="Arial" w:cs="Arial" w:eastAsia="Arial" w:hAnsi="Arial"/>
                <w:sz w:val="16"/>
                <w:szCs w:val="16"/>
                <w:b w:val="1"/>
                <w:bCs w:val="1"/>
                <w:color w:val="auto"/>
                <w:w w:val="93"/>
              </w:rPr>
              <w:t>Value</w:t>
            </w:r>
          </w:p>
        </w:tc>
      </w:tr>
      <w:tr>
        <w:trPr>
          <w:trHeight w:val="174"/>
        </w:trPr>
        <w:tc>
          <w:tcPr>
            <w:tcW w:w="5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w w:val="92"/>
              </w:rPr>
              <w:t>(in years)</w:t>
            </w:r>
          </w:p>
        </w:tc>
        <w:tc>
          <w:tcPr>
            <w:tcW w:w="240" w:type="dxa"/>
            <w:vAlign w:val="bottom"/>
          </w:tcPr>
          <w:p>
            <w:pPr>
              <w:spacing w:after="0"/>
              <w:rPr>
                <w:sz w:val="15"/>
                <w:szCs w:val="15"/>
                <w:color w:val="auto"/>
              </w:rPr>
            </w:pPr>
          </w:p>
        </w:tc>
        <w:tc>
          <w:tcPr>
            <w:tcW w:w="1020" w:type="dxa"/>
            <w:vAlign w:val="bottom"/>
            <w:gridSpan w:val="2"/>
          </w:tcPr>
          <w:p>
            <w:pPr>
              <w:jc w:val="center"/>
              <w:spacing w:after="0" w:line="174" w:lineRule="exact"/>
              <w:rPr>
                <w:sz w:val="20"/>
                <w:szCs w:val="20"/>
                <w:color w:val="auto"/>
              </w:rPr>
            </w:pPr>
            <w:r>
              <w:rPr>
                <w:rFonts w:ascii="Arial" w:cs="Arial" w:eastAsia="Arial" w:hAnsi="Arial"/>
                <w:sz w:val="16"/>
                <w:szCs w:val="16"/>
                <w:b w:val="1"/>
                <w:bCs w:val="1"/>
                <w:color w:val="auto"/>
                <w:w w:val="88"/>
              </w:rPr>
              <w:t>(in thousands)</w:t>
            </w:r>
          </w:p>
        </w:tc>
      </w:tr>
      <w:tr>
        <w:trPr>
          <w:trHeight w:val="229"/>
        </w:trPr>
        <w:tc>
          <w:tcPr>
            <w:tcW w:w="5160" w:type="dxa"/>
            <w:vAlign w:val="bottom"/>
          </w:tcPr>
          <w:p>
            <w:pPr>
              <w:spacing w:after="0" w:line="229" w:lineRule="exact"/>
              <w:rPr>
                <w:sz w:val="20"/>
                <w:szCs w:val="20"/>
                <w:color w:val="auto"/>
              </w:rPr>
            </w:pPr>
            <w:r>
              <w:rPr>
                <w:rFonts w:ascii="Arial" w:cs="Arial" w:eastAsia="Arial" w:hAnsi="Arial"/>
                <w:sz w:val="20"/>
                <w:szCs w:val="20"/>
                <w:b w:val="1"/>
                <w:bCs w:val="1"/>
                <w:color w:val="auto"/>
              </w:rPr>
              <w:t>Outstanding at December 31, 2021</w:t>
            </w:r>
          </w:p>
        </w:tc>
        <w:tc>
          <w:tcPr>
            <w:tcW w:w="106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360" w:type="dxa"/>
            <w:vAlign w:val="bottom"/>
            <w:gridSpan w:val="2"/>
          </w:tcPr>
          <w:p>
            <w:pPr>
              <w:jc w:val="right"/>
              <w:ind w:right="40"/>
              <w:spacing w:after="0" w:line="229"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19"/>
                <w:szCs w:val="19"/>
                <w:color w:val="auto"/>
              </w:rPr>
            </w:pPr>
          </w:p>
        </w:tc>
        <w:tc>
          <w:tcPr>
            <w:tcW w:w="106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36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900" w:type="dxa"/>
            <w:vAlign w:val="bottom"/>
          </w:tcPr>
          <w:p>
            <w:pPr>
              <w:ind w:left="700"/>
              <w:spacing w:after="0" w:line="229" w:lineRule="exact"/>
              <w:rPr>
                <w:sz w:val="20"/>
                <w:szCs w:val="20"/>
                <w:color w:val="auto"/>
              </w:rPr>
            </w:pPr>
            <w:r>
              <w:rPr>
                <w:rFonts w:ascii="Arial" w:cs="Arial" w:eastAsia="Arial" w:hAnsi="Arial"/>
                <w:sz w:val="20"/>
                <w:szCs w:val="20"/>
                <w:b w:val="1"/>
                <w:bCs w:val="1"/>
                <w:color w:val="auto"/>
                <w:w w:val="89"/>
              </w:rPr>
              <w:t>—</w:t>
            </w:r>
          </w:p>
        </w:tc>
      </w:tr>
      <w:tr>
        <w:trPr>
          <w:trHeight w:val="230"/>
        </w:trPr>
        <w:tc>
          <w:tcPr>
            <w:tcW w:w="5160" w:type="dxa"/>
            <w:vAlign w:val="bottom"/>
          </w:tcPr>
          <w:p>
            <w:pPr>
              <w:ind w:left="200"/>
              <w:spacing w:after="0"/>
              <w:rPr>
                <w:sz w:val="20"/>
                <w:szCs w:val="20"/>
                <w:color w:val="auto"/>
              </w:rPr>
            </w:pPr>
            <w:r>
              <w:rPr>
                <w:rFonts w:ascii="Arial" w:cs="Arial" w:eastAsia="Arial" w:hAnsi="Arial"/>
                <w:sz w:val="20"/>
                <w:szCs w:val="20"/>
                <w:b w:val="1"/>
                <w:bCs w:val="1"/>
                <w:color w:val="auto"/>
              </w:rPr>
              <w:t>Granted</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6,824,712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3.48</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0"/>
        </w:trPr>
        <w:tc>
          <w:tcPr>
            <w:tcW w:w="5160" w:type="dxa"/>
            <w:vAlign w:val="bottom"/>
          </w:tcPr>
          <w:p>
            <w:pPr>
              <w:spacing w:after="0" w:line="220" w:lineRule="exact"/>
              <w:rPr>
                <w:sz w:val="20"/>
                <w:szCs w:val="20"/>
                <w:color w:val="auto"/>
              </w:rPr>
            </w:pPr>
            <w:r>
              <w:rPr>
                <w:rFonts w:ascii="Arial" w:cs="Arial" w:eastAsia="Arial" w:hAnsi="Arial"/>
                <w:sz w:val="20"/>
                <w:szCs w:val="20"/>
                <w:b w:val="1"/>
                <w:bCs w:val="1"/>
                <w:color w:val="auto"/>
              </w:rPr>
              <w:t>Outstanding at December 31, 2022</w:t>
            </w:r>
          </w:p>
        </w:tc>
        <w:tc>
          <w:tcPr>
            <w:tcW w:w="106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6,824,712</w:t>
            </w:r>
          </w:p>
        </w:tc>
        <w:tc>
          <w:tcPr>
            <w:tcW w:w="360" w:type="dxa"/>
            <w:vAlign w:val="bottom"/>
            <w:gridSpan w:val="2"/>
          </w:tcPr>
          <w:p>
            <w:pPr>
              <w:jc w:val="right"/>
              <w:ind w:right="40"/>
              <w:spacing w:after="0" w:line="220" w:lineRule="exact"/>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line="220" w:lineRule="exact"/>
              <w:rPr>
                <w:sz w:val="20"/>
                <w:szCs w:val="20"/>
                <w:color w:val="auto"/>
              </w:rPr>
            </w:pPr>
            <w:r>
              <w:rPr>
                <w:rFonts w:ascii="Arial" w:cs="Arial" w:eastAsia="Arial" w:hAnsi="Arial"/>
                <w:sz w:val="20"/>
                <w:szCs w:val="20"/>
                <w:b w:val="1"/>
                <w:bCs w:val="1"/>
                <w:color w:val="auto"/>
              </w:rPr>
              <w:t>3.48</w:t>
            </w:r>
          </w:p>
        </w:tc>
        <w:tc>
          <w:tcPr>
            <w:tcW w:w="12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9.88</w:t>
            </w:r>
          </w:p>
        </w:tc>
        <w:tc>
          <w:tcPr>
            <w:tcW w:w="3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900" w:type="dxa"/>
            <w:vAlign w:val="bottom"/>
          </w:tcPr>
          <w:p>
            <w:pPr>
              <w:ind w:left="700"/>
              <w:spacing w:after="0" w:line="220" w:lineRule="exact"/>
              <w:rPr>
                <w:sz w:val="20"/>
                <w:szCs w:val="20"/>
                <w:color w:val="auto"/>
              </w:rPr>
            </w:pPr>
            <w:r>
              <w:rPr>
                <w:rFonts w:ascii="Arial" w:cs="Arial" w:eastAsia="Arial" w:hAnsi="Arial"/>
                <w:sz w:val="20"/>
                <w:szCs w:val="20"/>
                <w:b w:val="1"/>
                <w:bCs w:val="1"/>
                <w:color w:val="auto"/>
                <w:w w:val="89"/>
              </w:rPr>
              <w:t>—</w:t>
            </w:r>
          </w:p>
        </w:tc>
      </w:tr>
      <w:tr>
        <w:trPr>
          <w:trHeight w:val="276"/>
        </w:trPr>
        <w:tc>
          <w:tcPr>
            <w:tcW w:w="5160" w:type="dxa"/>
            <w:vAlign w:val="bottom"/>
          </w:tcPr>
          <w:p>
            <w:pPr>
              <w:spacing w:after="0"/>
              <w:rPr>
                <w:sz w:val="20"/>
                <w:szCs w:val="20"/>
                <w:color w:val="auto"/>
              </w:rPr>
            </w:pPr>
            <w:r>
              <w:rPr>
                <w:rFonts w:ascii="Arial" w:cs="Arial" w:eastAsia="Arial" w:hAnsi="Arial"/>
                <w:sz w:val="20"/>
                <w:szCs w:val="20"/>
                <w:b w:val="1"/>
                <w:bCs w:val="1"/>
                <w:color w:val="auto"/>
              </w:rPr>
              <w:t>Warrants exercisable at December 31, 2022</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8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ind w:left="700"/>
              <w:spacing w:after="0"/>
              <w:rPr>
                <w:sz w:val="20"/>
                <w:szCs w:val="20"/>
                <w:color w:val="auto"/>
              </w:rPr>
            </w:pPr>
            <w:r>
              <w:rPr>
                <w:rFonts w:ascii="Arial" w:cs="Arial" w:eastAsia="Arial" w:hAnsi="Arial"/>
                <w:sz w:val="20"/>
                <w:szCs w:val="20"/>
                <w:b w:val="1"/>
                <w:bCs w:val="1"/>
                <w:color w:val="auto"/>
                <w:w w:val="8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-631825</wp:posOffset>
            </wp:positionV>
            <wp:extent cx="6427470" cy="64579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22">
                      <a:extLst>
                        <a:ext uri="{28A0092B-C50C-407E-A947-70E740481C1C}"/>
                      </a:extLst>
                    </a:blip>
                    <a:srcRect/>
                    <a:stretch>
                      <a:fillRect/>
                    </a:stretch>
                  </pic:blipFill>
                  <pic:spPr bwMode="auto">
                    <a:xfrm>
                      <a:off x="0" y="0"/>
                      <a:ext cx="6427470" cy="645795"/>
                    </a:xfrm>
                    <a:prstGeom prst="rect">
                      <a:avLst/>
                    </a:prstGeom>
                    <a:noFill/>
                  </pic:spPr>
                </pic:pic>
              </a:graphicData>
            </a:graphic>
          </wp:anchor>
        </w:drawing>
      </w:r>
    </w:p>
    <w:p>
      <w:pPr>
        <w:spacing w:after="0" w:line="2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Assumptions used to determine the fair value of PHP Warrant using the simulation model based on Geometric Brownian Motion in a risk-neutral framework are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2"/>
              </w:rPr>
              <w:t>Year Ended December 31,</w:t>
            </w:r>
          </w:p>
        </w:tc>
      </w:tr>
      <w:tr>
        <w:trPr>
          <w:trHeight w:val="174"/>
        </w:trPr>
        <w:tc>
          <w:tcPr>
            <w:tcW w:w="5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40" w:type="dxa"/>
            <w:vAlign w:val="bottom"/>
            <w:tcBorders>
              <w:top w:val="single" w:sz="8" w:color="auto"/>
              <w:bottom w:val="single" w:sz="8" w:color="auto"/>
            </w:tcBorders>
          </w:tcPr>
          <w:p>
            <w:pPr>
              <w:jc w:val="right"/>
              <w:ind w:right="845"/>
              <w:spacing w:after="0" w:line="175" w:lineRule="exact"/>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5"/>
                <w:szCs w:val="15"/>
                <w:color w:val="auto"/>
              </w:rPr>
            </w:pPr>
          </w:p>
        </w:tc>
      </w:tr>
      <w:tr>
        <w:trPr>
          <w:trHeight w:val="220"/>
        </w:trPr>
        <w:tc>
          <w:tcPr>
            <w:tcW w:w="5900" w:type="dxa"/>
            <w:vAlign w:val="bottom"/>
          </w:tcPr>
          <w:p>
            <w:pPr>
              <w:spacing w:after="0" w:line="220" w:lineRule="exact"/>
              <w:rPr>
                <w:sz w:val="20"/>
                <w:szCs w:val="20"/>
                <w:color w:val="auto"/>
              </w:rPr>
            </w:pPr>
            <w:r>
              <w:rPr>
                <w:rFonts w:ascii="Arial" w:cs="Arial" w:eastAsia="Arial" w:hAnsi="Arial"/>
                <w:sz w:val="20"/>
                <w:szCs w:val="20"/>
                <w:b w:val="1"/>
                <w:bCs w:val="1"/>
                <w:color w:val="auto"/>
              </w:rPr>
              <w:t>Weighted-average grant date fair value per warrant</w:t>
            </w:r>
          </w:p>
        </w:tc>
        <w:tc>
          <w:tcPr>
            <w:tcW w:w="1980" w:type="dxa"/>
            <w:vAlign w:val="bottom"/>
            <w:gridSpan w:val="2"/>
          </w:tcPr>
          <w:p>
            <w:pPr>
              <w:jc w:val="right"/>
              <w:ind w:right="40"/>
              <w:spacing w:after="0" w:line="220" w:lineRule="exact"/>
              <w:rPr>
                <w:sz w:val="20"/>
                <w:szCs w:val="20"/>
                <w:color w:val="auto"/>
              </w:rPr>
            </w:pPr>
            <w:r>
              <w:rPr>
                <w:rFonts w:ascii="Arial" w:cs="Arial" w:eastAsia="Arial" w:hAnsi="Arial"/>
                <w:sz w:val="20"/>
                <w:szCs w:val="20"/>
                <w:b w:val="1"/>
                <w:bCs w:val="1"/>
                <w:color w:val="auto"/>
              </w:rPr>
              <w:t>$</w:t>
            </w:r>
          </w:p>
        </w:tc>
        <w:tc>
          <w:tcPr>
            <w:tcW w:w="2200" w:type="dxa"/>
            <w:vAlign w:val="bottom"/>
            <w:gridSpan w:val="2"/>
          </w:tcPr>
          <w:p>
            <w:pPr>
              <w:jc w:val="right"/>
              <w:ind w:right="160"/>
              <w:spacing w:after="0" w:line="220" w:lineRule="exact"/>
              <w:rPr>
                <w:sz w:val="20"/>
                <w:szCs w:val="20"/>
                <w:color w:val="auto"/>
              </w:rPr>
            </w:pPr>
            <w:r>
              <w:rPr>
                <w:rFonts w:ascii="Arial" w:cs="Arial" w:eastAsia="Arial" w:hAnsi="Arial"/>
                <w:sz w:val="20"/>
                <w:szCs w:val="20"/>
                <w:b w:val="1"/>
                <w:bCs w:val="1"/>
                <w:color w:val="auto"/>
              </w:rPr>
              <w:t>2.55</w:t>
            </w:r>
          </w:p>
        </w:tc>
      </w:tr>
      <w:tr>
        <w:trPr>
          <w:trHeight w:val="228"/>
        </w:trPr>
        <w:tc>
          <w:tcPr>
            <w:tcW w:w="5900" w:type="dxa"/>
            <w:vAlign w:val="bottom"/>
          </w:tcPr>
          <w:p>
            <w:pPr>
              <w:spacing w:after="0" w:line="229" w:lineRule="exact"/>
              <w:rPr>
                <w:sz w:val="20"/>
                <w:szCs w:val="20"/>
                <w:color w:val="auto"/>
              </w:rPr>
            </w:pPr>
            <w:r>
              <w:rPr>
                <w:rFonts w:ascii="Arial" w:cs="Arial" w:eastAsia="Arial" w:hAnsi="Arial"/>
                <w:sz w:val="20"/>
                <w:szCs w:val="20"/>
                <w:b w:val="1"/>
                <w:bCs w:val="1"/>
                <w:color w:val="auto"/>
              </w:rPr>
              <w:t>Expected term (in years)</w:t>
            </w: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2"/>
          </w:tcPr>
          <w:p>
            <w:pPr>
              <w:jc w:val="right"/>
              <w:ind w:right="160"/>
              <w:spacing w:after="0" w:line="229" w:lineRule="exact"/>
              <w:rPr>
                <w:sz w:val="20"/>
                <w:szCs w:val="20"/>
                <w:color w:val="auto"/>
              </w:rPr>
            </w:pPr>
            <w:r>
              <w:rPr>
                <w:rFonts w:ascii="Arial" w:cs="Arial" w:eastAsia="Arial" w:hAnsi="Arial"/>
                <w:sz w:val="20"/>
                <w:szCs w:val="20"/>
                <w:b w:val="1"/>
                <w:bCs w:val="1"/>
                <w:color w:val="auto"/>
              </w:rPr>
              <w:t>10.0</w:t>
            </w:r>
          </w:p>
        </w:tc>
      </w:tr>
      <w:tr>
        <w:trPr>
          <w:trHeight w:val="230"/>
        </w:trPr>
        <w:tc>
          <w:tcPr>
            <w:tcW w:w="5900" w:type="dxa"/>
            <w:vAlign w:val="bottom"/>
          </w:tcPr>
          <w:p>
            <w:pPr>
              <w:spacing w:after="0"/>
              <w:rPr>
                <w:sz w:val="20"/>
                <w:szCs w:val="20"/>
                <w:color w:val="auto"/>
              </w:rPr>
            </w:pPr>
            <w:r>
              <w:rPr>
                <w:rFonts w:ascii="Arial" w:cs="Arial" w:eastAsia="Arial" w:hAnsi="Arial"/>
                <w:sz w:val="20"/>
                <w:szCs w:val="20"/>
                <w:b w:val="1"/>
                <w:bCs w:val="1"/>
                <w:color w:val="auto"/>
              </w:rPr>
              <w:t>Expected volatility</w:t>
            </w: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20"/>
                <w:szCs w:val="20"/>
                <w:b w:val="1"/>
                <w:bCs w:val="1"/>
                <w:color w:val="auto"/>
              </w:rPr>
              <w:t>70.0%</w:t>
            </w:r>
          </w:p>
        </w:tc>
      </w:tr>
      <w:tr>
        <w:trPr>
          <w:trHeight w:val="230"/>
        </w:trPr>
        <w:tc>
          <w:tcPr>
            <w:tcW w:w="5900" w:type="dxa"/>
            <w:vAlign w:val="bottom"/>
          </w:tcPr>
          <w:p>
            <w:pPr>
              <w:spacing w:after="0"/>
              <w:rPr>
                <w:sz w:val="20"/>
                <w:szCs w:val="20"/>
                <w:color w:val="auto"/>
              </w:rPr>
            </w:pPr>
            <w:r>
              <w:rPr>
                <w:rFonts w:ascii="Arial" w:cs="Arial" w:eastAsia="Arial" w:hAnsi="Arial"/>
                <w:sz w:val="20"/>
                <w:szCs w:val="20"/>
                <w:b w:val="1"/>
                <w:bCs w:val="1"/>
                <w:color w:val="auto"/>
              </w:rPr>
              <w:t>Risk-free interest rate</w:t>
            </w: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20"/>
                <w:szCs w:val="20"/>
                <w:b w:val="1"/>
                <w:bCs w:val="1"/>
                <w:color w:val="auto"/>
              </w:rPr>
              <w:t>3.8%</w:t>
            </w:r>
          </w:p>
        </w:tc>
      </w:tr>
      <w:tr>
        <w:trPr>
          <w:trHeight w:val="230"/>
        </w:trPr>
        <w:tc>
          <w:tcPr>
            <w:tcW w:w="5900" w:type="dxa"/>
            <w:vAlign w:val="bottom"/>
          </w:tcPr>
          <w:p>
            <w:pPr>
              <w:spacing w:after="0"/>
              <w:rPr>
                <w:sz w:val="20"/>
                <w:szCs w:val="20"/>
                <w:color w:val="auto"/>
              </w:rPr>
            </w:pPr>
            <w:r>
              <w:rPr>
                <w:rFonts w:ascii="Arial" w:cs="Arial" w:eastAsia="Arial" w:hAnsi="Arial"/>
                <w:sz w:val="20"/>
                <w:szCs w:val="20"/>
                <w:b w:val="1"/>
                <w:bCs w:val="1"/>
                <w:color w:val="auto"/>
              </w:rPr>
              <w:t>Expected dividend yield</w:t>
            </w: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5900" w:type="dxa"/>
            <w:vAlign w:val="bottom"/>
          </w:tcPr>
          <w:p>
            <w:pPr>
              <w:spacing w:after="0"/>
              <w:rPr>
                <w:sz w:val="20"/>
                <w:szCs w:val="20"/>
                <w:color w:val="auto"/>
              </w:rPr>
            </w:pPr>
            <w:r>
              <w:rPr>
                <w:rFonts w:ascii="Arial" w:cs="Arial" w:eastAsia="Arial" w:hAnsi="Arial"/>
                <w:sz w:val="20"/>
                <w:szCs w:val="20"/>
                <w:b w:val="1"/>
                <w:bCs w:val="1"/>
                <w:color w:val="auto"/>
              </w:rPr>
              <w:t>Common shares outstanding</w:t>
            </w:r>
          </w:p>
        </w:tc>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108,982,401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-895350</wp:posOffset>
            </wp:positionV>
            <wp:extent cx="6427470" cy="9093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23">
                      <a:extLst>
                        <a:ext uri="{28A0092B-C50C-407E-A947-70E740481C1C}"/>
                      </a:extLst>
                    </a:blip>
                    <a:srcRect/>
                    <a:stretch>
                      <a:fillRect/>
                    </a:stretch>
                  </pic:blipFill>
                  <pic:spPr bwMode="auto">
                    <a:xfrm>
                      <a:off x="0" y="0"/>
                      <a:ext cx="6427470" cy="909320"/>
                    </a:xfrm>
                    <a:prstGeom prst="rect">
                      <a:avLst/>
                    </a:prstGeom>
                    <a:noFill/>
                  </pic:spPr>
                </pic:pic>
              </a:graphicData>
            </a:graphic>
          </wp:anchor>
        </w:drawing>
      </w:r>
    </w:p>
    <w:p>
      <w:pPr>
        <w:spacing w:after="0" w:line="231" w:lineRule="exact"/>
        <w:rPr>
          <w:sz w:val="20"/>
          <w:szCs w:val="20"/>
          <w:color w:val="auto"/>
        </w:rPr>
      </w:pPr>
    </w:p>
    <w:p>
      <w:pPr>
        <w:jc w:val="both"/>
        <w:ind w:firstLine="490"/>
        <w:spacing w:after="0" w:line="233" w:lineRule="auto"/>
        <w:rPr>
          <w:sz w:val="20"/>
          <w:szCs w:val="20"/>
          <w:color w:val="auto"/>
        </w:rPr>
      </w:pPr>
      <w:r>
        <w:rPr>
          <w:rFonts w:ascii="Arial" w:cs="Arial" w:eastAsia="Arial" w:hAnsi="Arial"/>
          <w:sz w:val="20"/>
          <w:szCs w:val="20"/>
          <w:b w:val="1"/>
          <w:bCs w:val="1"/>
          <w:color w:val="auto"/>
        </w:rPr>
        <w:t>The aggregate grant date fair value of the PHP Warrant was $17.4 million which was recognized as warrant expense on the grant date.</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31" w:lineRule="exact"/>
        <w:rPr>
          <w:sz w:val="20"/>
          <w:szCs w:val="20"/>
          <w:color w:val="auto"/>
        </w:rPr>
      </w:pPr>
    </w:p>
    <w:p>
      <w:pPr>
        <w:jc w:val="both"/>
        <w:ind w:firstLine="490"/>
        <w:spacing w:after="0" w:line="237" w:lineRule="auto"/>
        <w:rPr>
          <w:sz w:val="20"/>
          <w:szCs w:val="20"/>
          <w:color w:val="auto"/>
        </w:rPr>
      </w:pPr>
      <w:r>
        <w:rPr>
          <w:rFonts w:ascii="Arial" w:cs="Arial" w:eastAsia="Arial" w:hAnsi="Arial"/>
          <w:sz w:val="20"/>
          <w:szCs w:val="20"/>
          <w:b w:val="1"/>
          <w:bCs w:val="1"/>
          <w:color w:val="auto"/>
        </w:rPr>
        <w:t>During the years ended December 31, 2022 and 2021, the Company did not record income tax benefits for the net operating losses (“NOLs”) incurred or for the research and development tax credits generated in each period, due to its uncertainty of realizing a benefit from those items. All of the Company’s operating losses since inception have been generated in the U.S.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F-30</w:t>
      </w:r>
    </w:p>
    <w:p>
      <w:pPr>
        <w:sectPr>
          <w:pgSz w:w="12240" w:h="15840" w:orient="portrait"/>
          <w:cols w:equalWidth="0" w:num="1">
            <w:col w:w="10080"/>
          </w:cols>
          <w:pgMar w:left="1080" w:top="1079" w:right="1080" w:bottom="157" w:gutter="0" w:footer="0" w:header="0"/>
        </w:sectPr>
      </w:pPr>
    </w:p>
    <w:bookmarkStart w:id="150" w:name="page151"/>
    <w:bookmarkEnd w:id="150"/>
    <w:p>
      <w:pPr>
        <w:ind w:left="480"/>
        <w:spacing w:after="0"/>
        <w:rPr>
          <w:sz w:val="20"/>
          <w:szCs w:val="20"/>
          <w:color w:val="auto"/>
        </w:rPr>
      </w:pPr>
      <w:r>
        <w:rPr>
          <w:rFonts w:ascii="Arial" w:cs="Arial" w:eastAsia="Arial" w:hAnsi="Arial"/>
          <w:sz w:val="17"/>
          <w:szCs w:val="17"/>
          <w:b w:val="1"/>
          <w:bCs w:val="1"/>
          <w:color w:val="auto"/>
        </w:rPr>
        <w:t>A reconciliation of the U.S. federal statutory income tax rate to the Company’s effective income tax rate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7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780" w:type="dxa"/>
            <w:vAlign w:val="bottom"/>
          </w:tcPr>
          <w:p>
            <w:pPr>
              <w:spacing w:after="0" w:line="220" w:lineRule="exact"/>
              <w:rPr>
                <w:sz w:val="20"/>
                <w:szCs w:val="20"/>
                <w:color w:val="auto"/>
              </w:rPr>
            </w:pPr>
            <w:r>
              <w:rPr>
                <w:rFonts w:ascii="Arial" w:cs="Arial" w:eastAsia="Arial" w:hAnsi="Arial"/>
                <w:sz w:val="20"/>
                <w:szCs w:val="20"/>
                <w:b w:val="1"/>
                <w:bCs w:val="1"/>
                <w:color w:val="auto"/>
              </w:rPr>
              <w:t>Federal statutory income tax rate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spacing w:after="0" w:line="220" w:lineRule="exact"/>
              <w:rPr>
                <w:sz w:val="20"/>
                <w:szCs w:val="20"/>
                <w:color w:val="auto"/>
              </w:rPr>
            </w:pPr>
            <w:r>
              <w:rPr>
                <w:rFonts w:ascii="Arial" w:cs="Arial" w:eastAsia="Arial" w:hAnsi="Arial"/>
                <w:sz w:val="20"/>
                <w:szCs w:val="20"/>
                <w:b w:val="1"/>
                <w:bCs w:val="1"/>
                <w:color w:val="auto"/>
              </w:rPr>
              <w:t>(21.0)%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spacing w:after="0" w:line="220" w:lineRule="exact"/>
              <w:rPr>
                <w:sz w:val="20"/>
                <w:szCs w:val="20"/>
                <w:color w:val="auto"/>
              </w:rPr>
            </w:pPr>
            <w:r>
              <w:rPr>
                <w:rFonts w:ascii="Arial" w:cs="Arial" w:eastAsia="Arial" w:hAnsi="Arial"/>
                <w:sz w:val="20"/>
                <w:szCs w:val="20"/>
                <w:b w:val="1"/>
                <w:bCs w:val="1"/>
                <w:color w:val="auto"/>
              </w:rPr>
              <w:t>(21.0)%</w:t>
            </w:r>
          </w:p>
        </w:tc>
        <w:tc>
          <w:tcPr>
            <w:tcW w:w="0" w:type="dxa"/>
            <w:vAlign w:val="bottom"/>
          </w:tcPr>
          <w:p>
            <w:pPr>
              <w:spacing w:after="0"/>
              <w:rPr>
                <w:sz w:val="1"/>
                <w:szCs w:val="1"/>
                <w:color w:val="auto"/>
              </w:rPr>
            </w:pPr>
          </w:p>
        </w:tc>
      </w:tr>
      <w:tr>
        <w:trPr>
          <w:trHeight w:val="228"/>
        </w:trPr>
        <w:tc>
          <w:tcPr>
            <w:tcW w:w="678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State income taxes, net of federal benefit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00"/>
              <w:spacing w:after="0" w:line="228" w:lineRule="exact"/>
              <w:rPr>
                <w:sz w:val="20"/>
                <w:szCs w:val="20"/>
                <w:color w:val="auto"/>
              </w:rPr>
            </w:pPr>
            <w:r>
              <w:rPr>
                <w:rFonts w:ascii="Arial" w:cs="Arial" w:eastAsia="Arial" w:hAnsi="Arial"/>
                <w:sz w:val="20"/>
                <w:szCs w:val="20"/>
                <w:b w:val="1"/>
                <w:bCs w:val="1"/>
                <w:color w:val="auto"/>
              </w:rPr>
              <w:t>(3.5)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0"/>
              <w:spacing w:after="0" w:line="228" w:lineRule="exact"/>
              <w:rPr>
                <w:sz w:val="20"/>
                <w:szCs w:val="20"/>
                <w:color w:val="auto"/>
              </w:rPr>
            </w:pPr>
            <w:r>
              <w:rPr>
                <w:rFonts w:ascii="Arial" w:cs="Arial" w:eastAsia="Arial" w:hAnsi="Arial"/>
                <w:sz w:val="20"/>
                <w:szCs w:val="20"/>
                <w:b w:val="1"/>
                <w:bCs w:val="1"/>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Federal research and development tax credits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(4.1)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Stock-based compensation</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Change in deferred tax asset valuation allowance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28.3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25.3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780" w:type="dxa"/>
            <w:vAlign w:val="bottom"/>
          </w:tcPr>
          <w:p>
            <w:pPr>
              <w:spacing w:after="0" w:line="220" w:lineRule="exact"/>
              <w:rPr>
                <w:sz w:val="20"/>
                <w:szCs w:val="20"/>
                <w:color w:val="auto"/>
              </w:rPr>
            </w:pPr>
            <w:r>
              <w:rPr>
                <w:rFonts w:ascii="Arial" w:cs="Arial" w:eastAsia="Arial" w:hAnsi="Arial"/>
                <w:sz w:val="20"/>
                <w:szCs w:val="20"/>
                <w:b w:val="1"/>
                <w:bCs w:val="1"/>
                <w:color w:val="auto"/>
              </w:rPr>
              <w:t>Effective income tax rate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80"/>
              <w:spacing w:after="0" w:line="220" w:lineRule="exact"/>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60"/>
              <w:spacing w:after="0" w:line="220" w:lineRule="exact"/>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550"/>
        </w:trPr>
        <w:tc>
          <w:tcPr>
            <w:tcW w:w="7160" w:type="dxa"/>
            <w:vAlign w:val="bottom"/>
            <w:gridSpan w:val="3"/>
          </w:tcPr>
          <w:p>
            <w:pPr>
              <w:ind w:left="480"/>
              <w:spacing w:after="0"/>
              <w:rPr>
                <w:sz w:val="20"/>
                <w:szCs w:val="20"/>
                <w:color w:val="auto"/>
              </w:rPr>
            </w:pPr>
            <w:r>
              <w:rPr>
                <w:rFonts w:ascii="Arial" w:cs="Arial" w:eastAsia="Arial" w:hAnsi="Arial"/>
                <w:sz w:val="20"/>
                <w:szCs w:val="20"/>
                <w:b w:val="1"/>
                <w:bCs w:val="1"/>
                <w:color w:val="auto"/>
                <w:w w:val="85"/>
              </w:rPr>
              <w:t>The Company’s net deferred tax assets consisted of the following (in thousands):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6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9"/>
          </w:tcPr>
          <w:p>
            <w:pPr>
              <w:jc w:val="right"/>
              <w:ind w:right="74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283"/>
              <w:spacing w:after="0" w:line="175" w:lineRule="exact"/>
              <w:rPr>
                <w:sz w:val="20"/>
                <w:szCs w:val="20"/>
                <w:color w:val="auto"/>
              </w:rPr>
            </w:pPr>
            <w:r>
              <w:rPr>
                <w:rFonts w:ascii="Arial" w:cs="Arial" w:eastAsia="Arial" w:hAnsi="Arial"/>
                <w:sz w:val="16"/>
                <w:szCs w:val="16"/>
                <w:b w:val="1"/>
                <w:bCs w:val="1"/>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02"/>
              <w:spacing w:after="0" w:line="175" w:lineRule="exact"/>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780" w:type="dxa"/>
            <w:vAlign w:val="bottom"/>
          </w:tcPr>
          <w:p>
            <w:pPr>
              <w:spacing w:after="0" w:line="220" w:lineRule="exact"/>
              <w:rPr>
                <w:sz w:val="20"/>
                <w:szCs w:val="20"/>
                <w:color w:val="auto"/>
              </w:rPr>
            </w:pPr>
            <w:r>
              <w:rPr>
                <w:rFonts w:ascii="Arial" w:cs="Arial" w:eastAsia="Arial" w:hAnsi="Arial"/>
                <w:sz w:val="20"/>
                <w:szCs w:val="20"/>
                <w:b w:val="1"/>
                <w:bCs w:val="1"/>
                <w:color w:val="auto"/>
              </w:rPr>
              <w:t>Deferred tax assets: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Net operating loss carryforwards</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20"/>
                <w:szCs w:val="20"/>
                <w:b w:val="1"/>
                <w:bCs w:val="1"/>
                <w:color w:val="auto"/>
              </w:rPr>
              <w:t>61,653</w:t>
            </w:r>
          </w:p>
        </w:tc>
        <w:tc>
          <w:tcPr>
            <w:tcW w:w="44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51,635</w:t>
            </w: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Capitalized research and development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20"/>
                <w:szCs w:val="20"/>
                <w:b w:val="1"/>
                <w:bCs w:val="1"/>
                <w:color w:val="auto"/>
              </w:rPr>
              <w:t>36,550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Research and development tax credit carryforwards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80"/>
              <w:spacing w:after="0"/>
              <w:rPr>
                <w:sz w:val="20"/>
                <w:szCs w:val="20"/>
                <w:color w:val="auto"/>
              </w:rPr>
            </w:pPr>
            <w:r>
              <w:rPr>
                <w:rFonts w:ascii="Arial" w:cs="Arial" w:eastAsia="Arial" w:hAnsi="Arial"/>
                <w:sz w:val="20"/>
                <w:szCs w:val="20"/>
                <w:b w:val="1"/>
                <w:bCs w:val="1"/>
                <w:color w:val="auto"/>
              </w:rPr>
              <w:t>16,901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b w:val="1"/>
                <w:bCs w:val="1"/>
                <w:color w:val="auto"/>
              </w:rPr>
              <w:t>4,350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Stock-based compensation expense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8,308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spacing w:after="0" w:line="228" w:lineRule="exact"/>
              <w:rPr>
                <w:sz w:val="20"/>
                <w:szCs w:val="20"/>
                <w:color w:val="auto"/>
              </w:rPr>
            </w:pPr>
            <w:r>
              <w:rPr>
                <w:rFonts w:ascii="Arial" w:cs="Arial" w:eastAsia="Arial" w:hAnsi="Arial"/>
                <w:sz w:val="20"/>
                <w:szCs w:val="20"/>
                <w:b w:val="1"/>
                <w:bCs w:val="1"/>
                <w:color w:val="auto"/>
              </w:rPr>
              <w:t>4,116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Warrant expense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b w:val="1"/>
                <w:bCs w:val="1"/>
                <w:color w:val="auto"/>
              </w:rPr>
              <w:t>4,066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Intangibles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b w:val="1"/>
                <w:bCs w:val="1"/>
                <w:color w:val="auto"/>
              </w:rPr>
              <w:t>2,602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b w:val="1"/>
                <w:bCs w:val="1"/>
                <w:color w:val="auto"/>
              </w:rPr>
              <w:t>1,707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Operating lease liability</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20"/>
                <w:szCs w:val="20"/>
                <w:b w:val="1"/>
                <w:bCs w:val="1"/>
                <w:color w:val="auto"/>
              </w:rPr>
              <w:t>871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Other</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1,269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b w:val="1"/>
                <w:bCs w:val="1"/>
                <w:color w:val="auto"/>
              </w:rPr>
              <w:t>1,160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78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gross deferred tax assets</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b w:val="1"/>
                <w:bCs w:val="1"/>
                <w:color w:val="auto"/>
              </w:rPr>
              <w:t>132,220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line="220" w:lineRule="exact"/>
              <w:rPr>
                <w:sz w:val="20"/>
                <w:szCs w:val="20"/>
                <w:color w:val="auto"/>
              </w:rPr>
            </w:pPr>
            <w:r>
              <w:rPr>
                <w:rFonts w:ascii="Arial" w:cs="Arial" w:eastAsia="Arial" w:hAnsi="Arial"/>
                <w:sz w:val="20"/>
                <w:szCs w:val="20"/>
                <w:b w:val="1"/>
                <w:bCs w:val="1"/>
                <w:color w:val="auto"/>
              </w:rPr>
              <w:t>62,968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80" w:type="dxa"/>
            <w:vAlign w:val="bottom"/>
          </w:tcPr>
          <w:p>
            <w:pPr>
              <w:spacing w:after="0" w:line="220" w:lineRule="exact"/>
              <w:rPr>
                <w:sz w:val="20"/>
                <w:szCs w:val="20"/>
                <w:color w:val="auto"/>
              </w:rPr>
            </w:pPr>
            <w:r>
              <w:rPr>
                <w:rFonts w:ascii="Arial" w:cs="Arial" w:eastAsia="Arial" w:hAnsi="Arial"/>
                <w:sz w:val="20"/>
                <w:szCs w:val="20"/>
                <w:b w:val="1"/>
                <w:bCs w:val="1"/>
                <w:color w:val="auto"/>
              </w:rPr>
              <w:t>Valuation allowance</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3"/>
          </w:tcPr>
          <w:p>
            <w:pPr>
              <w:jc w:val="right"/>
              <w:ind w:right="20"/>
              <w:spacing w:after="0" w:line="220" w:lineRule="exact"/>
              <w:rPr>
                <w:sz w:val="20"/>
                <w:szCs w:val="20"/>
                <w:color w:val="auto"/>
              </w:rPr>
            </w:pPr>
            <w:r>
              <w:rPr>
                <w:rFonts w:ascii="Arial" w:cs="Arial" w:eastAsia="Arial" w:hAnsi="Arial"/>
                <w:sz w:val="20"/>
                <w:szCs w:val="20"/>
                <w:b w:val="1"/>
                <w:bCs w:val="1"/>
                <w:color w:val="auto"/>
              </w:rPr>
              <w:t>(131,325)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40"/>
              <w:spacing w:after="0" w:line="220" w:lineRule="exact"/>
              <w:rPr>
                <w:sz w:val="20"/>
                <w:szCs w:val="20"/>
                <w:color w:val="auto"/>
              </w:rPr>
            </w:pPr>
            <w:r>
              <w:rPr>
                <w:rFonts w:ascii="Arial" w:cs="Arial" w:eastAsia="Arial" w:hAnsi="Arial"/>
                <w:sz w:val="20"/>
                <w:szCs w:val="20"/>
                <w:b w:val="1"/>
                <w:bCs w:val="1"/>
                <w:color w:val="auto"/>
              </w:rPr>
              <w:t>(62,968)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780" w:type="dxa"/>
            <w:vAlign w:val="bottom"/>
          </w:tcPr>
          <w:p>
            <w:pPr>
              <w:ind w:left="400"/>
              <w:spacing w:after="0" w:line="220" w:lineRule="exact"/>
              <w:rPr>
                <w:sz w:val="20"/>
                <w:szCs w:val="20"/>
                <w:color w:val="auto"/>
              </w:rPr>
            </w:pPr>
            <w:r>
              <w:rPr>
                <w:rFonts w:ascii="Arial" w:cs="Arial" w:eastAsia="Arial" w:hAnsi="Arial"/>
                <w:sz w:val="20"/>
                <w:szCs w:val="20"/>
                <w:b w:val="1"/>
                <w:bCs w:val="1"/>
                <w:color w:val="auto"/>
              </w:rPr>
              <w:t>Total deferred tax assets</w:t>
            </w:r>
          </w:p>
        </w:tc>
        <w:tc>
          <w:tcPr>
            <w:tcW w:w="380" w:type="dxa"/>
            <w:vAlign w:val="bottom"/>
            <w:gridSpan w:val="2"/>
          </w:tcPr>
          <w:p>
            <w:pPr>
              <w:jc w:val="right"/>
              <w:ind w:right="140"/>
              <w:spacing w:after="0" w:line="220" w:lineRule="exact"/>
              <w:rPr>
                <w:sz w:val="20"/>
                <w:szCs w:val="20"/>
                <w:color w:val="auto"/>
              </w:rPr>
            </w:pPr>
            <w:r>
              <w:rPr>
                <w:rFonts w:ascii="Arial" w:cs="Arial" w:eastAsia="Arial" w:hAnsi="Arial"/>
                <w:sz w:val="20"/>
                <w:szCs w:val="20"/>
                <w:b w:val="1"/>
                <w:bCs w:val="1"/>
                <w:color w:val="auto"/>
              </w:rPr>
              <w:t>$</w:t>
            </w:r>
          </w:p>
        </w:tc>
        <w:tc>
          <w:tcPr>
            <w:tcW w:w="11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895</w:t>
            </w:r>
          </w:p>
        </w:tc>
        <w:tc>
          <w:tcPr>
            <w:tcW w:w="80" w:type="dxa"/>
            <w:vAlign w:val="bottom"/>
          </w:tcPr>
          <w:p>
            <w:pPr>
              <w:spacing w:after="0"/>
              <w:rPr>
                <w:sz w:val="19"/>
                <w:szCs w:val="19"/>
                <w:color w:val="auto"/>
              </w:rPr>
            </w:pPr>
          </w:p>
        </w:tc>
        <w:tc>
          <w:tcPr>
            <w:tcW w:w="440" w:type="dxa"/>
            <w:vAlign w:val="bottom"/>
            <w:gridSpan w:val="3"/>
          </w:tcPr>
          <w:p>
            <w:pPr>
              <w:jc w:val="right"/>
              <w:ind w:right="160"/>
              <w:spacing w:after="0" w:line="220" w:lineRule="exact"/>
              <w:rPr>
                <w:sz w:val="20"/>
                <w:szCs w:val="20"/>
                <w:color w:val="auto"/>
              </w:rPr>
            </w:pPr>
            <w:r>
              <w:rPr>
                <w:rFonts w:ascii="Arial" w:cs="Arial" w:eastAsia="Arial" w:hAnsi="Arial"/>
                <w:sz w:val="20"/>
                <w:szCs w:val="20"/>
                <w:b w:val="1"/>
                <w:bCs w:val="1"/>
                <w:color w:val="auto"/>
              </w:rPr>
              <w:t>$</w:t>
            </w:r>
          </w:p>
        </w:tc>
        <w:tc>
          <w:tcPr>
            <w:tcW w:w="1240" w:type="dxa"/>
            <w:vAlign w:val="bottom"/>
            <w:gridSpan w:val="3"/>
          </w:tcPr>
          <w:p>
            <w:pPr>
              <w:jc w:val="right"/>
              <w:ind w:right="100"/>
              <w:spacing w:after="0" w:line="220" w:lineRule="exact"/>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73"/>
        </w:trPr>
        <w:tc>
          <w:tcPr>
            <w:tcW w:w="6780" w:type="dxa"/>
            <w:vAlign w:val="bottom"/>
          </w:tcPr>
          <w:p>
            <w:pPr>
              <w:spacing w:after="0"/>
              <w:rPr>
                <w:sz w:val="20"/>
                <w:szCs w:val="20"/>
                <w:color w:val="auto"/>
              </w:rPr>
            </w:pPr>
            <w:r>
              <w:rPr>
                <w:rFonts w:ascii="Arial" w:cs="Arial" w:eastAsia="Arial" w:hAnsi="Arial"/>
                <w:sz w:val="20"/>
                <w:szCs w:val="20"/>
                <w:b w:val="1"/>
                <w:bCs w:val="1"/>
                <w:color w:val="auto"/>
              </w:rPr>
              <w:t>Deferred tax liabilities:</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Operating lease right-of-use assets</w:t>
            </w:r>
          </w:p>
        </w:tc>
        <w:tc>
          <w:tcPr>
            <w:tcW w:w="3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(884)</w:t>
            </w:r>
          </w:p>
        </w:tc>
        <w:tc>
          <w:tcPr>
            <w:tcW w:w="44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0"/>
        </w:trPr>
        <w:tc>
          <w:tcPr>
            <w:tcW w:w="6780" w:type="dxa"/>
            <w:vAlign w:val="bottom"/>
          </w:tcPr>
          <w:p>
            <w:pPr>
              <w:ind w:left="200"/>
              <w:spacing w:after="0"/>
              <w:rPr>
                <w:sz w:val="20"/>
                <w:szCs w:val="20"/>
                <w:color w:val="auto"/>
              </w:rPr>
            </w:pPr>
            <w:r>
              <w:rPr>
                <w:rFonts w:ascii="Arial" w:cs="Arial" w:eastAsia="Arial" w:hAnsi="Arial"/>
                <w:sz w:val="20"/>
                <w:szCs w:val="20"/>
                <w:b w:val="1"/>
                <w:bCs w:val="1"/>
                <w:color w:val="auto"/>
              </w:rPr>
              <w:t>Depreciation expense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(11)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400"/>
              <w:spacing w:after="0"/>
              <w:rPr>
                <w:sz w:val="20"/>
                <w:szCs w:val="20"/>
                <w:color w:val="auto"/>
              </w:rPr>
            </w:pPr>
            <w:r>
              <w:rPr>
                <w:rFonts w:ascii="Arial" w:cs="Arial" w:eastAsia="Arial" w:hAnsi="Arial"/>
                <w:sz w:val="20"/>
                <w:szCs w:val="20"/>
                <w:b w:val="1"/>
                <w:bCs w:val="1"/>
                <w:color w:val="auto"/>
              </w:rPr>
              <w:t>Total deferred tax liabilities</w:t>
            </w: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7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(895)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400"/>
              <w:spacing w:after="0"/>
              <w:rPr>
                <w:sz w:val="20"/>
                <w:szCs w:val="20"/>
                <w:color w:val="auto"/>
              </w:rPr>
            </w:pPr>
            <w:r>
              <w:rPr>
                <w:rFonts w:ascii="Arial" w:cs="Arial" w:eastAsia="Arial" w:hAnsi="Arial"/>
                <w:sz w:val="20"/>
                <w:szCs w:val="20"/>
                <w:b w:val="1"/>
                <w:bCs w:val="1"/>
                <w:color w:val="auto"/>
              </w:rPr>
              <w:t>Total net deferred tax assets</w:t>
            </w: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780" w:type="dxa"/>
            <w:vAlign w:val="bottom"/>
            <w:vMerge w:val="continue"/>
          </w:tcPr>
          <w:p>
            <w:pPr>
              <w:spacing w:after="0"/>
              <w:rPr>
                <w:sz w:val="22"/>
                <w:szCs w:val="2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w:t>
            </w:r>
          </w:p>
        </w:tc>
        <w:tc>
          <w:tcPr>
            <w:tcW w:w="1240" w:type="dxa"/>
            <w:vAlign w:val="bottom"/>
            <w:gridSpan w:val="3"/>
          </w:tcPr>
          <w:p>
            <w:pPr>
              <w:jc w:val="right"/>
              <w:ind w:right="80"/>
              <w:spacing w:after="0"/>
              <w:rPr>
                <w:sz w:val="20"/>
                <w:szCs w:val="20"/>
                <w:color w:val="auto"/>
              </w:rPr>
            </w:pPr>
            <w:r>
              <w:rPr>
                <w:rFonts w:ascii="Arial" w:cs="Arial" w:eastAsia="Arial" w:hAnsi="Arial"/>
                <w:sz w:val="20"/>
                <w:szCs w:val="20"/>
                <w:b w:val="1"/>
                <w:bCs w:val="1"/>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-4318000</wp:posOffset>
            </wp:positionV>
            <wp:extent cx="6427470" cy="9442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24">
                      <a:extLst>
                        <a:ext uri="{28A0092B-C50C-407E-A947-70E740481C1C}"/>
                      </a:extLst>
                    </a:blip>
                    <a:srcRect/>
                    <a:stretch>
                      <a:fillRect/>
                    </a:stretch>
                  </pic:blipFill>
                  <pic:spPr bwMode="auto">
                    <a:xfrm>
                      <a:off x="0" y="0"/>
                      <a:ext cx="6427470" cy="9442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-2609850</wp:posOffset>
            </wp:positionV>
            <wp:extent cx="6427470" cy="265303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25">
                      <a:extLst>
                        <a:ext uri="{28A0092B-C50C-407E-A947-70E740481C1C}"/>
                      </a:extLst>
                    </a:blip>
                    <a:srcRect/>
                    <a:stretch>
                      <a:fillRect/>
                    </a:stretch>
                  </pic:blipFill>
                  <pic:spPr bwMode="auto">
                    <a:xfrm>
                      <a:off x="0" y="0"/>
                      <a:ext cx="6427470" cy="2653030"/>
                    </a:xfrm>
                    <a:prstGeom prst="rect">
                      <a:avLst/>
                    </a:prstGeom>
                    <a:noFill/>
                  </pic:spPr>
                </pic:pic>
              </a:graphicData>
            </a:graphic>
          </wp:anchor>
        </w:drawing>
      </w:r>
    </w:p>
    <w:p>
      <w:pPr>
        <w:spacing w:after="0" w:line="312"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8"/>
          <w:szCs w:val="18"/>
          <w:b w:val="1"/>
          <w:bCs w:val="1"/>
          <w:color w:val="auto"/>
        </w:rPr>
        <w:t>As of December 31, 2022 and 2021, the Company had U.S. federal NOL carryforwards of $263.7 million and $221.9 million, respectively, which may be available to reduce future taxable income. All of the U.S. federal NOL carryforwards have an indefinite carryforward period but are limited in their usage to 80% of annual taxable income. In addition, as of December 31, 2022, the Company had state NOL carryforwards of $103.3 million, which may be available to reduce future taxable income, of which $7.0 million have an indefinite carryforward period while the remaining $96.3 million begin to expire in 2032. As of December 31, 2022, the Company also had U.S. federal and state research and development tax credit carryforwards of $13.2 million and $3.6 million, respectively, which may be available to reduce future tax liabilities and expire at various dates beginning in 2041 and 2036, respectively.</w:t>
      </w:r>
    </w:p>
    <w:p>
      <w:pPr>
        <w:spacing w:after="0" w:line="109" w:lineRule="exact"/>
        <w:rPr>
          <w:sz w:val="20"/>
          <w:szCs w:val="20"/>
          <w:color w:val="auto"/>
        </w:rPr>
      </w:pPr>
    </w:p>
    <w:p>
      <w:pPr>
        <w:jc w:val="both"/>
        <w:ind w:firstLine="490"/>
        <w:spacing w:after="0" w:line="325" w:lineRule="auto"/>
        <w:rPr>
          <w:sz w:val="20"/>
          <w:szCs w:val="20"/>
          <w:color w:val="auto"/>
        </w:rPr>
      </w:pPr>
      <w:r>
        <w:rPr>
          <w:rFonts w:ascii="Arial" w:cs="Arial" w:eastAsia="Arial" w:hAnsi="Arial"/>
          <w:sz w:val="15"/>
          <w:szCs w:val="15"/>
          <w:b w:val="1"/>
          <w:bCs w:val="1"/>
          <w:color w:val="auto"/>
        </w:rPr>
        <w:t>Utilization of the U.S. federal and state NOL carryforwards and research and development tax credit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If a change in ownership were to have occurred during that period and resulted in the restriction of NOL or credit carryforwards, the reduction in the related deferred tax asset would be offset with a corresponding reduction in the valuation allowance.</w:t>
      </w:r>
    </w:p>
    <w:p>
      <w:pPr>
        <w:spacing w:after="0" w:line="304" w:lineRule="exact"/>
        <w:rPr>
          <w:sz w:val="20"/>
          <w:szCs w:val="20"/>
          <w:color w:val="auto"/>
        </w:rPr>
      </w:pPr>
    </w:p>
    <w:p>
      <w:pPr>
        <w:jc w:val="both"/>
        <w:ind w:firstLine="490"/>
        <w:spacing w:after="0" w:line="386" w:lineRule="auto"/>
        <w:rPr>
          <w:sz w:val="20"/>
          <w:szCs w:val="20"/>
          <w:color w:val="auto"/>
        </w:rPr>
      </w:pPr>
      <w:r>
        <w:rPr>
          <w:rFonts w:ascii="Arial" w:cs="Arial" w:eastAsia="Arial" w:hAnsi="Arial"/>
          <w:sz w:val="15"/>
          <w:szCs w:val="15"/>
          <w:b w:val="1"/>
          <w:bCs w:val="1"/>
          <w:color w:val="auto"/>
        </w:rPr>
        <w:t>The Company has evaluated the positive and negative evidence bearing upon its ability to realize the deferred tax assets. Management has considered the Company’s history of cumulative losses since inception, expectation of future losses and lack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F-31</w:t>
      </w:r>
    </w:p>
    <w:p>
      <w:pPr>
        <w:sectPr>
          <w:pgSz w:w="12240" w:h="15840" w:orient="portrait"/>
          <w:cols w:equalWidth="0" w:num="1">
            <w:col w:w="10080"/>
          </w:cols>
          <w:pgMar w:left="1080" w:top="1089" w:right="1080" w:bottom="157" w:gutter="0" w:footer="0" w:header="0"/>
        </w:sectPr>
      </w:pPr>
    </w:p>
    <w:bookmarkStart w:id="151" w:name="page152"/>
    <w:bookmarkEnd w:id="151"/>
    <w:p>
      <w:pPr>
        <w:jc w:val="both"/>
        <w:spacing w:after="0" w:line="288" w:lineRule="auto"/>
        <w:rPr>
          <w:sz w:val="20"/>
          <w:szCs w:val="20"/>
          <w:color w:val="auto"/>
        </w:rPr>
      </w:pPr>
      <w:r>
        <w:rPr>
          <w:rFonts w:ascii="Arial" w:cs="Arial" w:eastAsia="Arial" w:hAnsi="Arial"/>
          <w:sz w:val="17"/>
          <w:szCs w:val="17"/>
          <w:b w:val="1"/>
          <w:bCs w:val="1"/>
          <w:color w:val="auto"/>
        </w:rPr>
        <w:t>of other positive evidence and has concluded that it is more likely than not that the Company will not realize the benefits of the deferred tax assets. Accordingly, a full valuation allowance has been established against the net deferred tax assets as of December 31, 2022 and 2021. Management reevaluates the positive and negative evidence at each reporting period. During the years ended December 31, 2022 and 2021, the Company increased its valuation allowance by $68.3 million and $57.3 million, respectively, with such increase recognized as income tax expense, in order to maintain a full valuation allowance against its deferred tax assets, and there were no changes recorded to the allowance during the period.</w:t>
      </w:r>
    </w:p>
    <w:p>
      <w:pPr>
        <w:spacing w:after="0" w:line="93" w:lineRule="exact"/>
        <w:rPr>
          <w:sz w:val="20"/>
          <w:szCs w:val="20"/>
          <w:color w:val="auto"/>
        </w:rPr>
      </w:pPr>
    </w:p>
    <w:p>
      <w:pPr>
        <w:jc w:val="both"/>
        <w:ind w:firstLine="490"/>
        <w:spacing w:after="0" w:line="330" w:lineRule="auto"/>
        <w:rPr>
          <w:sz w:val="20"/>
          <w:szCs w:val="20"/>
          <w:color w:val="auto"/>
        </w:rPr>
      </w:pPr>
      <w:r>
        <w:rPr>
          <w:rFonts w:ascii="Arial" w:cs="Arial" w:eastAsia="Arial" w:hAnsi="Arial"/>
          <w:sz w:val="15"/>
          <w:szCs w:val="15"/>
          <w:b w:val="1"/>
          <w:bCs w:val="1"/>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For tax positions meeting the “more likely than not" threshold, the Company measures and records the highest probable benefit, and establishes appropriate reserves for benefits that exceed the amount likely to be sustained upon examination. As of December 31, 2022 and 2021, the Company has not recorded any uncertain tax positions or related interest and penalties.</w:t>
      </w:r>
    </w:p>
    <w:p>
      <w:pPr>
        <w:spacing w:after="0" w:line="70"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The Company files income tax returns in the U.S. federal and various state jurisdictions and is not currently under examination by any taxing authority for any open tax year. Due to NOL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Defined Contribution Plan</w:t>
      </w:r>
    </w:p>
    <w:p>
      <w:pPr>
        <w:spacing w:after="0" w:line="129" w:lineRule="exact"/>
        <w:rPr>
          <w:sz w:val="20"/>
          <w:szCs w:val="20"/>
          <w:color w:val="auto"/>
        </w:rPr>
      </w:pPr>
    </w:p>
    <w:p>
      <w:pPr>
        <w:jc w:val="both"/>
        <w:ind w:firstLine="490"/>
        <w:spacing w:after="0" w:line="270" w:lineRule="auto"/>
        <w:rPr>
          <w:sz w:val="20"/>
          <w:szCs w:val="20"/>
          <w:color w:val="auto"/>
        </w:rPr>
      </w:pPr>
      <w:r>
        <w:rPr>
          <w:rFonts w:ascii="Arial" w:cs="Arial" w:eastAsia="Arial" w:hAnsi="Arial"/>
          <w:sz w:val="18"/>
          <w:szCs w:val="18"/>
          <w:b w:val="1"/>
          <w:bCs w:val="1"/>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years ended December 31, 2022 and 2021, the Company contributed $0.8 million and $0.6 million, respectively, to the 401(k) Plan.</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Net Loss per Share</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Basic and diluted net loss per share attributable to common stockholders was calculated as follows (in thousands,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2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6"/>
                <w:szCs w:val="16"/>
                <w:color w:val="auto"/>
              </w:rPr>
            </w:pPr>
          </w:p>
        </w:tc>
      </w:tr>
      <w:tr>
        <w:trPr>
          <w:trHeight w:val="221"/>
        </w:trPr>
        <w:tc>
          <w:tcPr>
            <w:tcW w:w="6920" w:type="dxa"/>
            <w:vAlign w:val="bottom"/>
          </w:tcPr>
          <w:p>
            <w:pPr>
              <w:spacing w:after="0" w:line="221" w:lineRule="exact"/>
              <w:rPr>
                <w:sz w:val="20"/>
                <w:szCs w:val="20"/>
                <w:color w:val="auto"/>
              </w:rPr>
            </w:pPr>
            <w:r>
              <w:rPr>
                <w:rFonts w:ascii="Arial" w:cs="Arial" w:eastAsia="Arial" w:hAnsi="Arial"/>
                <w:sz w:val="20"/>
                <w:szCs w:val="20"/>
                <w:b w:val="1"/>
                <w:bCs w:val="1"/>
                <w:color w:val="auto"/>
              </w:rPr>
              <w:t>Numerator:</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20"/>
                <w:szCs w:val="20"/>
                <w:b w:val="1"/>
                <w:bCs w:val="1"/>
                <w:color w:val="auto"/>
              </w:rPr>
              <w:t>Net loss attributable to common stockholders</w:t>
            </w: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(241,317)</w:t>
            </w:r>
          </w:p>
        </w:tc>
        <w:tc>
          <w:tcPr>
            <w:tcW w:w="4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b w:val="1"/>
                <w:bCs w:val="1"/>
                <w:color w:val="auto"/>
              </w:rPr>
              <w:t>(226,790)</w:t>
            </w:r>
          </w:p>
        </w:tc>
      </w:tr>
      <w:tr>
        <w:trPr>
          <w:trHeight w:val="273"/>
        </w:trPr>
        <w:tc>
          <w:tcPr>
            <w:tcW w:w="6920" w:type="dxa"/>
            <w:vAlign w:val="bottom"/>
          </w:tcPr>
          <w:p>
            <w:pPr>
              <w:spacing w:after="0"/>
              <w:rPr>
                <w:sz w:val="20"/>
                <w:szCs w:val="20"/>
                <w:color w:val="auto"/>
              </w:rPr>
            </w:pPr>
            <w:r>
              <w:rPr>
                <w:rFonts w:ascii="Arial" w:cs="Arial" w:eastAsia="Arial" w:hAnsi="Arial"/>
                <w:sz w:val="20"/>
                <w:szCs w:val="20"/>
                <w:b w:val="1"/>
                <w:bCs w:val="1"/>
                <w:color w:val="auto"/>
              </w:rPr>
              <w:t>Denominator:</w:t>
            </w: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30"/>
        </w:trPr>
        <w:tc>
          <w:tcPr>
            <w:tcW w:w="6920" w:type="dxa"/>
            <w:vAlign w:val="bottom"/>
          </w:tcPr>
          <w:p>
            <w:pPr>
              <w:ind w:left="200"/>
              <w:spacing w:after="0"/>
              <w:rPr>
                <w:sz w:val="20"/>
                <w:szCs w:val="20"/>
                <w:color w:val="auto"/>
              </w:rPr>
            </w:pPr>
            <w:r>
              <w:rPr>
                <w:rFonts w:ascii="Arial" w:cs="Arial" w:eastAsia="Arial" w:hAnsi="Arial"/>
                <w:sz w:val="20"/>
                <w:szCs w:val="20"/>
                <w:b w:val="1"/>
                <w:bCs w:val="1"/>
                <w:color w:val="auto"/>
              </w:rPr>
              <w:t>Weighted-average common shares outstanding, basic and diluted</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108,268,289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42,621,265</w:t>
            </w:r>
          </w:p>
        </w:tc>
        <w:tc>
          <w:tcPr>
            <w:tcW w:w="60" w:type="dxa"/>
            <w:vAlign w:val="bottom"/>
          </w:tcPr>
          <w:p>
            <w:pPr>
              <w:spacing w:after="0"/>
              <w:rPr>
                <w:sz w:val="20"/>
                <w:szCs w:val="20"/>
                <w:color w:val="auto"/>
              </w:rPr>
            </w:pPr>
          </w:p>
        </w:tc>
      </w:tr>
      <w:tr>
        <w:trPr>
          <w:trHeight w:val="276"/>
        </w:trPr>
        <w:tc>
          <w:tcPr>
            <w:tcW w:w="6920" w:type="dxa"/>
            <w:vAlign w:val="bottom"/>
          </w:tcPr>
          <w:p>
            <w:pPr>
              <w:spacing w:after="0"/>
              <w:rPr>
                <w:sz w:val="20"/>
                <w:szCs w:val="20"/>
                <w:color w:val="auto"/>
              </w:rPr>
            </w:pPr>
            <w:r>
              <w:rPr>
                <w:rFonts w:ascii="Arial" w:cs="Arial" w:eastAsia="Arial" w:hAnsi="Arial"/>
                <w:sz w:val="20"/>
                <w:szCs w:val="20"/>
                <w:b w:val="1"/>
                <w:bCs w:val="1"/>
                <w:color w:val="auto"/>
                <w:w w:val="97"/>
              </w:rPr>
              <w:t>Net loss per share attributable to common stockholders, basic and diluted</w:t>
            </w:r>
          </w:p>
        </w:tc>
        <w:tc>
          <w:tcPr>
            <w:tcW w:w="240" w:type="dxa"/>
            <w:vAlign w:val="bottom"/>
          </w:tcPr>
          <w:p>
            <w:pPr>
              <w:jc w:val="right"/>
              <w:ind w:right="40"/>
              <w:spacing w:after="0"/>
              <w:rPr>
                <w:sz w:val="20"/>
                <w:szCs w:val="20"/>
                <w:color w:val="auto"/>
              </w:rPr>
            </w:pPr>
            <w:r>
              <w:rPr>
                <w:rFonts w:ascii="Arial" w:cs="Arial" w:eastAsia="Arial" w:hAnsi="Arial"/>
                <w:sz w:val="20"/>
                <w:szCs w:val="20"/>
                <w:b w:val="1"/>
                <w:bCs w:val="1"/>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(2.23)</w:t>
            </w:r>
          </w:p>
        </w:tc>
        <w:tc>
          <w:tcPr>
            <w:tcW w:w="46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20"/>
                <w:szCs w:val="20"/>
                <w:b w:val="1"/>
                <w:bCs w:val="1"/>
                <w:color w:val="auto"/>
              </w:rPr>
              <w:t>(5.32)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-807085</wp:posOffset>
            </wp:positionV>
            <wp:extent cx="6427470" cy="8496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26">
                      <a:extLst>
                        <a:ext uri="{28A0092B-C50C-407E-A947-70E740481C1C}"/>
                      </a:extLst>
                    </a:blip>
                    <a:srcRect/>
                    <a:stretch>
                      <a:fillRect/>
                    </a:stretch>
                  </pic:blipFill>
                  <pic:spPr bwMode="auto">
                    <a:xfrm>
                      <a:off x="0" y="0"/>
                      <a:ext cx="6427470" cy="849630"/>
                    </a:xfrm>
                    <a:prstGeom prst="rect">
                      <a:avLst/>
                    </a:prstGeom>
                    <a:noFill/>
                  </pic:spPr>
                </pic:pic>
              </a:graphicData>
            </a:graphic>
          </wp:anchor>
        </w:drawing>
      </w:r>
    </w:p>
    <w:p>
      <w:pPr>
        <w:spacing w:after="0" w:line="274" w:lineRule="exact"/>
        <w:rPr>
          <w:sz w:val="20"/>
          <w:szCs w:val="20"/>
          <w:color w:val="auto"/>
        </w:rPr>
      </w:pPr>
    </w:p>
    <w:p>
      <w:pPr>
        <w:jc w:val="both"/>
        <w:ind w:firstLine="490"/>
        <w:spacing w:after="0" w:line="385" w:lineRule="auto"/>
        <w:rPr>
          <w:sz w:val="20"/>
          <w:szCs w:val="20"/>
          <w:color w:val="auto"/>
        </w:rPr>
      </w:pPr>
      <w:r>
        <w:rPr>
          <w:rFonts w:ascii="Arial" w:cs="Arial" w:eastAsia="Arial" w:hAnsi="Arial"/>
          <w:sz w:val="15"/>
          <w:szCs w:val="15"/>
          <w:b w:val="1"/>
          <w:bCs w:val="1"/>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27" w:lineRule="exact"/>
        <w:rPr>
          <w:sz w:val="20"/>
          <w:szCs w:val="20"/>
          <w:color w:val="auto"/>
        </w:rPr>
      </w:pPr>
    </w:p>
    <w:p>
      <w:pPr>
        <w:jc w:val="both"/>
        <w:ind w:firstLine="490"/>
        <w:spacing w:after="0" w:line="269" w:lineRule="auto"/>
        <w:rPr>
          <w:sz w:val="20"/>
          <w:szCs w:val="20"/>
          <w:color w:val="auto"/>
        </w:rPr>
      </w:pPr>
      <w:r>
        <w:rPr>
          <w:rFonts w:ascii="Arial" w:cs="Arial" w:eastAsia="Arial" w:hAnsi="Arial"/>
          <w:sz w:val="18"/>
          <w:szCs w:val="18"/>
          <w:b w:val="1"/>
          <w:bCs w:val="1"/>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2021</w:t>
            </w:r>
          </w:p>
        </w:tc>
      </w:tr>
      <w:tr>
        <w:trPr>
          <w:trHeight w:val="220"/>
        </w:trPr>
        <w:tc>
          <w:tcPr>
            <w:tcW w:w="4060" w:type="dxa"/>
            <w:vAlign w:val="bottom"/>
          </w:tcPr>
          <w:p>
            <w:pPr>
              <w:spacing w:after="0" w:line="220" w:lineRule="exact"/>
              <w:rPr>
                <w:sz w:val="20"/>
                <w:szCs w:val="20"/>
                <w:color w:val="auto"/>
              </w:rPr>
            </w:pPr>
            <w:r>
              <w:rPr>
                <w:rFonts w:ascii="Arial" w:cs="Arial" w:eastAsia="Arial" w:hAnsi="Arial"/>
                <w:sz w:val="20"/>
                <w:szCs w:val="20"/>
                <w:b w:val="1"/>
                <w:bCs w:val="1"/>
                <w:color w:val="auto"/>
              </w:rPr>
              <w:t>Stock options to purchase common stock</w:t>
            </w:r>
          </w:p>
        </w:tc>
        <w:tc>
          <w:tcPr>
            <w:tcW w:w="4260" w:type="dxa"/>
            <w:vAlign w:val="bottom"/>
            <w:gridSpan w:val="2"/>
          </w:tcPr>
          <w:p>
            <w:pPr>
              <w:jc w:val="right"/>
              <w:spacing w:after="0" w:line="220" w:lineRule="exact"/>
              <w:rPr>
                <w:sz w:val="20"/>
                <w:szCs w:val="20"/>
                <w:color w:val="auto"/>
              </w:rPr>
            </w:pPr>
            <w:r>
              <w:rPr>
                <w:rFonts w:ascii="Arial" w:cs="Arial" w:eastAsia="Arial" w:hAnsi="Arial"/>
                <w:sz w:val="20"/>
                <w:szCs w:val="20"/>
                <w:b w:val="1"/>
                <w:bCs w:val="1"/>
                <w:color w:val="auto"/>
              </w:rPr>
              <w:t>23,239,391</w:t>
            </w:r>
          </w:p>
        </w:tc>
        <w:tc>
          <w:tcPr>
            <w:tcW w:w="1660" w:type="dxa"/>
            <w:vAlign w:val="bottom"/>
            <w:gridSpan w:val="3"/>
          </w:tcPr>
          <w:p>
            <w:pPr>
              <w:jc w:val="right"/>
              <w:spacing w:after="0" w:line="220" w:lineRule="exact"/>
              <w:rPr>
                <w:sz w:val="20"/>
                <w:szCs w:val="20"/>
                <w:color w:val="auto"/>
              </w:rPr>
            </w:pPr>
            <w:r>
              <w:rPr>
                <w:rFonts w:ascii="Arial" w:cs="Arial" w:eastAsia="Arial" w:hAnsi="Arial"/>
                <w:sz w:val="20"/>
                <w:szCs w:val="20"/>
                <w:b w:val="1"/>
                <w:bCs w:val="1"/>
                <w:color w:val="auto"/>
              </w:rPr>
              <w:t>18,871,592</w:t>
            </w:r>
          </w:p>
        </w:tc>
      </w:tr>
      <w:tr>
        <w:trPr>
          <w:trHeight w:val="230"/>
        </w:trPr>
        <w:tc>
          <w:tcPr>
            <w:tcW w:w="4060" w:type="dxa"/>
            <w:vAlign w:val="bottom"/>
          </w:tcPr>
          <w:p>
            <w:pPr>
              <w:spacing w:after="0"/>
              <w:rPr>
                <w:sz w:val="20"/>
                <w:szCs w:val="20"/>
                <w:color w:val="auto"/>
              </w:rPr>
            </w:pPr>
            <w:r>
              <w:rPr>
                <w:rFonts w:ascii="Arial" w:cs="Arial" w:eastAsia="Arial" w:hAnsi="Arial"/>
                <w:sz w:val="20"/>
                <w:szCs w:val="20"/>
                <w:b w:val="1"/>
                <w:bCs w:val="1"/>
                <w:color w:val="auto"/>
              </w:rPr>
              <w:t>Unvested restricted common stock</w:t>
            </w:r>
          </w:p>
        </w:tc>
        <w:tc>
          <w:tcPr>
            <w:tcW w:w="4260" w:type="dxa"/>
            <w:vAlign w:val="bottom"/>
            <w:gridSpan w:val="2"/>
          </w:tcPr>
          <w:p>
            <w:pPr>
              <w:jc w:val="right"/>
              <w:spacing w:after="0"/>
              <w:rPr>
                <w:sz w:val="20"/>
                <w:szCs w:val="20"/>
                <w:color w:val="auto"/>
              </w:rPr>
            </w:pPr>
            <w:r>
              <w:rPr>
                <w:rFonts w:ascii="Arial" w:cs="Arial" w:eastAsia="Arial" w:hAnsi="Arial"/>
                <w:sz w:val="20"/>
                <w:szCs w:val="20"/>
                <w:b w:val="1"/>
                <w:bCs w:val="1"/>
                <w:color w:val="auto"/>
              </w:rPr>
              <w:t>360,333</w:t>
            </w:r>
          </w:p>
        </w:tc>
        <w:tc>
          <w:tcPr>
            <w:tcW w:w="1660" w:type="dxa"/>
            <w:vAlign w:val="bottom"/>
            <w:gridSpan w:val="3"/>
          </w:tcPr>
          <w:p>
            <w:pPr>
              <w:jc w:val="right"/>
              <w:spacing w:after="0"/>
              <w:rPr>
                <w:sz w:val="20"/>
                <w:szCs w:val="20"/>
                <w:color w:val="auto"/>
              </w:rPr>
            </w:pPr>
            <w:r>
              <w:rPr>
                <w:rFonts w:ascii="Arial" w:cs="Arial" w:eastAsia="Arial" w:hAnsi="Arial"/>
                <w:sz w:val="20"/>
                <w:szCs w:val="20"/>
                <w:b w:val="1"/>
                <w:bCs w:val="1"/>
                <w:color w:val="auto"/>
              </w:rPr>
              <w:t>3,082,175</w:t>
            </w:r>
          </w:p>
        </w:tc>
      </w:tr>
      <w:tr>
        <w:trPr>
          <w:trHeight w:val="229"/>
        </w:trPr>
        <w:tc>
          <w:tcPr>
            <w:tcW w:w="4060" w:type="dxa"/>
            <w:vAlign w:val="bottom"/>
          </w:tcPr>
          <w:p>
            <w:pPr>
              <w:spacing w:after="0" w:line="228" w:lineRule="exact"/>
              <w:rPr>
                <w:sz w:val="20"/>
                <w:szCs w:val="20"/>
                <w:color w:val="auto"/>
              </w:rPr>
            </w:pPr>
            <w:r>
              <w:rPr>
                <w:rFonts w:ascii="Arial" w:cs="Arial" w:eastAsia="Arial" w:hAnsi="Arial"/>
                <w:sz w:val="20"/>
                <w:szCs w:val="20"/>
                <w:b w:val="1"/>
                <w:bCs w:val="1"/>
                <w:color w:val="auto"/>
              </w:rPr>
              <w:t>Warrants to purchase common stock</w:t>
            </w:r>
          </w:p>
        </w:tc>
        <w:tc>
          <w:tcPr>
            <w:tcW w:w="2800" w:type="dxa"/>
            <w:vAlign w:val="bottom"/>
          </w:tcPr>
          <w:p>
            <w:pPr>
              <w:spacing w:after="0"/>
              <w:rPr>
                <w:sz w:val="19"/>
                <w:szCs w:val="19"/>
                <w:color w:val="auto"/>
              </w:rPr>
            </w:pPr>
          </w:p>
        </w:tc>
        <w:tc>
          <w:tcPr>
            <w:tcW w:w="146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6,824,712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line="228" w:lineRule="exact"/>
              <w:rPr>
                <w:sz w:val="20"/>
                <w:szCs w:val="20"/>
                <w:color w:val="auto"/>
              </w:rPr>
            </w:pPr>
            <w:r>
              <w:rPr>
                <w:rFonts w:ascii="Arial" w:cs="Arial" w:eastAsia="Arial" w:hAnsi="Arial"/>
                <w:sz w:val="20"/>
                <w:szCs w:val="20"/>
                <w:b w:val="1"/>
                <w:bCs w:val="1"/>
                <w:color w:val="auto"/>
              </w:rPr>
              <w:t>—</w:t>
            </w:r>
          </w:p>
        </w:tc>
      </w:tr>
      <w:tr>
        <w:trPr>
          <w:trHeight w:val="219"/>
        </w:trPr>
        <w:tc>
          <w:tcPr>
            <w:tcW w:w="4060" w:type="dxa"/>
            <w:vAlign w:val="bottom"/>
          </w:tcPr>
          <w:p>
            <w:pPr>
              <w:spacing w:after="0"/>
              <w:rPr>
                <w:sz w:val="19"/>
                <w:szCs w:val="19"/>
                <w:color w:val="auto"/>
              </w:rPr>
            </w:pPr>
          </w:p>
        </w:tc>
        <w:tc>
          <w:tcPr>
            <w:tcW w:w="426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30,424,436</w:t>
            </w:r>
          </w:p>
        </w:tc>
        <w:tc>
          <w:tcPr>
            <w:tcW w:w="166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21,953,767</w:t>
            </w:r>
          </w:p>
        </w:tc>
      </w:tr>
      <w:tr>
        <w:trPr>
          <w:trHeight w:val="1027"/>
        </w:trPr>
        <w:tc>
          <w:tcPr>
            <w:tcW w:w="4060" w:type="dxa"/>
            <w:vAlign w:val="bottom"/>
          </w:tcPr>
          <w:p>
            <w:pPr>
              <w:spacing w:after="0"/>
              <w:rPr>
                <w:sz w:val="24"/>
                <w:szCs w:val="24"/>
                <w:color w:val="auto"/>
              </w:rPr>
            </w:pPr>
          </w:p>
        </w:tc>
        <w:tc>
          <w:tcPr>
            <w:tcW w:w="4260" w:type="dxa"/>
            <w:vAlign w:val="bottom"/>
            <w:gridSpan w:val="2"/>
          </w:tcPr>
          <w:p>
            <w:pPr>
              <w:jc w:val="right"/>
              <w:ind w:right="3010"/>
              <w:spacing w:after="0"/>
              <w:rPr>
                <w:sz w:val="20"/>
                <w:szCs w:val="20"/>
                <w:color w:val="auto"/>
              </w:rPr>
            </w:pPr>
            <w:r>
              <w:rPr>
                <w:rFonts w:ascii="Arial" w:cs="Arial" w:eastAsia="Arial" w:hAnsi="Arial"/>
                <w:sz w:val="20"/>
                <w:szCs w:val="20"/>
                <w:b w:val="1"/>
                <w:bCs w:val="1"/>
                <w:color w:val="auto"/>
              </w:rPr>
              <w:t>F-32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-1261110</wp:posOffset>
            </wp:positionV>
            <wp:extent cx="6427470" cy="6534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27">
                      <a:extLst>
                        <a:ext uri="{28A0092B-C50C-407E-A947-70E740481C1C}"/>
                      </a:extLst>
                    </a:blip>
                    <a:srcRect/>
                    <a:stretch>
                      <a:fillRect/>
                    </a:stretch>
                  </pic:blipFill>
                  <pic:spPr bwMode="auto">
                    <a:xfrm>
                      <a:off x="0" y="0"/>
                      <a:ext cx="6427470" cy="653415"/>
                    </a:xfrm>
                    <a:prstGeom prst="rect">
                      <a:avLst/>
                    </a:prstGeom>
                    <a:noFill/>
                  </pic:spPr>
                </pic:pic>
              </a:graphicData>
            </a:graphic>
          </wp:anchor>
        </w:drawing>
      </w:r>
    </w:p>
    <w:p>
      <w:pPr>
        <w:sectPr>
          <w:pgSz w:w="12240" w:h="15840" w:orient="portrait"/>
          <w:cols w:equalWidth="0" w:num="1">
            <w:col w:w="10080"/>
          </w:cols>
          <w:pgMar w:left="1080" w:top="1089" w:right="1080" w:bottom="157" w:gutter="0" w:footer="0" w:header="0"/>
        </w:sectPr>
      </w:pPr>
    </w:p>
    <w:bookmarkStart w:id="152" w:name="page153"/>
    <w:bookmarkEnd w:id="152"/>
    <w:p>
      <w:pPr>
        <w:spacing w:after="0"/>
        <w:rPr>
          <w:sz w:val="20"/>
          <w:szCs w:val="20"/>
          <w:color w:val="auto"/>
        </w:rPr>
      </w:pPr>
      <w:r>
        <w:rPr>
          <w:rFonts w:ascii="Arial" w:cs="Arial" w:eastAsia="Arial" w:hAnsi="Arial"/>
          <w:sz w:val="20"/>
          <w:szCs w:val="20"/>
          <w:b w:val="1"/>
          <w:bCs w:val="1"/>
          <w:color w:val="auto"/>
        </w:rPr>
        <w:t>16. Related Party Transactions</w:t>
      </w:r>
    </w:p>
    <w:p>
      <w:pPr>
        <w:spacing w:after="0" w:line="131" w:lineRule="exact"/>
        <w:rPr>
          <w:sz w:val="20"/>
          <w:szCs w:val="20"/>
          <w:color w:val="auto"/>
        </w:rPr>
      </w:pPr>
    </w:p>
    <w:p>
      <w:pPr>
        <w:jc w:val="both"/>
        <w:ind w:firstLine="490"/>
        <w:spacing w:after="0" w:line="252" w:lineRule="auto"/>
        <w:rPr>
          <w:sz w:val="20"/>
          <w:szCs w:val="20"/>
          <w:color w:val="auto"/>
        </w:rPr>
      </w:pPr>
      <w:r>
        <w:rPr>
          <w:rFonts w:ascii="Arial" w:cs="Arial" w:eastAsia="Arial" w:hAnsi="Arial"/>
          <w:sz w:val="19"/>
          <w:szCs w:val="19"/>
          <w:b w:val="1"/>
          <w:bCs w:val="1"/>
          <w:color w:val="auto"/>
        </w:rPr>
        <w:t>Adimab participated in the Series B Preferred Stock financing and the Series C Preferred Stock financing by purchasing 44,076 and 128,064 shares of Series B Preferred Stock and Series C Preferred Stock, respectively, for an aggregate purchase price of $2.5 million and $10.0 million, respectively (see Note 10).</w:t>
      </w: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Adimab Assignment Agreement</w:t>
      </w:r>
    </w:p>
    <w:p>
      <w:pPr>
        <w:spacing w:after="0" w:line="131"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7).</w:t>
      </w:r>
    </w:p>
    <w:p>
      <w:pPr>
        <w:spacing w:after="0" w:line="83"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The Company did not recognize any IPR&amp;D expense in connection with milestones payable during the year ended December 31, 2022. During the year ended December 31, 2021, the Company recognized $7.5 million as IPR&amp;D expense in connection with milestones payable.</w:t>
      </w:r>
    </w:p>
    <w:p>
      <w:pPr>
        <w:spacing w:after="0" w:line="133" w:lineRule="exact"/>
        <w:rPr>
          <w:sz w:val="20"/>
          <w:szCs w:val="20"/>
          <w:color w:val="auto"/>
        </w:rPr>
      </w:pPr>
    </w:p>
    <w:p>
      <w:pPr>
        <w:jc w:val="both"/>
        <w:ind w:firstLine="490"/>
        <w:spacing w:after="0" w:line="312" w:lineRule="auto"/>
        <w:rPr>
          <w:sz w:val="20"/>
          <w:szCs w:val="20"/>
          <w:color w:val="auto"/>
        </w:rPr>
      </w:pPr>
      <w:r>
        <w:rPr>
          <w:rFonts w:ascii="Arial" w:cs="Arial" w:eastAsia="Arial" w:hAnsi="Arial"/>
          <w:sz w:val="17"/>
          <w:szCs w:val="17"/>
          <w:b w:val="1"/>
          <w:bCs w:val="1"/>
          <w:color w:val="auto"/>
        </w:rPr>
        <w:t>During the years ended December 31, 2022 and 2021, the Company recognized $0.6 million and $1.3 million, respectively, of research and development expense with respect to services performed by Adimab on the Company’s behalf.</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Adimab Collaboration Agreement</w:t>
      </w:r>
    </w:p>
    <w:p>
      <w:pPr>
        <w:spacing w:after="0" w:line="129"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Under the Adimab Collaboration Agreement, the Company is obligated to pay Adimab for certain fees, milestone and royalty payments (see Note 7).</w:t>
      </w:r>
    </w:p>
    <w:p>
      <w:pPr>
        <w:spacing w:after="0" w:line="13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During the years ended December 31, 2022 and 2021, the Company recognized $5.2 million and $2.6 million, respectively, of research and development expense related to the quarterly fee.</w:t>
      </w:r>
    </w:p>
    <w:p>
      <w:pPr>
        <w:spacing w:after="0" w:line="132" w:lineRule="exact"/>
        <w:rPr>
          <w:sz w:val="20"/>
          <w:szCs w:val="20"/>
          <w:color w:val="auto"/>
        </w:rPr>
      </w:pPr>
    </w:p>
    <w:p>
      <w:pPr>
        <w:jc w:val="both"/>
        <w:ind w:firstLine="490"/>
        <w:spacing w:after="0" w:line="309" w:lineRule="auto"/>
        <w:rPr>
          <w:sz w:val="20"/>
          <w:szCs w:val="20"/>
          <w:color w:val="auto"/>
        </w:rPr>
      </w:pPr>
      <w:r>
        <w:rPr>
          <w:rFonts w:ascii="Arial" w:cs="Arial" w:eastAsia="Arial" w:hAnsi="Arial"/>
          <w:sz w:val="17"/>
          <w:szCs w:val="17"/>
          <w:b w:val="1"/>
          <w:bCs w:val="1"/>
          <w:color w:val="auto"/>
        </w:rPr>
        <w:t>During the years ended December 31, 2022 and 2021, the Company recognized $1.7 million and $0.3 million, respectively, of research and development expense with respect to services performed by Adimab on the Company’s behalf.</w:t>
      </w:r>
    </w:p>
    <w:p>
      <w:pPr>
        <w:spacing w:after="0" w:line="75"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During the year ended December 31, 2022, the Company recognized $1.0 million of IPR&amp;D expense related to an option exercise fee. The Company did not recognize any IPR&amp;D expense related to an option exercise fee during the year ended December 31, 2021.</w:t>
      </w:r>
    </w:p>
    <w:p>
      <w:pPr>
        <w:spacing w:after="0" w:line="133" w:lineRule="exact"/>
        <w:rPr>
          <w:sz w:val="20"/>
          <w:szCs w:val="20"/>
          <w:color w:val="auto"/>
        </w:rPr>
      </w:pPr>
    </w:p>
    <w:p>
      <w:pPr>
        <w:jc w:val="both"/>
        <w:ind w:firstLine="490"/>
        <w:spacing w:after="0" w:line="235" w:lineRule="auto"/>
        <w:rPr>
          <w:sz w:val="20"/>
          <w:szCs w:val="20"/>
          <w:color w:val="auto"/>
        </w:rPr>
      </w:pPr>
      <w:r>
        <w:rPr>
          <w:rFonts w:ascii="Arial" w:cs="Arial" w:eastAsia="Arial" w:hAnsi="Arial"/>
          <w:sz w:val="20"/>
          <w:szCs w:val="20"/>
          <w:b w:val="1"/>
          <w:bCs w:val="1"/>
          <w:color w:val="auto"/>
        </w:rPr>
        <w:t>During the year ended December 31, 2022, the Company recognized $0.4 million of IPR&amp;D expense related to drug delivery fees. The Company did not recognize any IPR&amp;D expense related to drug delivery fees during the year ended December 31, 2021.</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Adimab Platform Transfer Agreement</w:t>
      </w:r>
    </w:p>
    <w:p>
      <w:pPr>
        <w:spacing w:after="0" w:line="131"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Under the Adimab Platform Transfer Agreement, the Company is obligated to pay Adimab for certain fees, milestone and royalty payments (see Note 7).</w:t>
      </w:r>
    </w:p>
    <w:p>
      <w:pPr>
        <w:spacing w:after="0" w:line="132" w:lineRule="exact"/>
        <w:rPr>
          <w:sz w:val="20"/>
          <w:szCs w:val="20"/>
          <w:color w:val="auto"/>
        </w:rPr>
      </w:pPr>
    </w:p>
    <w:p>
      <w:pPr>
        <w:jc w:val="both"/>
        <w:ind w:firstLine="490"/>
        <w:spacing w:after="0" w:line="273" w:lineRule="auto"/>
        <w:rPr>
          <w:sz w:val="20"/>
          <w:szCs w:val="20"/>
          <w:color w:val="auto"/>
        </w:rPr>
      </w:pPr>
      <w:r>
        <w:rPr>
          <w:rFonts w:ascii="Arial" w:cs="Arial" w:eastAsia="Arial" w:hAnsi="Arial"/>
          <w:sz w:val="18"/>
          <w:szCs w:val="18"/>
          <w:b w:val="1"/>
          <w:bCs w:val="1"/>
          <w:color w:val="auto"/>
        </w:rPr>
        <w:t>During the year ended December 31, 2022, the Company recognized $3.0 million of IPR&amp;D expense in connection with the upfront consideration payable for the rights assigned pursuant to the Adimab Platform Transfer Agreement. The Adimab Platform Transfer Agreement was not in effect during the year ended December 31, 2021.</w:t>
      </w:r>
    </w:p>
    <w:p>
      <w:pPr>
        <w:spacing w:after="0" w:line="102" w:lineRule="exact"/>
        <w:rPr>
          <w:sz w:val="20"/>
          <w:szCs w:val="20"/>
          <w:color w:val="auto"/>
        </w:rPr>
      </w:pPr>
    </w:p>
    <w:p>
      <w:pPr>
        <w:jc w:val="both"/>
        <w:ind w:firstLine="490"/>
        <w:spacing w:after="0" w:line="292" w:lineRule="auto"/>
        <w:rPr>
          <w:sz w:val="20"/>
          <w:szCs w:val="20"/>
          <w:color w:val="auto"/>
        </w:rPr>
      </w:pPr>
      <w:r>
        <w:rPr>
          <w:rFonts w:ascii="Arial" w:cs="Arial" w:eastAsia="Arial" w:hAnsi="Arial"/>
          <w:sz w:val="17"/>
          <w:szCs w:val="17"/>
          <w:b w:val="1"/>
          <w:bCs w:val="1"/>
          <w:color w:val="auto"/>
        </w:rPr>
        <w:t>As of December 31, 2022 and 2021, $0.3 million and $0.6 million, respectively, was due to Adimab under the Adimab Assignment Agreement, the Adimab Collaboration Agreement and the Adimab Platform Transfer Agreement by the Company. As of December 31, 2022 and 2021, no amounts were due from Adimab under the Adimab Assignment Agreement, the Adimab Collaboration Agreement or the Adimab Platform Transfer Agreement to the Company.</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Mithril Group</w:t>
      </w:r>
    </w:p>
    <w:p>
      <w:pPr>
        <w:spacing w:after="0" w:line="128" w:lineRule="exact"/>
        <w:rPr>
          <w:sz w:val="20"/>
          <w:szCs w:val="20"/>
          <w:color w:val="auto"/>
        </w:rPr>
      </w:pPr>
    </w:p>
    <w:p>
      <w:pPr>
        <w:jc w:val="both"/>
        <w:ind w:firstLine="490"/>
        <w:spacing w:after="0" w:line="336" w:lineRule="auto"/>
        <w:rPr>
          <w:sz w:val="20"/>
          <w:szCs w:val="20"/>
          <w:color w:val="auto"/>
        </w:rPr>
      </w:pPr>
      <w:r>
        <w:rPr>
          <w:rFonts w:ascii="Arial" w:cs="Arial" w:eastAsia="Arial" w:hAnsi="Arial"/>
          <w:sz w:val="15"/>
          <w:szCs w:val="15"/>
          <w:b w:val="1"/>
          <w:bCs w:val="1"/>
          <w:color w:val="auto"/>
        </w:rPr>
        <w:t>In March 2022, a group of stockholders, including, among others, Adimab; Mithril II LP; M28 Capital Management LP; Polaris Venture Partners V, L.P.; and Population Health Equity Partners III, L.P., which are collectively referred to as the Mithril Group, submitted a notice of intent to nominate three directors to the Company’s board of directors at the 2022 annual meeting of stockholders. In April 2022, the Mithril Group filed definitive proxy materials with the SEC seeking election of three directors to the Company's board of directors and adoption of a non-binding resolution for director declassification.</w:t>
      </w:r>
    </w:p>
    <w:p>
      <w:pPr>
        <w:spacing w:after="0" w:line="62" w:lineRule="exact"/>
        <w:rPr>
          <w:sz w:val="20"/>
          <w:szCs w:val="20"/>
          <w:color w:val="auto"/>
        </w:rPr>
      </w:pPr>
    </w:p>
    <w:p>
      <w:pPr>
        <w:jc w:val="both"/>
        <w:ind w:firstLine="490"/>
        <w:spacing w:after="0" w:line="297" w:lineRule="auto"/>
        <w:rPr>
          <w:sz w:val="20"/>
          <w:szCs w:val="20"/>
          <w:color w:val="auto"/>
        </w:rPr>
      </w:pPr>
      <w:r>
        <w:rPr>
          <w:rFonts w:ascii="Arial" w:cs="Arial" w:eastAsia="Arial" w:hAnsi="Arial"/>
          <w:sz w:val="17"/>
          <w:szCs w:val="17"/>
          <w:b w:val="1"/>
          <w:bCs w:val="1"/>
          <w:color w:val="auto"/>
        </w:rPr>
        <w:t>Subsequently, during the year ended December 31, 2022, Mithril II LP requested that the Company reimburse it for costs associated with legal expenses, corporate governance matters and stockholder proposals incurred as a result of the aforementioned matters in connection with the Company’s 2022 annual meeting of stockholders. The Company made such</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F-33</w:t>
      </w:r>
    </w:p>
    <w:p>
      <w:pPr>
        <w:sectPr>
          <w:pgSz w:w="12240" w:h="15840" w:orient="portrait"/>
          <w:cols w:equalWidth="0" w:num="1">
            <w:col w:w="10080"/>
          </w:cols>
          <w:pgMar w:left="1080" w:top="1079" w:right="1080" w:bottom="157" w:gutter="0" w:footer="0" w:header="0"/>
        </w:sectPr>
      </w:pPr>
    </w:p>
    <w:bookmarkStart w:id="153" w:name="page154"/>
    <w:bookmarkEnd w:id="153"/>
    <w:p>
      <w:pPr>
        <w:jc w:val="both"/>
        <w:spacing w:after="0" w:line="234" w:lineRule="auto"/>
        <w:rPr>
          <w:sz w:val="20"/>
          <w:szCs w:val="20"/>
          <w:color w:val="auto"/>
        </w:rPr>
      </w:pPr>
      <w:r>
        <w:rPr>
          <w:rFonts w:ascii="Arial" w:cs="Arial" w:eastAsia="Arial" w:hAnsi="Arial"/>
          <w:sz w:val="20"/>
          <w:szCs w:val="20"/>
          <w:b w:val="1"/>
          <w:bCs w:val="1"/>
          <w:color w:val="auto"/>
        </w:rPr>
        <w:t>reimbursement payment to Mithril II LP in the amount of $1.4 million, which the Company recognized as a selling, general and administrative expense.</w:t>
      </w:r>
    </w:p>
    <w:p>
      <w:pPr>
        <w:spacing w:after="0" w:line="13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As of December 31, 2022, no amounts were due to any member of the Mithril Group by the Company, and no amounts were due from any member of the Mithril Group to the Company.</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Population Health Partners, L.P.</w:t>
      </w:r>
    </w:p>
    <w:p>
      <w:pPr>
        <w:spacing w:after="0" w:line="131" w:lineRule="exact"/>
        <w:rPr>
          <w:sz w:val="20"/>
          <w:szCs w:val="20"/>
          <w:color w:val="auto"/>
        </w:rPr>
      </w:pPr>
    </w:p>
    <w:p>
      <w:pPr>
        <w:jc w:val="both"/>
        <w:ind w:firstLine="490"/>
        <w:spacing w:after="0" w:line="236" w:lineRule="auto"/>
        <w:rPr>
          <w:sz w:val="20"/>
          <w:szCs w:val="20"/>
          <w:color w:val="auto"/>
        </w:rPr>
      </w:pPr>
      <w:r>
        <w:rPr>
          <w:rFonts w:ascii="Arial" w:cs="Arial" w:eastAsia="Arial" w:hAnsi="Arial"/>
          <w:sz w:val="20"/>
          <w:szCs w:val="20"/>
          <w:b w:val="1"/>
          <w:bCs w:val="1"/>
          <w:color w:val="auto"/>
        </w:rPr>
        <w:t>Under the PHP MSA and PHP Work Order, the Company is obligated to pay cash compensation for services and deliverables (see Note 8). Clive Meanwell, M.D. and Tamsin Berry, members of the Company’s board of directors, are Managing Partner and Partner of PHP, respectively.</w:t>
      </w:r>
    </w:p>
    <w:p>
      <w:pPr>
        <w:spacing w:after="0" w:line="130"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During the year ended December 31, 2022, the Company recognized $0.8 million of research and development expense related to services performed by PHP in connection with the PHP Work Order.</w:t>
      </w:r>
    </w:p>
    <w:p>
      <w:pPr>
        <w:spacing w:after="0" w:line="13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During the year ended December 31, 2022, the Company recognized $17.4 million of warrant expense related to warrants issued to PHP in connection with the PHP Warrant.</w:t>
      </w:r>
    </w:p>
    <w:p>
      <w:pPr>
        <w:spacing w:after="0" w:line="132" w:lineRule="exact"/>
        <w:rPr>
          <w:sz w:val="20"/>
          <w:szCs w:val="20"/>
          <w:color w:val="auto"/>
        </w:rPr>
      </w:pPr>
    </w:p>
    <w:p>
      <w:pPr>
        <w:jc w:val="both"/>
        <w:ind w:firstLine="490"/>
        <w:spacing w:after="0" w:line="234" w:lineRule="auto"/>
        <w:rPr>
          <w:sz w:val="20"/>
          <w:szCs w:val="20"/>
          <w:color w:val="auto"/>
        </w:rPr>
      </w:pPr>
      <w:r>
        <w:rPr>
          <w:rFonts w:ascii="Arial" w:cs="Arial" w:eastAsia="Arial" w:hAnsi="Arial"/>
          <w:sz w:val="20"/>
          <w:szCs w:val="20"/>
          <w:b w:val="1"/>
          <w:bCs w:val="1"/>
          <w:color w:val="auto"/>
        </w:rPr>
        <w:t>As of December 31, 2022, $0.8 million was due to PHP by the Company, and no amounts were due from PHP to the Company.</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The agreements with PHP were not in effect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F-34</w:t>
      </w:r>
    </w:p>
    <w:p>
      <w:pPr>
        <w:sectPr>
          <w:pgSz w:w="12240" w:h="15840" w:orient="portrait"/>
          <w:cols w:equalWidth="0" w:num="1">
            <w:col w:w="10080"/>
          </w:cols>
          <w:pgMar w:left="1080" w:top="1089" w:right="1080" w:bottom="157" w:gutter="0" w:footer="0" w:header="0"/>
        </w:sectPr>
      </w:pPr>
    </w:p>
    <w:bookmarkStart w:id="154" w:name="page155"/>
    <w:bookmarkEnd w:id="154"/>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55" w:name="page156"/>
    <w:bookmarkEnd w:id="1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700"/>
        <w:spacing w:after="0"/>
        <w:rPr>
          <w:sz w:val="20"/>
          <w:szCs w:val="20"/>
          <w:color w:val="auto"/>
        </w:rPr>
      </w:pPr>
      <w:r>
        <w:rPr>
          <w:rFonts w:ascii="Arial" w:cs="Arial" w:eastAsia="Arial" w:hAnsi="Arial"/>
          <w:sz w:val="15"/>
          <w:szCs w:val="15"/>
          <w:b w:val="1"/>
          <w:bCs w:val="1"/>
          <w:color w:val="auto"/>
        </w:rPr>
        <w:t>BR00534A-0423-10K</w:t>
      </w:r>
    </w:p>
    <w:sectPr>
      <w:pgSz w:w="12240" w:h="15840" w:orient="portrait"/>
      <w:cols w:equalWidth="0" w:num="1">
        <w:col w:w="10220"/>
      </w:cols>
      <w:pgMar w:left="1440" w:top="1440" w:right="58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2"/>
    </w:lvl>
  </w:abstractNum>
  <w:abstractNum w:abstractNumId="1">
    <w:nsid w:val="41B71EFB"/>
    <w:multiLevelType w:val="hybridMultilevel"/>
    <w:lvl w:ilvl="0">
      <w:lvlJc w:val="left"/>
      <w:lvlText w:val="a"/>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2023-04-10T15:40:27Z</dcterms:created>
  <dcterms:modified xsi:type="dcterms:W3CDTF">2023-04-10T15:40:27Z</dcterms:modified>
</cp:coreProperties>
</file>