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Sheffield 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CHURCH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IVVD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0.9549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31, 2026 and vests over a three-year period, with one-third of the shares subject to the grant vesting on the first anniversary of the grant date and 1/36th of the total shares subject to the grant vesting in substantially equal monthly installments thereafter, subject to the Reporting Person's continuous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Andersen attorney-in-fact for Ian Sheffield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4410" TargetMode="External"/><Relationship Id="rId5" Type="http://schemas.openxmlformats.org/officeDocument/2006/relationships/hyperlink" Target="http://www.sec.gov/cgi-bin/browse-edgar?action=getcompany&amp;CIK=0001832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3433</Characters>
  <CharactersWithSpaces>3995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