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809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80986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MCGUIRE TERRANCE</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Invivyd,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IVVD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Borders>
              <w:bottom w:val="single" w:sz="8" w:color="0000EE"/>
            </w:tcBorders>
          </w:tcPr>
          <w:p>
            <w:pPr>
              <w:spacing w:after="0"/>
              <w:rPr>
                <w:sz w:val="6"/>
                <w:szCs w:val="6"/>
                <w:color w:val="auto"/>
              </w:rPr>
            </w:pPr>
          </w:p>
        </w:tc>
        <w:tc>
          <w:tcPr>
            <w:tcW w:w="2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12/20/2024</w:t>
            </w:r>
          </w:p>
        </w:tc>
        <w:tc>
          <w:tcPr>
            <w:tcW w:w="26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INVIVYD, INC.</w:t>
            </w:r>
          </w:p>
        </w:tc>
        <w:tc>
          <w:tcPr>
            <w:tcW w:w="134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26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1601 TRAPELO ROAD, SUITE 178</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6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0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500" w:type="dxa"/>
            <w:vAlign w:val="bottom"/>
          </w:tcPr>
          <w:p>
            <w:pPr>
              <w:spacing w:after="0"/>
              <w:rPr>
                <w:sz w:val="13"/>
                <w:szCs w:val="13"/>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66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0000FF"/>
              </w:rPr>
              <w:t>12/20/2024</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119,805</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2"/>
            <w:vMerge w:val="restart"/>
          </w:tcPr>
          <w:p>
            <w:pPr>
              <w:ind w:lef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0.4234</w:t>
            </w:r>
            <w:r>
              <w:rPr>
                <w:rFonts w:ascii="Times New Roman" w:cs="Times New Roman" w:eastAsia="Times New Roman" w:hAnsi="Times New Roman"/>
                <w:sz w:val="22"/>
                <w:szCs w:val="22"/>
                <w:color w:val="008000"/>
                <w:w w:val="95"/>
                <w:vertAlign w:val="superscript"/>
              </w:rPr>
              <w:t>(1)</w:t>
            </w: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3,568,274</w:t>
            </w:r>
          </w:p>
        </w:tc>
        <w:tc>
          <w:tcPr>
            <w:tcW w:w="38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0000FF"/>
              </w:rPr>
              <w:t>12/23/2024</w:t>
            </w: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75,776</w:t>
            </w:r>
          </w:p>
        </w:tc>
        <w:tc>
          <w:tcPr>
            <w:tcW w:w="46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0.4497</w:t>
            </w:r>
            <w:r>
              <w:rPr>
                <w:rFonts w:ascii="Times New Roman" w:cs="Times New Roman" w:eastAsia="Times New Roman" w:hAnsi="Times New Roman"/>
                <w:sz w:val="22"/>
                <w:szCs w:val="22"/>
                <w:color w:val="008000"/>
                <w:w w:val="95"/>
                <w:vertAlign w:val="superscript"/>
              </w:rPr>
              <w:t>(3)</w:t>
            </w: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3,492,498</w:t>
            </w:r>
          </w:p>
        </w:tc>
        <w:tc>
          <w:tcPr>
            <w:tcW w:w="3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0000FF"/>
              </w:rPr>
              <w:t>12/24/2024</w:t>
            </w: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68,161</w:t>
            </w:r>
          </w:p>
        </w:tc>
        <w:tc>
          <w:tcPr>
            <w:tcW w:w="46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0.5062</w:t>
            </w:r>
            <w:r>
              <w:rPr>
                <w:rFonts w:ascii="Times New Roman" w:cs="Times New Roman" w:eastAsia="Times New Roman" w:hAnsi="Times New Roman"/>
                <w:sz w:val="22"/>
                <w:szCs w:val="22"/>
                <w:color w:val="008000"/>
                <w:w w:val="95"/>
                <w:vertAlign w:val="superscript"/>
              </w:rPr>
              <w:t>(4)</w:t>
            </w: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3,424,337</w:t>
            </w:r>
          </w:p>
        </w:tc>
        <w:tc>
          <w:tcPr>
            <w:tcW w:w="3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0000FF"/>
              </w:rPr>
              <w:t>12/26/2024</w:t>
            </w: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83,817</w:t>
            </w:r>
          </w:p>
        </w:tc>
        <w:tc>
          <w:tcPr>
            <w:tcW w:w="46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0.5436</w:t>
            </w:r>
            <w:r>
              <w:rPr>
                <w:rFonts w:ascii="Times New Roman" w:cs="Times New Roman" w:eastAsia="Times New Roman" w:hAnsi="Times New Roman"/>
                <w:sz w:val="22"/>
                <w:szCs w:val="22"/>
                <w:color w:val="008000"/>
                <w:w w:val="95"/>
                <w:vertAlign w:val="superscript"/>
              </w:rPr>
              <w:t>(5)</w:t>
            </w: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3,340,520</w:t>
            </w:r>
          </w:p>
        </w:tc>
        <w:tc>
          <w:tcPr>
            <w:tcW w:w="3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3,120,194</w:t>
            </w:r>
          </w:p>
        </w:tc>
        <w:tc>
          <w:tcPr>
            <w:tcW w:w="3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60,814</w:t>
            </w:r>
          </w:p>
        </w:tc>
        <w:tc>
          <w:tcPr>
            <w:tcW w:w="3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21,374</w:t>
            </w:r>
          </w:p>
        </w:tc>
        <w:tc>
          <w:tcPr>
            <w:tcW w:w="3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31,198</w:t>
            </w:r>
          </w:p>
        </w:tc>
        <w:tc>
          <w:tcPr>
            <w:tcW w:w="3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497,660</w:t>
            </w:r>
          </w:p>
        </w:tc>
        <w:tc>
          <w:tcPr>
            <w:tcW w:w="3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at prices ranging from $0.4105 to $0.4500,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Partners IX, L.P. ("PP IX"). The general partner of PP IX is Polaris Partners GP IX, L.L.C. ("PP GP IX") and may be deemed to have shared voting, investment and dispositive power with respect to the shares held by PP IX. The Reporting Person, a member of the Issuer's board of directors, holds an interest in PP GP IX and may be deemed to have shared voting, investment and dispositive power with respect to the shares held by PP IX. Each of PP GP IX and the Reporting Person disclaims beneficial ownership of the shares reported herein, except</w:t>
      </w:r>
    </w:p>
    <w:p>
      <w:pPr>
        <w:sectPr>
          <w:pgSz w:w="11900" w:h="16838" w:orient="portrait"/>
          <w:cols w:equalWidth="0" w:num="1">
            <w:col w:w="11080"/>
          </w:cols>
          <w:pgMar w:left="460" w:top="219" w:right="359" w:bottom="0" w:gutter="0" w:footer="0" w:header="0"/>
          <w:type w:val="continuous"/>
        </w:sectPr>
      </w:pPr>
    </w:p>
    <w:bookmarkStart w:id="1" w:name="page2"/>
    <w:bookmarkEnd w:id="1"/>
    <w:p>
      <w:pPr>
        <w:ind w:right="160"/>
        <w:spacing w:after="0" w:line="272" w:lineRule="auto"/>
        <w:rPr>
          <w:sz w:val="20"/>
          <w:szCs w:val="20"/>
          <w:color w:val="auto"/>
        </w:rPr>
      </w:pPr>
      <w:r>
        <w:rPr>
          <w:rFonts w:ascii="Times New Roman" w:cs="Times New Roman" w:eastAsia="Times New Roman" w:hAnsi="Times New Roman"/>
          <w:sz w:val="13"/>
          <w:szCs w:val="13"/>
          <w:color w:val="008000"/>
        </w:rPr>
        <w:t>to the extent of their respective pecuniary interests therein. The filing of this statement shall not be deemed to be an admission that, for purposes of Section 16 of the Securities Exchange Act of 1934 or otherwise, neither PP GP IX nor the Reporting Person is the beneficial owner of any shares reported herein.</w:t>
      </w:r>
    </w:p>
    <w:p>
      <w:pPr>
        <w:spacing w:after="0" w:line="8" w:lineRule="exact"/>
        <w:rPr>
          <w:sz w:val="20"/>
          <w:szCs w:val="20"/>
          <w:color w:val="auto"/>
        </w:rPr>
      </w:pPr>
    </w:p>
    <w:p>
      <w:pPr>
        <w:jc w:val="both"/>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at prices ranging from $0.4300 to $0.4736,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p>
      <w:pPr>
        <w:spacing w:after="0" w:line="20" w:lineRule="exact"/>
        <w:rPr>
          <w:rFonts w:ascii="Times New Roman" w:cs="Times New Roman" w:eastAsia="Times New Roman" w:hAnsi="Times New Roman"/>
          <w:sz w:val="13"/>
          <w:szCs w:val="13"/>
          <w:color w:val="008000"/>
        </w:rPr>
      </w:pPr>
    </w:p>
    <w:p>
      <w:pPr>
        <w:jc w:val="both"/>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at prices ranging from $0.4610 to $0.5475,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(4) to this Form 4.</w:t>
      </w:r>
    </w:p>
    <w:p>
      <w:pPr>
        <w:spacing w:after="0" w:line="20" w:lineRule="exact"/>
        <w:rPr>
          <w:rFonts w:ascii="Times New Roman" w:cs="Times New Roman" w:eastAsia="Times New Roman" w:hAnsi="Times New Roman"/>
          <w:sz w:val="13"/>
          <w:szCs w:val="13"/>
          <w:color w:val="008000"/>
        </w:rPr>
      </w:pPr>
    </w:p>
    <w:p>
      <w:pPr>
        <w:jc w:val="both"/>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at prices ranging from $0.5101 to $0.5687,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(5) to this Form 4.</w:t>
      </w:r>
    </w:p>
    <w:p>
      <w:pPr>
        <w:spacing w:after="0" w:line="20" w:lineRule="exact"/>
        <w:rPr>
          <w:rFonts w:ascii="Times New Roman" w:cs="Times New Roman" w:eastAsia="Times New Roman" w:hAnsi="Times New Roman"/>
          <w:sz w:val="13"/>
          <w:szCs w:val="13"/>
          <w:color w:val="008000"/>
        </w:rPr>
      </w:pPr>
    </w:p>
    <w:p>
      <w:pPr>
        <w:ind w:right="4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Venture Partners V, L.P. ("PVP V"). The general partner of PVP V is Polaris Venture Management Co. V, L.L.C. ("PVM V") and may be deemed to have shared voting, investment and dispositive power with respect to the shares held by PVP V. The Reporting Person, a member of the Issuer's board of directors, is a Managing Member of PVM V and may be deemed to have shared voting, investment and dispositive power over the shares held by PVP V. Each of PVM V and the Reporting Person disclaims beneficial ownership of the shares reported herein, except to the extent of their respective pecuniary interests therein. The filing of this statement shall not be deemed to be an admission that, for purposes of Section 16 of the Securities Exchange Act of 1934 or otherwise, neither PVM V nor the Reporting Person is the beneficial owner of any shares reported herein.</w:t>
      </w:r>
    </w:p>
    <w:p>
      <w:pPr>
        <w:spacing w:after="0" w:line="26" w:lineRule="exact"/>
        <w:rPr>
          <w:rFonts w:ascii="Times New Roman" w:cs="Times New Roman" w:eastAsia="Times New Roman" w:hAnsi="Times New Roman"/>
          <w:sz w:val="13"/>
          <w:szCs w:val="13"/>
          <w:color w:val="008000"/>
        </w:rPr>
      </w:pPr>
    </w:p>
    <w:p>
      <w:pPr>
        <w:ind w:right="2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Venture Partners Entrepreneurs' Fund V, L.P. ("PVPEF V"). The general partner of PVPEF V is PVM V and may be deemed to have shared voting, investment and dispositive power with respect to the shares held by PVPEF V. The Reporting Person, a member of the Issuer's board of directors, is a Managing Member of PVM V and may be deemed to have shared voting, investment and dispositive power over the shares held by PVPEF V. Each of PVM V and the Reporting Person disclaims beneficial ownership of the shares reported herein, except to the extent of their respective pecuniary interests therein. The filing of this statement shall not be deemed to be an admission that, for purposes of Section 16 of the Securities Exchange Act of 1934 or otherwise, neither PVM V nor the Reporting Person is the beneficial owner of any shares reported herein.</w:t>
      </w:r>
    </w:p>
    <w:p>
      <w:pPr>
        <w:spacing w:after="0" w:line="26" w:lineRule="exact"/>
        <w:rPr>
          <w:rFonts w:ascii="Times New Roman" w:cs="Times New Roman" w:eastAsia="Times New Roman" w:hAnsi="Times New Roman"/>
          <w:sz w:val="13"/>
          <w:szCs w:val="13"/>
          <w:color w:val="008000"/>
        </w:rPr>
      </w:pPr>
    </w:p>
    <w:p>
      <w:pPr>
        <w:ind w:right="2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Venture Partners Founders' Fund V, L.P. ("PVPFF V"). The general partner of PVPFF V is PVM V and may be deemed to have shared voting, investment and dispositive power with respect to the shares held by PVPFF V. The Reporting Person, a member of the Issuer's board of directors, is a Managing Member of PVM V and may be deemed to have shared voting, investment and dispositive power over the shares held by PVPFF V. Each of PVM V and the Reporting Person disclaims beneficial ownership of the shares reported herein, except to the extent of their respective pecuniary interests therein. The filing of this statement shall not be deemed to be an admission that, for purposes of Section 16 of the Securities Exchange Act of 1934 or otherwise, neither PVM V nor the Reporting Person is the beneficial owner of any shares reported herein.</w:t>
      </w:r>
    </w:p>
    <w:p>
      <w:pPr>
        <w:spacing w:after="0" w:line="26" w:lineRule="exact"/>
        <w:rPr>
          <w:rFonts w:ascii="Times New Roman" w:cs="Times New Roman" w:eastAsia="Times New Roman" w:hAnsi="Times New Roman"/>
          <w:sz w:val="13"/>
          <w:szCs w:val="13"/>
          <w:color w:val="008000"/>
        </w:rPr>
      </w:pPr>
    </w:p>
    <w:p>
      <w:pPr>
        <w:ind w:right="4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Venture Partners Special Founders' Fund V, L.P. ("PVPSFF V"). The general partner of PVPSFF V is PVM V and may be deemed to have shared voting, investment and dispositive power with respect to the shares held by PVPSFF V. The Reporting Person, a member of the Issuer's board of directors, is a Managing Member of PVM V and may be deemed to have shared voting, investment and dispositive power over the shares held by PVPSFF V. Each of PVM V and the Reporting Person disclaims beneficial ownership of the shares reported herein, except to the extent of their respective pecuniary interest therein. The filing of this statement shall not be deemed to be an admission that, for purposes of Section 16 of the Securities Exchange Act of 1934 or otherwise, neither PVM V nor the Reporting Person is the beneficial owner of any shares reported herein.</w:t>
      </w:r>
    </w:p>
    <w:p>
      <w:pPr>
        <w:spacing w:after="0" w:line="26" w:lineRule="exact"/>
        <w:rPr>
          <w:rFonts w:ascii="Times New Roman" w:cs="Times New Roman" w:eastAsia="Times New Roman" w:hAnsi="Times New Roman"/>
          <w:sz w:val="13"/>
          <w:szCs w:val="13"/>
          <w:color w:val="008000"/>
        </w:rPr>
      </w:pPr>
    </w:p>
    <w:p>
      <w:pPr>
        <w:ind w:firstLine="7"/>
        <w:spacing w:after="0" w:line="24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Healthcare Technology Opportunities Fund, L.P. ("PHCT"). The general partner of PHCT is Polaris Healthcare Technology Opportunities Fund GP, L.L.C. ("PHCT GP") and may be deemed to have shared voting, investment and dispositive power with respect to the shares held by PHCT. The Reporting Person, a member of the Issuer's board of directors, holds an interest in PHCT GP and may be deemed to have shared voting, investment and dispositive power with respect to the shares held by PHCT. Each of PHCT GP and the Reporting Person disclaims beneficial ownership of the shares reported herein, except to the extent of their respective pecuniary interests therein. The filing of this statement shall not be deemed to be an admission that, for purposes of Section 16 of the Securities Exchange Act of 1934 or otherwise, neither PHCT GP nor the Reporting Person is the beneficial owner of any shares reported herein.</w:t>
      </w:r>
    </w:p>
    <w:p>
      <w:pPr>
        <w:ind w:left="6540"/>
        <w:spacing w:after="0" w:line="181" w:lineRule="auto"/>
        <w:rPr>
          <w:sz w:val="20"/>
          <w:szCs w:val="20"/>
          <w:color w:val="auto"/>
        </w:rPr>
      </w:pPr>
      <w:r>
        <w:rPr>
          <w:rFonts w:ascii="Times New Roman" w:cs="Times New Roman" w:eastAsia="Times New Roman" w:hAnsi="Times New Roman"/>
          <w:sz w:val="17"/>
          <w:szCs w:val="17"/>
          <w:color w:val="0000FF"/>
        </w:rPr>
        <w:t xml:space="preserve">/s/ Lauren Crockett, Attorney- </w:t>
      </w:r>
      <w:r>
        <w:rPr>
          <w:rFonts w:ascii="Times New Roman" w:cs="Times New Roman" w:eastAsia="Times New Roman" w:hAnsi="Times New Roman"/>
          <w:sz w:val="33"/>
          <w:szCs w:val="33"/>
          <w:color w:val="0000FF"/>
          <w:vertAlign w:val="subscript"/>
        </w:rPr>
        <w:t>12/26/2024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17003" TargetMode="External"/><Relationship Id="rId14"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2024-12-26T18:56:48Z</dcterms:created>
  <dcterms:modified xsi:type="dcterms:W3CDTF">2024-12-26T18:56:48Z</dcterms:modified>
</cp:coreProperties>
</file>