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45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454900"/>
                    </a:xfrm>
                    <a:prstGeom prst="rect">
                      <a:avLst/>
                    </a:prstGeom>
                    <a:noFill/>
                  </pic:spPr>
                </pic:pic>
              </a:graphicData>
            </a:graphic>
          </wp:anchor>
        </w:drawing>
      </w:r>
    </w:p>
    <w:p>
      <w:pPr>
        <w:spacing w:after="0" w:line="1222" w:lineRule="exact"/>
        <w:rPr>
          <w:sz w:val="24"/>
          <w:szCs w:val="24"/>
          <w:color w:val="auto"/>
        </w:rPr>
      </w:pPr>
    </w:p>
    <w:p>
      <w:pPr>
        <w:sectPr>
          <w:pgSz w:w="11900" w:h="1691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Invivyd,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IVVD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INVIVYD, INC.</w:t>
            </w:r>
          </w:p>
        </w:tc>
        <w:tc>
          <w:tcPr>
            <w:tcW w:w="13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1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1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12/09/2024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150,000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0.6104</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4,538,079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12/10/2024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175,000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0.5886</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4,363,079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12/11/2024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160,400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0.5911</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4,202,679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3,120,194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60,814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21,374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$0.6000 to $0.6540,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a member of the Issuer's board of directors, holds an interest in PP GP IX and may be deemed to have shared voting, investment and dispositive power with respect to the shares held by PP IX. Each of PP GP IX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$0.5800 to $0.6018, inclusive. The Reporting Person undertakes to provide to the Issuer, any security holder of the Issuer or the staff of the Securities and Exchange Commission, upon request, full information regarding the number of securities sold at each separate price</w:t>
      </w:r>
    </w:p>
    <w:p>
      <w:pPr>
        <w:sectPr>
          <w:pgSz w:w="11900" w:h="1691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ranges set forth in this footnote (3) to this Form 4.</w:t>
      </w:r>
    </w:p>
    <w:p>
      <w:pPr>
        <w:spacing w:after="0" w:line="50"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$0.5800 to $0.6200,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a member of the Issuer's board of directors, is a Managing Member of PVM V and may 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a member of the Issuer's board of directors,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a member of the Issuer's board of directors,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a member of the Issuer's board of directors,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firstLine="7"/>
        <w:spacing w:after="0" w:line="24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a member of the Issuer's board of directors,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12/11/2024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2024-12-11T17:28:17Z</dcterms:created>
  <dcterms:modified xsi:type="dcterms:W3CDTF">2024-12-11T17:28:17Z</dcterms:modified>
</cp:coreProperties>
</file>