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7048500" cy="5544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554418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Royan Ajay</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ADAGIO THERAPEUTICS, INC.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303 WYMAN STREET,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Adagio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ADGI</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08/10/2021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175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31" w:lineRule="exact"/>
        <w:rPr>
          <w:sz w:val="24"/>
          <w:szCs w:val="24"/>
          <w:color w:val="auto"/>
        </w:rPr>
      </w:pPr>
    </w:p>
    <w:p>
      <w:pPr>
        <w:sectPr>
          <w:pgSz w:w="11900" w:h="16838" w:orient="portrait"/>
          <w:cols w:equalWidth="0" w:num="3">
            <w:col w:w="3180" w:space="720"/>
            <w:col w:w="3109" w:space="720"/>
            <w:col w:w="3351"/>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400" w:type="dxa"/>
            <w:vAlign w:val="bottom"/>
            <w:gridSpan w:val="6"/>
          </w:tcPr>
          <w:p>
            <w:pPr>
              <w:jc w:val="right"/>
              <w:ind w:right="29"/>
              <w:spacing w:after="0"/>
              <w:rPr>
                <w:sz w:val="20"/>
                <w:szCs w:val="20"/>
                <w:color w:val="auto"/>
              </w:rPr>
            </w:pPr>
            <w:r>
              <w:rPr>
                <w:rFonts w:ascii="Arial" w:cs="Arial" w:eastAsia="Arial" w:hAnsi="Arial"/>
                <w:sz w:val="13"/>
                <w:szCs w:val="13"/>
                <w:color w:val="auto"/>
                <w:w w:val="99"/>
              </w:rPr>
              <w:t>4. If Amendment, Date of Original Filed (Month/Day/Year)</w:t>
            </w:r>
          </w:p>
        </w:tc>
        <w:tc>
          <w:tcPr>
            <w:tcW w:w="200" w:type="dxa"/>
            <w:vAlign w:val="bottom"/>
          </w:tcPr>
          <w:p>
            <w:pPr>
              <w:spacing w:after="0"/>
              <w:rPr>
                <w:sz w:val="14"/>
                <w:szCs w:val="14"/>
                <w:color w:val="auto"/>
              </w:rPr>
            </w:pPr>
          </w:p>
        </w:tc>
        <w:tc>
          <w:tcPr>
            <w:tcW w:w="37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0" w:type="dxa"/>
            <w:vAlign w:val="bottom"/>
            <w:gridSpan w:val="7"/>
            <w:vMerge w:val="restart"/>
          </w:tcPr>
          <w:p>
            <w:pPr>
              <w:ind w:left="5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WALTHAM</w:t>
            </w: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0000FF"/>
              </w:rPr>
              <w:t>MA</w:t>
            </w:r>
          </w:p>
        </w:tc>
        <w:tc>
          <w:tcPr>
            <w:tcW w:w="1060" w:type="dxa"/>
            <w:vAlign w:val="bottom"/>
            <w:vMerge w:val="restart"/>
          </w:tcPr>
          <w:p>
            <w:pPr>
              <w:ind w:left="80"/>
              <w:spacing w:after="0"/>
              <w:rPr>
                <w:sz w:val="20"/>
                <w:szCs w:val="20"/>
                <w:color w:val="auto"/>
              </w:rPr>
            </w:pPr>
            <w:r>
              <w:rPr>
                <w:rFonts w:ascii="Arial" w:cs="Arial" w:eastAsia="Arial" w:hAnsi="Arial"/>
                <w:sz w:val="16"/>
                <w:szCs w:val="16"/>
                <w:color w:val="0000FF"/>
              </w:rPr>
              <w:t>02451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0" w:type="dxa"/>
            <w:vAlign w:val="bottom"/>
            <w:gridSpan w:val="7"/>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gridSpan w:val="2"/>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40" w:type="dxa"/>
            <w:vAlign w:val="bottom"/>
            <w:tcBorders>
              <w:top w:val="single" w:sz="8" w:color="2C2C2C"/>
            </w:tcBorders>
            <w:gridSpan w:val="14"/>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5"/>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4"/>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80"/>
              <w:spacing w:after="0" w:line="125" w:lineRule="exact"/>
              <w:rPr>
                <w:sz w:val="20"/>
                <w:szCs w:val="20"/>
                <w:color w:val="auto"/>
              </w:rPr>
            </w:pPr>
            <w:r>
              <w:rPr>
                <w:rFonts w:ascii="Arial" w:cs="Arial" w:eastAsia="Arial" w:hAnsi="Arial"/>
                <w:sz w:val="11"/>
                <w:szCs w:val="11"/>
                <w:b w:val="1"/>
                <w:bCs w:val="1"/>
                <w:color w:val="auto"/>
                <w:w w:val="95"/>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08/10/2021</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00" w:type="dxa"/>
            <w:vAlign w:val="bottom"/>
            <w:gridSpan w:val="2"/>
            <w:vMerge w:val="restart"/>
          </w:tcPr>
          <w:p>
            <w:pPr>
              <w:jc w:val="right"/>
              <w:ind w:right="229"/>
              <w:spacing w:after="0"/>
              <w:rPr>
                <w:sz w:val="20"/>
                <w:szCs w:val="20"/>
                <w:color w:val="auto"/>
              </w:rPr>
            </w:pPr>
            <w:r>
              <w:rPr>
                <w:rFonts w:ascii="Arial" w:cs="Arial" w:eastAsia="Arial" w:hAnsi="Arial"/>
                <w:sz w:val="16"/>
                <w:szCs w:val="16"/>
                <w:color w:val="0000FF"/>
              </w:rPr>
              <w:t>9,244,580</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right"/>
              <w:ind w:right="153"/>
              <w:spacing w:after="0"/>
              <w:rPr>
                <w:sz w:val="20"/>
                <w:szCs w:val="20"/>
                <w:color w:val="auto"/>
              </w:rPr>
            </w:pPr>
            <w:r>
              <w:rPr>
                <w:rFonts w:ascii="Arial" w:cs="Arial" w:eastAsia="Arial" w:hAnsi="Arial"/>
                <w:sz w:val="10"/>
                <w:szCs w:val="10"/>
                <w:color w:val="008000"/>
              </w:rPr>
              <w:t>(1)</w:t>
            </w:r>
          </w:p>
        </w:tc>
        <w:tc>
          <w:tcPr>
            <w:tcW w:w="20" w:type="dxa"/>
            <w:vAlign w:val="bottom"/>
          </w:tcPr>
          <w:p>
            <w:pPr>
              <w:spacing w:after="0"/>
              <w:rPr>
                <w:sz w:val="20"/>
                <w:szCs w:val="20"/>
                <w:color w:val="auto"/>
              </w:rPr>
            </w:pPr>
          </w:p>
        </w:tc>
        <w:tc>
          <w:tcPr>
            <w:tcW w:w="1180" w:type="dxa"/>
            <w:vAlign w:val="bottom"/>
            <w:gridSpan w:val="2"/>
            <w:vMerge w:val="restart"/>
          </w:tcPr>
          <w:p>
            <w:pPr>
              <w:jc w:val="right"/>
              <w:ind w:right="223"/>
              <w:spacing w:after="0"/>
              <w:rPr>
                <w:sz w:val="20"/>
                <w:szCs w:val="20"/>
                <w:color w:val="auto"/>
              </w:rPr>
            </w:pPr>
            <w:r>
              <w:rPr>
                <w:rFonts w:ascii="Arial" w:cs="Arial" w:eastAsia="Arial" w:hAnsi="Arial"/>
                <w:sz w:val="16"/>
                <w:szCs w:val="16"/>
                <w:color w:val="0000FF"/>
              </w:rPr>
              <w:t>9,244,580</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08/10/2021</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1100" w:type="dxa"/>
            <w:vAlign w:val="bottom"/>
            <w:gridSpan w:val="2"/>
            <w:vMerge w:val="restart"/>
          </w:tcPr>
          <w:p>
            <w:pPr>
              <w:jc w:val="right"/>
              <w:ind w:right="229"/>
              <w:spacing w:after="0"/>
              <w:rPr>
                <w:sz w:val="20"/>
                <w:szCs w:val="20"/>
                <w:color w:val="auto"/>
              </w:rPr>
            </w:pPr>
            <w:r>
              <w:rPr>
                <w:rFonts w:ascii="Arial" w:cs="Arial" w:eastAsia="Arial" w:hAnsi="Arial"/>
                <w:sz w:val="16"/>
                <w:szCs w:val="16"/>
                <w:color w:val="0000FF"/>
              </w:rPr>
              <w:t>1,997,000</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right="7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17</w:t>
            </w:r>
          </w:p>
        </w:tc>
        <w:tc>
          <w:tcPr>
            <w:tcW w:w="20" w:type="dxa"/>
            <w:vAlign w:val="bottom"/>
          </w:tcPr>
          <w:p>
            <w:pPr>
              <w:spacing w:after="0"/>
              <w:rPr>
                <w:sz w:val="20"/>
                <w:szCs w:val="20"/>
                <w:color w:val="auto"/>
              </w:rPr>
            </w:pPr>
          </w:p>
        </w:tc>
        <w:tc>
          <w:tcPr>
            <w:tcW w:w="1180" w:type="dxa"/>
            <w:vAlign w:val="bottom"/>
            <w:gridSpan w:val="2"/>
            <w:vMerge w:val="restart"/>
          </w:tcPr>
          <w:p>
            <w:pPr>
              <w:jc w:val="right"/>
              <w:ind w:right="183"/>
              <w:spacing w:after="0"/>
              <w:rPr>
                <w:sz w:val="20"/>
                <w:szCs w:val="20"/>
                <w:color w:val="auto"/>
              </w:rPr>
            </w:pPr>
            <w:r>
              <w:rPr>
                <w:rFonts w:ascii="Arial" w:cs="Arial" w:eastAsia="Arial" w:hAnsi="Arial"/>
                <w:sz w:val="16"/>
                <w:szCs w:val="16"/>
                <w:color w:val="0000FF"/>
              </w:rPr>
              <w:t>11,241,580</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300" w:type="dxa"/>
            <w:vAlign w:val="bottom"/>
            <w:gridSpan w:val="13"/>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6,250,000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08/10/2021</w:t>
            </w: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184"/>
              <w:spacing w:after="0" w:line="96" w:lineRule="exact"/>
              <w:rPr>
                <w:sz w:val="20"/>
                <w:szCs w:val="20"/>
                <w:color w:val="auto"/>
              </w:rPr>
            </w:pPr>
            <w:r>
              <w:rPr>
                <w:rFonts w:ascii="Arial" w:cs="Arial" w:eastAsia="Arial" w:hAnsi="Arial"/>
                <w:sz w:val="11"/>
                <w:szCs w:val="11"/>
                <w:color w:val="0000FF"/>
              </w:rPr>
              <w:t>1,250,000</w:t>
            </w: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restart"/>
          </w:tcPr>
          <w:p>
            <w:pPr>
              <w:ind w:left="18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48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0</w:t>
            </w:r>
          </w:p>
        </w:tc>
        <w:tc>
          <w:tcPr>
            <w:tcW w:w="360" w:type="dxa"/>
            <w:vAlign w:val="bottom"/>
          </w:tcPr>
          <w:p>
            <w:pPr>
              <w:spacing w:after="0"/>
              <w:rPr>
                <w:sz w:val="4"/>
                <w:szCs w:val="4"/>
                <w:color w:val="auto"/>
              </w:rPr>
            </w:pP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24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80" w:type="dxa"/>
            <w:vAlign w:val="bottom"/>
          </w:tcPr>
          <w:p>
            <w:pPr>
              <w:ind w:left="160"/>
              <w:spacing w:after="0" w:line="50" w:lineRule="exact"/>
              <w:rPr>
                <w:sz w:val="20"/>
                <w:szCs w:val="20"/>
                <w:color w:val="auto"/>
              </w:rPr>
            </w:pPr>
            <w:r>
              <w:rPr>
                <w:rFonts w:ascii="Arial" w:cs="Arial" w:eastAsia="Arial" w:hAnsi="Arial"/>
                <w:sz w:val="5"/>
                <w:szCs w:val="5"/>
                <w:color w:val="0000FF"/>
              </w:rPr>
              <w:t>Stock</w:t>
            </w: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gridSpan w:val="3"/>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881,520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08/10/2021</w:t>
            </w: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184"/>
              <w:spacing w:after="0" w:line="96" w:lineRule="exact"/>
              <w:rPr>
                <w:sz w:val="20"/>
                <w:szCs w:val="20"/>
                <w:color w:val="auto"/>
              </w:rPr>
            </w:pPr>
            <w:r>
              <w:rPr>
                <w:rFonts w:ascii="Arial" w:cs="Arial" w:eastAsia="Arial" w:hAnsi="Arial"/>
                <w:sz w:val="11"/>
                <w:szCs w:val="11"/>
                <w:color w:val="0000FF"/>
              </w:rPr>
              <w:t>176,304</w:t>
            </w: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restart"/>
          </w:tcPr>
          <w:p>
            <w:pPr>
              <w:ind w:left="18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48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0</w:t>
            </w:r>
          </w:p>
        </w:tc>
        <w:tc>
          <w:tcPr>
            <w:tcW w:w="360" w:type="dxa"/>
            <w:vAlign w:val="bottom"/>
          </w:tcPr>
          <w:p>
            <w:pPr>
              <w:spacing w:after="0"/>
              <w:rPr>
                <w:sz w:val="4"/>
                <w:szCs w:val="4"/>
                <w:color w:val="auto"/>
              </w:rPr>
            </w:pP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24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80" w:type="dxa"/>
            <w:vAlign w:val="bottom"/>
          </w:tcPr>
          <w:p>
            <w:pPr>
              <w:ind w:left="160"/>
              <w:spacing w:after="0" w:line="50" w:lineRule="exact"/>
              <w:rPr>
                <w:sz w:val="20"/>
                <w:szCs w:val="20"/>
                <w:color w:val="auto"/>
              </w:rPr>
            </w:pPr>
            <w:r>
              <w:rPr>
                <w:rFonts w:ascii="Arial" w:cs="Arial" w:eastAsia="Arial" w:hAnsi="Arial"/>
                <w:sz w:val="5"/>
                <w:szCs w:val="5"/>
                <w:color w:val="0000FF"/>
              </w:rPr>
              <w:t>Stock</w:t>
            </w: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gridSpan w:val="3"/>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2,113,060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08/10/2021</w:t>
            </w: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184"/>
              <w:spacing w:after="0" w:line="96" w:lineRule="exact"/>
              <w:rPr>
                <w:sz w:val="20"/>
                <w:szCs w:val="20"/>
                <w:color w:val="auto"/>
              </w:rPr>
            </w:pPr>
            <w:r>
              <w:rPr>
                <w:rFonts w:ascii="Arial" w:cs="Arial" w:eastAsia="Arial" w:hAnsi="Arial"/>
                <w:sz w:val="11"/>
                <w:szCs w:val="11"/>
                <w:color w:val="0000FF"/>
              </w:rPr>
              <w:t>422,612</w:t>
            </w: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restart"/>
          </w:tcPr>
          <w:p>
            <w:pPr>
              <w:ind w:left="18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480" w:type="dxa"/>
            <w:vAlign w:val="bottom"/>
            <w:vMerge w:val="restart"/>
          </w:tcPr>
          <w:p>
            <w:pPr>
              <w:ind w:left="380"/>
              <w:spacing w:after="0" w:line="96" w:lineRule="exact"/>
              <w:rPr>
                <w:sz w:val="20"/>
                <w:szCs w:val="20"/>
                <w:color w:val="auto"/>
              </w:rPr>
            </w:pPr>
            <w:r>
              <w:rPr>
                <w:rFonts w:ascii="Arial" w:cs="Arial" w:eastAsia="Arial" w:hAnsi="Arial"/>
                <w:sz w:val="11"/>
                <w:szCs w:val="11"/>
                <w:color w:val="0000FF"/>
              </w:rPr>
              <w:t>0</w:t>
            </w:r>
          </w:p>
        </w:tc>
        <w:tc>
          <w:tcPr>
            <w:tcW w:w="360" w:type="dxa"/>
            <w:vAlign w:val="bottom"/>
          </w:tcPr>
          <w:p>
            <w:pPr>
              <w:spacing w:after="0"/>
              <w:rPr>
                <w:sz w:val="4"/>
                <w:szCs w:val="4"/>
                <w:color w:val="auto"/>
              </w:rPr>
            </w:pP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24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80" w:type="dxa"/>
            <w:vAlign w:val="bottom"/>
          </w:tcPr>
          <w:p>
            <w:pPr>
              <w:ind w:left="160"/>
              <w:spacing w:after="0" w:line="50" w:lineRule="exact"/>
              <w:rPr>
                <w:sz w:val="20"/>
                <w:szCs w:val="20"/>
                <w:color w:val="auto"/>
              </w:rPr>
            </w:pPr>
            <w:r>
              <w:rPr>
                <w:rFonts w:ascii="Arial" w:cs="Arial" w:eastAsia="Arial" w:hAnsi="Arial"/>
                <w:sz w:val="5"/>
                <w:szCs w:val="5"/>
                <w:color w:val="0000FF"/>
              </w:rPr>
              <w:t>Stock</w:t>
            </w: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gridSpan w:val="3"/>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Stock</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40" w:hanging="2"/>
        <w:spacing w:after="0" w:line="236"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Series A Preferred Stock, Series B Preferred Stock, and Series C Preferred Stock automatically converted, without payment of additional consideration, into 5 shares of Common Stock immediately prior to the closing of the Issuer's initial public offering of its Common Stock and had no expiration date.</w:t>
      </w:r>
    </w:p>
    <w:p>
      <w:pPr>
        <w:spacing w:after="0" w:line="31" w:lineRule="exact"/>
        <w:rPr>
          <w:rFonts w:ascii="Arial" w:cs="Arial" w:eastAsia="Arial" w:hAnsi="Arial"/>
          <w:sz w:val="13"/>
          <w:szCs w:val="13"/>
          <w:color w:val="008000"/>
        </w:rPr>
      </w:pPr>
    </w:p>
    <w:p>
      <w:pPr>
        <w:ind w:left="40" w:right="240" w:hanging="2"/>
        <w:spacing w:after="0" w:line="227"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of record by Mithril II LP ("II LP"). Mithril II UGP LLC ("UGP II") is the general partner of Mithril II GP LP ("GP II") and GP II is the general partner of II LP. The Reporting Person, a member of the Issuer's board of directors, is the sole managing member of UGP II and may be deemed to have shared voting, investment and dispositive power with respect to the shares held by II LP. The Reporting Person is one of two members of the investment committee of GP II. The investment committee makes all investment decisions with respect to shares held by II LP and may be deemed to have shared voting, investment and dispositive power with respect to such shares. The Reporting Person disclaims beneficial ownership of the shares held by II LP, except to the extent of the Reporting Person's pecuniary interest therein, if any.</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Arial" w:cs="Arial" w:eastAsia="Arial" w:hAnsi="Arial"/>
          <w:sz w:val="16"/>
          <w:szCs w:val="16"/>
          <w:color w:val="0000FF"/>
        </w:rPr>
        <w:t xml:space="preserve">/s/ Dorothy Vinsky, Attorney-in- </w:t>
      </w:r>
      <w:r>
        <w:rPr>
          <w:rFonts w:ascii="Arial" w:cs="Arial" w:eastAsia="Arial" w:hAnsi="Arial"/>
          <w:sz w:val="32"/>
          <w:szCs w:val="32"/>
          <w:color w:val="0000FF"/>
          <w:vertAlign w:val="subscript"/>
        </w:rPr>
        <w:t>08/12/2021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-25400</wp:posOffset>
            </wp:positionV>
            <wp:extent cx="1346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77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780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-80010</wp:posOffset>
            </wp:positionV>
            <wp:extent cx="470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5614"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2021-08-12T20:35:28Z</dcterms:created>
  <dcterms:modified xsi:type="dcterms:W3CDTF">2021-08-12T20:35:28Z</dcterms:modified>
</cp:coreProperties>
</file>