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209 Church Street</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New Haven, CT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06510</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38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On November 6, 2025, Invivyd, Inc. (the “Company”) issued a press release announcing its financial results for the quarter ended September 30, 2025,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37"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On November 6, 2025, the Company posted an updated corporate presentation on its website at www.invivyd.com. A copy of the presentation is filed as Exhibit 99.2 to this Current Report on Form 8-K and is incorporated by reference into this Item 8.01.</w:t>
      </w:r>
    </w:p>
    <w:p>
      <w:pPr>
        <w:spacing w:after="0" w:line="225"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November 6,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Corporate Presentation, dated November 6,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5140" w:type="dxa"/>
            <w:vAlign w:val="bottom"/>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INVIVYD, INC.</w:t>
            </w:r>
          </w:p>
        </w:tc>
      </w:tr>
      <w:tr>
        <w:trPr>
          <w:trHeight w:val="3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6, 2025</w:t>
            </w:r>
          </w:p>
        </w:tc>
        <w:tc>
          <w:tcPr>
            <w:tcW w:w="5140" w:type="dxa"/>
            <w:vAlign w:val="bottom"/>
            <w:gridSpan w:val="2"/>
          </w:tcPr>
          <w:p>
            <w:pPr>
              <w:ind w:left="1340"/>
              <w:spacing w:after="0"/>
              <w:rPr>
                <w:sz w:val="20"/>
                <w:szCs w:val="20"/>
                <w:color w:val="auto"/>
              </w:rPr>
            </w:pPr>
            <w:r>
              <w:rPr>
                <w:rFonts w:ascii="Times New Roman" w:cs="Times New Roman" w:eastAsia="Times New Roman" w:hAnsi="Times New Roman"/>
                <w:sz w:val="13"/>
                <w:szCs w:val="13"/>
                <w:color w:val="auto"/>
              </w:rPr>
              <w:t>By:  /s/ Jill Andersen</w:t>
            </w:r>
          </w:p>
        </w:tc>
      </w:tr>
      <w:tr>
        <w:trPr>
          <w:trHeight w:val="128"/>
        </w:trPr>
        <w:tc>
          <w:tcPr>
            <w:tcW w:w="2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6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color w:val="auto"/>
              </w:rPr>
              <w:t>Jill Andersen</w:t>
            </w:r>
          </w:p>
        </w:tc>
      </w:tr>
      <w:tr>
        <w:trPr>
          <w:trHeight w:val="165"/>
        </w:trPr>
        <w:tc>
          <w:tcPr>
            <w:tcW w:w="2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Legal Officer and Corporate Secretary</w:t>
            </w:r>
          </w:p>
        </w:tc>
      </w:tr>
    </w:tbl>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673735"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735" cy="144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Invivyd Reports Third Quarter 2025 Financial Results and Recent Business Highlights</w:t>
      </w:r>
    </w:p>
    <w:p>
      <w:pPr>
        <w:spacing w:after="0" w:line="173" w:lineRule="exact"/>
        <w:rPr>
          <w:sz w:val="20"/>
          <w:szCs w:val="20"/>
          <w:color w:val="auto"/>
        </w:rPr>
      </w:pPr>
    </w:p>
    <w:p>
      <w:pPr>
        <w:ind w:left="1320" w:right="71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$13.1 million reported for Q3 2025, representing 41% growth year-over-year and 11% growth quarter-over-quarter</w:t>
      </w:r>
    </w:p>
    <w:p>
      <w:pPr>
        <w:spacing w:after="0" w:line="70" w:lineRule="exact"/>
        <w:rPr>
          <w:rFonts w:ascii="Times New Roman" w:cs="Times New Roman" w:eastAsia="Times New Roman" w:hAnsi="Times New Roman"/>
          <w:sz w:val="13"/>
          <w:szCs w:val="13"/>
          <w:color w:val="auto"/>
        </w:rPr>
      </w:pPr>
    </w:p>
    <w:p>
      <w:pPr>
        <w:ind w:left="1320" w:right="659" w:hanging="303"/>
        <w:spacing w:after="0" w:line="25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October 2025 ending cash and cash equivalents of over $100 million; ended Q3 2025 with $85.0 million in cash and cash equivalents after closing of $57.5 million public offering in August 2025, with additional $29.8 million gross proceeds from usage of at-the-market (ATM) offering facility in October 2025</w:t>
      </w:r>
    </w:p>
    <w:p>
      <w:pPr>
        <w:spacing w:after="0" w:line="59" w:lineRule="exact"/>
        <w:rPr>
          <w:rFonts w:ascii="Times New Roman" w:cs="Times New Roman" w:eastAsia="Times New Roman" w:hAnsi="Times New Roman"/>
          <w:sz w:val="13"/>
          <w:szCs w:val="13"/>
          <w:color w:val="auto"/>
        </w:rPr>
      </w:pPr>
    </w:p>
    <w:p>
      <w:pPr>
        <w:ind w:left="1320" w:right="71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U.S. IND clearance and alignment with U.S. FDA on pivotal clinical program for VYD2311, a vaccine-alternative antibody to prevent COVID</w:t>
      </w:r>
    </w:p>
    <w:p>
      <w:pPr>
        <w:spacing w:after="0" w:line="52" w:lineRule="exact"/>
        <w:rPr>
          <w:rFonts w:ascii="Times New Roman" w:cs="Times New Roman" w:eastAsia="Times New Roman" w:hAnsi="Times New Roman"/>
          <w:sz w:val="13"/>
          <w:szCs w:val="13"/>
          <w:color w:val="auto"/>
        </w:rPr>
      </w:pPr>
    </w:p>
    <w:p>
      <w:pPr>
        <w:ind w:left="1320" w:right="739" w:hanging="303"/>
        <w:spacing w:after="0" w:line="25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REVOLUTION, Invivyd’s development program for VYD2311, comprises the DECLARATION (safety and efficacy vs. placebo) and LIBERTY (exploratory safety head-to-head and combination with mRNA-based COVID vaccination) clinical trials, which are expected to begin around year-end 2025; top-line data anticipated mid-2026</w:t>
      </w:r>
    </w:p>
    <w:p>
      <w:pPr>
        <w:spacing w:after="0" w:line="128"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NEW HAVEN, Conn., Nov. 06, 2025 – Invivyd, Inc. (Nasdaq: IVVD) today announced financial results for the quarter ended September 30, 2025, and provided recent business highlights.</w:t>
      </w:r>
    </w:p>
    <w:p>
      <w:pPr>
        <w:spacing w:after="0" w:line="122"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“With a strengthened balance sheet and a clear path forward for VYD2311 with recent IND clearance and U.S. Food and Drug Administration (FDA) alignment, Invivyd is well-poised to provide Americans with antibody protection as an alternative to COVID vaccination,” said Marc Elia, Chairman of the Board of Directors at Invivyd. “Given the current unmet need, we are preparing for our pivotal studies and potential commercial launch of VYD2311 with urgency and to secure Invivyd’s place as the leader in providing antibodies to prevent people from becoming sick with COVID. We are also looking at pathogens beyond COVID because humankind may benefit from additional, high quality immune power in preventing these illnesses.”</w:t>
      </w:r>
    </w:p>
    <w:p>
      <w:pPr>
        <w:spacing w:after="0" w:line="119" w:lineRule="exact"/>
        <w:rPr>
          <w:sz w:val="20"/>
          <w:szCs w:val="20"/>
          <w:color w:val="auto"/>
        </w:rPr>
      </w:pPr>
    </w:p>
    <w:p>
      <w:pPr>
        <w:jc w:val="both"/>
        <w:ind w:left="640" w:right="759"/>
        <w:spacing w:after="0" w:line="251" w:lineRule="auto"/>
        <w:rPr>
          <w:sz w:val="20"/>
          <w:szCs w:val="20"/>
          <w:color w:val="auto"/>
        </w:rPr>
      </w:pPr>
      <w:r>
        <w:rPr>
          <w:rFonts w:ascii="Times New Roman" w:cs="Times New Roman" w:eastAsia="Times New Roman" w:hAnsi="Times New Roman"/>
          <w:sz w:val="13"/>
          <w:szCs w:val="13"/>
          <w:color w:val="auto"/>
        </w:rPr>
        <w:t>“We are pleased that third quarter revenue growth, combined with controlled operating expenses, has set us up to invest at the appropriate level for our future growth,” said Bill Duke, Chief Financial Officer of Invivyd. “Our past discipline and learnings from our commercial organization will enable us to further invest in VYD2311, including upcoming initiation of our REVOLUTION pivotal clinical program and execution of a go-to-market strategy and related commercial build-out to prepare for launch, if approved.”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Commercial Execution</w:t>
      </w:r>
    </w:p>
    <w:p>
      <w:pPr>
        <w:spacing w:after="0" w:line="89" w:lineRule="exact"/>
        <w:rPr>
          <w:rFonts w:ascii="Times New Roman" w:cs="Times New Roman" w:eastAsia="Times New Roman" w:hAnsi="Times New Roman"/>
          <w:sz w:val="13"/>
          <w:szCs w:val="13"/>
          <w:b w:val="1"/>
          <w:bCs w:val="1"/>
          <w:color w:val="auto"/>
        </w:rPr>
      </w:pPr>
    </w:p>
    <w:p>
      <w:pPr>
        <w:ind w:left="1640" w:right="1079" w:hanging="235"/>
        <w:spacing w:after="0" w:line="212"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uptake continues to grow among healthcare providers caring for immunocompromised patients, supported by Invivyd’s in-house sales force and expanded field presence across key specialties.</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Ongoing Variant Coverage</w:t>
      </w:r>
    </w:p>
    <w:p>
      <w:pPr>
        <w:spacing w:after="0" w:line="89" w:lineRule="exact"/>
        <w:rPr>
          <w:rFonts w:ascii="Times New Roman" w:cs="Times New Roman" w:eastAsia="Times New Roman" w:hAnsi="Times New Roman"/>
          <w:sz w:val="13"/>
          <w:szCs w:val="13"/>
          <w:b w:val="1"/>
          <w:bCs w:val="1"/>
          <w:color w:val="auto"/>
        </w:rPr>
      </w:pPr>
    </w:p>
    <w:p>
      <w:pPr>
        <w:ind w:left="1640" w:right="699" w:hanging="235"/>
        <w:spacing w:after="0" w:line="251"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August 2025, Invivyd announced positive, clinically meaningful in vitro neutralization data for PEMGARDA (pemivibart) and VYD2311 against currently dominant and growing XFG variant of SARS-CoV-2. Notably, and consistent with all dominant variants for the past three years, XFG did not generate any meaningful change to the in vitro neutralization activity of pemivibart or VYD2311, as the epitopes targeted by pemivibart and VYD2311 remain structurally intact.</w:t>
      </w:r>
    </w:p>
    <w:p>
      <w:pPr>
        <w:spacing w:after="0" w:line="6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Clinical &amp; Regulatory Developments</w:t>
      </w:r>
    </w:p>
    <w:p>
      <w:pPr>
        <w:spacing w:after="0" w:line="89" w:lineRule="exact"/>
        <w:rPr>
          <w:rFonts w:ascii="Times New Roman" w:cs="Times New Roman" w:eastAsia="Times New Roman" w:hAnsi="Times New Roman"/>
          <w:sz w:val="13"/>
          <w:szCs w:val="13"/>
          <w:b w:val="1"/>
          <w:bCs w:val="1"/>
          <w:color w:val="auto"/>
        </w:rPr>
      </w:pPr>
    </w:p>
    <w:p>
      <w:pPr>
        <w:ind w:left="1640" w:right="879" w:hanging="235"/>
        <w:spacing w:after="0" w:line="251"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October 2025, Invivyd announced that the FDA cleared the company’s IND application and provided feedback to advance the company’s REVOLUTION clinical program, Invivyd’s development program for VYD2311, a vaccine alternative monoclonal antibody candidate for the prevention of COVID. The REVOLUTION clinical program includes the DECLARATION and LIBERTY clinical trials.</w:t>
      </w:r>
    </w:p>
    <w:p>
      <w:pPr>
        <w:spacing w:after="0" w:line="66" w:lineRule="exact"/>
        <w:rPr>
          <w:rFonts w:ascii="Times New Roman" w:cs="Times New Roman" w:eastAsia="Times New Roman" w:hAnsi="Times New Roman"/>
          <w:sz w:val="13"/>
          <w:szCs w:val="13"/>
          <w:color w:val="auto"/>
        </w:rPr>
      </w:pPr>
    </w:p>
    <w:p>
      <w:pPr>
        <w:ind w:left="2100" w:right="759" w:hanging="382"/>
        <w:spacing w:after="0" w:line="248" w:lineRule="auto"/>
        <w:tabs>
          <w:tab w:leader="none" w:pos="210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DECLARATION is the company’s Biologics License Application (BLA)-enabling Phase 3, randomized, triple-blind, placebo-controlled pivotal clinical trial to evaluate the safety and efficacy of VYD2311 for the prevention of symptomatic COVID, at three months, from a single intramuscular (IM) dose of VYD2311, with longer-term protection anticipated. A second VYD2311 arm will evaluate monthly IM doses to demonstrate the safety and efficacy of more frequent dosing to support individual choice should at-risk persons wish periodic extra protection. Total expected enrollment in the DECLARATION clinical trial is 1,770 people.</w:t>
      </w:r>
    </w:p>
    <w:p>
      <w:pPr>
        <w:spacing w:after="0" w:line="68" w:lineRule="exact"/>
        <w:rPr>
          <w:rFonts w:ascii="Times New Roman" w:cs="Times New Roman" w:eastAsia="Times New Roman" w:hAnsi="Times New Roman"/>
          <w:sz w:val="13"/>
          <w:szCs w:val="13"/>
          <w:color w:val="auto"/>
        </w:rPr>
      </w:pPr>
    </w:p>
    <w:p>
      <w:pPr>
        <w:ind w:left="2100" w:right="699" w:hanging="382"/>
        <w:spacing w:after="0" w:line="251" w:lineRule="auto"/>
        <w:tabs>
          <w:tab w:leader="none" w:pos="210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LIBERTY is designed as a Phase 3, randomized, pooled-vaccine, double-blind clinical trial to evaluate head-to-head safety and tolerability and co-administration interaction of VYD2311 with approved mRNA-based COVID vaccines in adults; final alignment with the FDA on combination design with vaccination expected shortly. Total expected enrollment in the LIBERTY clinical trial is 210 people.</w:t>
      </w:r>
    </w:p>
    <w:p>
      <w:pPr>
        <w:spacing w:after="0" w:line="6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Pipeline Expansion</w:t>
      </w:r>
    </w:p>
    <w:p>
      <w:pPr>
        <w:spacing w:after="0" w:line="89" w:lineRule="exact"/>
        <w:rPr>
          <w:rFonts w:ascii="Times New Roman" w:cs="Times New Roman" w:eastAsia="Times New Roman" w:hAnsi="Times New Roman"/>
          <w:sz w:val="13"/>
          <w:szCs w:val="13"/>
          <w:b w:val="1"/>
          <w:bCs w:val="1"/>
          <w:color w:val="auto"/>
        </w:rPr>
      </w:pPr>
    </w:p>
    <w:p>
      <w:pPr>
        <w:ind w:left="1640" w:right="111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Invivyd has initiated discovery efforts to assess pipeline expansion beyond SARS-CoV-2, including potential targets such as respiratory syncytial virus (RSV) and measles.</w:t>
      </w:r>
    </w:p>
    <w:p>
      <w:pPr>
        <w:spacing w:after="0" w:line="5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Corporate and Financial Updates</w:t>
      </w:r>
    </w:p>
    <w:p>
      <w:pPr>
        <w:spacing w:after="0" w:line="89" w:lineRule="exact"/>
        <w:rPr>
          <w:rFonts w:ascii="Times New Roman" w:cs="Times New Roman" w:eastAsia="Times New Roman" w:hAnsi="Times New Roman"/>
          <w:sz w:val="13"/>
          <w:szCs w:val="13"/>
          <w:b w:val="1"/>
          <w:bCs w:val="1"/>
          <w:color w:val="auto"/>
        </w:rPr>
      </w:pPr>
    </w:p>
    <w:p>
      <w:pPr>
        <w:ind w:left="1640" w:right="89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September 2025, Invivyd announced appointment of Paul B. Bolno, M.D., to its Board of Directors as well as Kristie Kuhl as Chief Communications Officer.</w:t>
      </w:r>
    </w:p>
    <w:p>
      <w:pPr>
        <w:spacing w:after="0" w:line="55" w:lineRule="exact"/>
        <w:rPr>
          <w:rFonts w:ascii="Times New Roman" w:cs="Times New Roman" w:eastAsia="Times New Roman" w:hAnsi="Times New Roman"/>
          <w:sz w:val="13"/>
          <w:szCs w:val="13"/>
          <w:color w:val="auto"/>
        </w:rPr>
      </w:pPr>
    </w:p>
    <w:p>
      <w:pPr>
        <w:ind w:left="1640" w:right="759" w:hanging="235"/>
        <w:spacing w:after="0" w:line="251"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August 2025, Invivyd announced closing of an underwritten public offering of its common stock and pre-funded warrants. The gross proceeds from the offering were approximately $57.5 million, before deducting underwriting discounts and commissions and offering expenses payable by Invivyd. The financing was led by RA Capital Management and Janus Henderson Investors, with participation from multiple other new and existing healthcare focused investors.</w:t>
      </w:r>
    </w:p>
    <w:p>
      <w:pPr>
        <w:spacing w:after="0" w:line="66"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July 2025, Invivyd and leading researchers formed the SPEAR (Spike Protein Elimination and Recovery) Study Group to assess the effects of monoclonal antibody therapy for Long COVID and COVID-19 Post-Vaccination Syndrome.</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Third Quarter 2025 Financial Results</w:t>
      </w:r>
    </w:p>
    <w:p>
      <w:pPr>
        <w:spacing w:after="0" w:line="87" w:lineRule="exact"/>
        <w:rPr>
          <w:sz w:val="20"/>
          <w:szCs w:val="20"/>
          <w:color w:val="auto"/>
        </w:rPr>
      </w:pPr>
    </w:p>
    <w:p>
      <w:pPr>
        <w:ind w:left="1320" w:right="1319" w:hanging="303"/>
        <w:spacing w:after="0" w:line="270"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13"/>
          <w:szCs w:val="13"/>
          <w:color w:val="auto"/>
        </w:rPr>
        <w:t>Reported Q3 2025 PEMGARDA net product revenue of $13.1 million, as compared to $9.3 million in Q3 2024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$11.8 million in Q2 2025.</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Cash and cash equivalents were $85.0 million as of September 30, 2025.</w:t>
      </w:r>
    </w:p>
    <w:p>
      <w:pPr>
        <w:spacing w:after="0" w:line="87" w:lineRule="exact"/>
        <w:rPr>
          <w:rFonts w:ascii="Times New Roman" w:cs="Times New Roman" w:eastAsia="Times New Roman" w:hAnsi="Times New Roman"/>
          <w:sz w:val="13"/>
          <w:szCs w:val="13"/>
          <w:color w:val="auto"/>
        </w:rPr>
      </w:pPr>
    </w:p>
    <w:p>
      <w:pPr>
        <w:ind w:left="1320" w:right="699" w:hanging="303"/>
        <w:spacing w:after="0" w:line="252"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&amp; Development (R&amp;D) Expenses (including In-Process R&amp;D): </w:t>
      </w:r>
      <w:r>
        <w:rPr>
          <w:rFonts w:ascii="Times New Roman" w:cs="Times New Roman" w:eastAsia="Times New Roman" w:hAnsi="Times New Roman"/>
          <w:sz w:val="13"/>
          <w:szCs w:val="13"/>
          <w:color w:val="auto"/>
        </w:rPr>
        <w:t>R&amp;D expenses were $8.0 million for the quarter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September 30, 2025, compared to $57.9 million for the comparable period of 2024. This decrease is primarily attributable to a decrease in commercial manufacturing costs of VYD2311, a decrease in clinical trial costs related to our CANOPY Phase 3 clinical trial of pemivibart and a decrease in non-clinical R&amp;D costs.</w:t>
      </w:r>
    </w:p>
    <w:p>
      <w:pPr>
        <w:spacing w:after="0" w:line="63" w:lineRule="exact"/>
        <w:rPr>
          <w:rFonts w:ascii="Times New Roman" w:cs="Times New Roman" w:eastAsia="Times New Roman" w:hAnsi="Times New Roman"/>
          <w:sz w:val="13"/>
          <w:szCs w:val="13"/>
          <w:color w:val="auto"/>
        </w:rPr>
      </w:pPr>
    </w:p>
    <w:p>
      <w:pPr>
        <w:ind w:left="1320" w:right="779" w:hanging="303"/>
        <w:spacing w:after="0" w:line="25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Selling, General &amp; Administrative (SG&amp;A) Expenses: </w:t>
      </w:r>
      <w:r>
        <w:rPr>
          <w:rFonts w:ascii="Times New Roman" w:cs="Times New Roman" w:eastAsia="Times New Roman" w:hAnsi="Times New Roman"/>
          <w:sz w:val="13"/>
          <w:szCs w:val="13"/>
          <w:color w:val="auto"/>
        </w:rPr>
        <w:t>SG&amp;A expenses were $15.0 million for the quarter ended September 30, 2025,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compared to $13.0 million for the comparable period of 2024. This increase is primarily attributable to higher personnel-related costs, partially offset by decreased sales and marketing costs.</w:t>
      </w:r>
    </w:p>
    <w:p>
      <w:pPr>
        <w:spacing w:after="0" w:line="59" w:lineRule="exact"/>
        <w:rPr>
          <w:rFonts w:ascii="Times New Roman" w:cs="Times New Roman" w:eastAsia="Times New Roman" w:hAnsi="Times New Roman"/>
          <w:sz w:val="13"/>
          <w:szCs w:val="13"/>
          <w:color w:val="auto"/>
        </w:rPr>
      </w:pPr>
    </w:p>
    <w:p>
      <w:pPr>
        <w:ind w:left="1320" w:right="679" w:hanging="303"/>
        <w:spacing w:after="0" w:line="250"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and Net Loss per Share: </w:t>
      </w:r>
      <w:r>
        <w:rPr>
          <w:rFonts w:ascii="Times New Roman" w:cs="Times New Roman" w:eastAsia="Times New Roman" w:hAnsi="Times New Roman"/>
          <w:sz w:val="13"/>
          <w:szCs w:val="13"/>
          <w:color w:val="auto"/>
        </w:rPr>
        <w:t>Net loss was $10.5 million for the quarter ended September 30, 2025, compared to $60.7 million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comparable period in 2024. Basic and diluted net loss per share was $0.06 for the quarter ended September 30, 2025, compared to $0.51 for the comparable period in 2024. For the quarter ended September 30, 2025, the 21,342,442 shares of common stock issuable upon exercise of outstanding pre-funded warrants were included as outstanding common stock for purposes of the calculation of net loss per share.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85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treatment of Long COVID,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ectPr>
          <w:pgSz w:w="11900" w:h="16838" w:orient="portrait"/>
          <w:cols w:equalWidth="0" w:num="1">
            <w:col w:w="9019"/>
          </w:cols>
          <w:pgMar w:left="1440" w:top="229" w:right="1440" w:bottom="1440" w:gutter="0" w:footer="0" w:header="0"/>
        </w:sectPr>
      </w:pPr>
    </w:p>
    <w:bookmarkStart w:id="6" w:name="page7"/>
    <w:bookmarkEnd w:id="6"/>
    <w:p>
      <w:pPr>
        <w:ind w:left="640" w:right="7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r>
        <w:rPr>
          <w:rFonts w:ascii="Times New Roman" w:cs="Times New Roman" w:eastAsia="Times New Roman" w:hAnsi="Times New Roman"/>
          <w:sz w:val="13"/>
          <w:szCs w:val="13"/>
          <w:b w:val="1"/>
          <w:bCs w:val="1"/>
          <w:color w:val="auto"/>
        </w:rPr>
        <w: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CANOPY</w:t>
      </w:r>
    </w:p>
    <w:p>
      <w:pPr>
        <w:spacing w:after="0" w:line="80"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CANOPY Phase 3 clinical trial was designed to evaluate the safety and tolerability of pemivibart and to assess immunobridging from pemivibart to certain historical data from the company’s previous Phase 2/3 clinical trial of adintrevimab (ADG20) for the prevention of symptomatic COVID-19 (EVADE). Additionally, there were pre-specified exploratory endpoints through three, six and twelve months to evaluate clinical efficacy of pemivibart compared to placebo in the prevention of RT-PCR-confirmed symptomatic COVID-19. The latest analysis from the Phase 3 CANOPY clinical trial included 365-day data. The CANOPY clinical trial enrolled participants in two cohorts: Cohort A was a single-arm, open-label trial in adults with moderate-to-severe immune compromise including complex underlying medical conditions. Cohort B was a randomized, placebo-controlled cohort that enrolled adults without moderate-to-severe immune compromise at risk of acquiring COVID-19 due to regular unmasked face-to-face interactions in indoor settings.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ectPr>
          <w:pgSz w:w="11900" w:h="16838" w:orient="portrait"/>
          <w:cols w:equalWidth="0" w:num="1">
            <w:col w:w="9019"/>
          </w:cols>
          <w:pgMar w:left="1440" w:top="231" w:right="1440" w:bottom="1440" w:gutter="0" w:footer="0" w:header="0"/>
        </w:sectPr>
      </w:pPr>
    </w:p>
    <w:bookmarkStart w:id="7" w:name="page8"/>
    <w:bookmarkEnd w:id="7"/>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Trademarks are the property of their respective owners.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80"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the potential of Invivyd to provide Americans with antibody protection as an alternative to COVID vaccination; expectations regarding the company’s clinical trial designs and enrollment, regulatory pathway, product profile, indication and potential administration paradigm for VYD2311, as well as the go-to-market strategy and related commercial build-out to prepare for launch of VYD2311, if approved; beliefs about the company’s market position; the anticipated focus and goals of the SPEAR Study Group; the ongoing in vitro neutralizing activity of PEMGARDA against dominant SARS-CoV-2 variants; the potential of PEMGARDA as a mAb for pre-exposure prophylaxis (prevention) of COVID-19 in certain immunocompromised persons; the potential of VYD2311 as a novel mAb candidate that may be able to deliver clinically meaningful titer levels through more patient-friendly means; the company’s devotion to delivering protection from serious viral infectious diseases, beginning with SARS-CoV-2; potential pipeline expansion beyond SARS-CoV-2, including potential targets such as RSV and measles, and expected announcements related thereto; the company’s business strategies and objectives, and ability to execute on them;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and reimbursement, or future revenue generated by PEMGARDA; how long the EUA granted by the FDA for PEMGARDA will remain in effect and whether such EUA is revised or revoked by the FDA; the ability to maintain a continued acceptable safety, tolerability and efficacy profile of any product candidate following</w:t>
      </w:r>
    </w:p>
    <w:p>
      <w:pPr>
        <w:sectPr>
          <w:pgSz w:w="11900" w:h="16838" w:orient="portrait"/>
          <w:cols w:equalWidth="0" w:num="1">
            <w:col w:w="9019"/>
          </w:cols>
          <w:pgMar w:left="1440" w:top="231" w:right="1440" w:bottom="1440" w:gutter="0" w:footer="0" w:header="0"/>
        </w:sectPr>
      </w:pPr>
    </w:p>
    <w:bookmarkStart w:id="8" w:name="page9"/>
    <w:bookmarkEnd w:id="8"/>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regulatory authorization or approval; the success of the company’s in-house sales force, and company’s ability to maintain and expand sales, marketing and distribution capabilities to successfully commercialize any authorized or approved product candidates; changes in expected or existing competition; changes in the regulatory environment; the outcome of the company’s engagement with regulators; uncertainties related to the regulatory authorization or approval process, and available development and regulatory pathways; the timing, progress and results of the company’s discovery, preclinical and clinical development activities, including the initiation of the DECLARATION clinical trial, and finalization and initiation of other aspects of the REVOLUTION clinical program, such as the LIBERTY clinical trial, subject to final alignment with the FDA; clinical trial site activation or enrollment rates; unexpected safety or efficacy data observed during preclinical studies or clinical trials;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epitopes that pemivibart and VYD2311 target remain structurally intact; whether the company’s product candidates are able to demonstrate and sustain neutralizing activity against major SARS-CoV-2 variants, particularly in the face of viral evolution; the company’s reliance on third parties; complexities of manufacturing mAb therapies, and availability of quantities of commercial product in the future, if authorized or approved;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the company’s Quarterly Report on Form 10-Q for the quarter ended June 30, 2025, 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208-0160 </w:t>
      </w:r>
      <w:r>
        <w:rPr>
          <w:rFonts w:ascii="Times New Roman" w:cs="Times New Roman" w:eastAsia="Times New Roman" w:hAnsi="Times New Roman"/>
          <w:sz w:val="12"/>
          <w:szCs w:val="12"/>
          <w:u w:val="single" w:color="auto"/>
          <w:color w:val="auto"/>
        </w:rPr>
        <w:t>media@invivyd.com</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investors@invivyd.com</w:t>
      </w:r>
    </w:p>
    <w:p>
      <w:pPr>
        <w:sectPr>
          <w:pgSz w:w="11900" w:h="16838" w:orient="portrait"/>
          <w:cols w:equalWidth="0" w:num="1">
            <w:col w:w="9019"/>
          </w:cols>
          <w:pgMar w:left="1440" w:top="23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41"/>
        </w:trPr>
        <w:tc>
          <w:tcPr>
            <w:tcW w:w="6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84,967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69,349</w:t>
            </w:r>
          </w:p>
        </w:tc>
      </w:tr>
      <w:tr>
        <w:trPr>
          <w:trHeight w:val="152"/>
        </w:trPr>
        <w:tc>
          <w:tcPr>
            <w:tcW w:w="6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9,852</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10,906</w:t>
            </w:r>
          </w:p>
        </w:tc>
      </w:tr>
      <w:tr>
        <w:trPr>
          <w:trHeight w:val="152"/>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14,950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20,426</w:t>
            </w:r>
          </w:p>
        </w:tc>
      </w:tr>
      <w:tr>
        <w:trPr>
          <w:trHeight w:val="151"/>
        </w:trPr>
        <w:tc>
          <w:tcPr>
            <w:tcW w:w="61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109,769</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100,681</w:t>
            </w:r>
          </w:p>
        </w:tc>
        <w:tc>
          <w:tcPr>
            <w:tcW w:w="80" w:type="dxa"/>
            <w:vAlign w:val="bottom"/>
          </w:tcPr>
          <w:p>
            <w:pPr>
              <w:spacing w:after="0"/>
              <w:rPr>
                <w:sz w:val="13"/>
                <w:szCs w:val="13"/>
                <w:color w:val="auto"/>
              </w:rPr>
            </w:pPr>
          </w:p>
        </w:tc>
      </w:tr>
      <w:tr>
        <w:trPr>
          <w:trHeight w:val="15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25,395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25,907</w:t>
            </w: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1,508</w:t>
            </w:r>
          </w:p>
        </w:tc>
      </w:tr>
      <w:tr>
        <w:trPr>
          <w:trHeight w:val="15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2,728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1,385</w:t>
            </w: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r>
      <w:tr>
        <w:trPr>
          <w:trHeight w:val="159"/>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139,158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129,515</w:t>
            </w:r>
          </w:p>
        </w:tc>
      </w:tr>
      <w:tr>
        <w:trPr>
          <w:trHeight w:val="161"/>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18,104</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10,448</w:t>
            </w:r>
          </w:p>
        </w:tc>
      </w:tr>
      <w:tr>
        <w:trPr>
          <w:trHeight w:val="152"/>
        </w:trPr>
        <w:tc>
          <w:tcPr>
            <w:tcW w:w="616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Accrued expenses </w:t>
            </w:r>
            <w:r>
              <w:rPr>
                <w:rFonts w:ascii="Times New Roman" w:cs="Times New Roman" w:eastAsia="Times New Roman" w:hAnsi="Times New Roman"/>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25,277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50,197</w:t>
            </w:r>
          </w:p>
        </w:tc>
      </w:tr>
      <w:tr>
        <w:trPr>
          <w:trHeight w:val="152"/>
        </w:trPr>
        <w:tc>
          <w:tcPr>
            <w:tcW w:w="6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1,083</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1,304</w:t>
            </w:r>
          </w:p>
        </w:tc>
      </w:tr>
      <w:tr>
        <w:trPr>
          <w:trHeight w:val="152"/>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r>
      <w:tr>
        <w:trPr>
          <w:trHeight w:val="151"/>
        </w:trPr>
        <w:tc>
          <w:tcPr>
            <w:tcW w:w="61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44,496</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61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46,090</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16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outstanding at September 30, 2025 and December 31, 2024</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16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Common stock, $0.0001 par value; 1,000,000,000 shares authorized, 214,409,450 shares issued and outstanding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1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at September 30, 2025; 119,835,162 shares issued and outstanding at December 31, 2024</w:t>
            </w: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9"/>
              </w:rPr>
              <w:t>1,036,500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969,526</w:t>
            </w:r>
          </w:p>
        </w:tc>
      </w:tr>
      <w:tr>
        <w:trPr>
          <w:trHeight w:val="15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(943,413)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(901,994)</w:t>
            </w:r>
          </w:p>
        </w:tc>
      </w:tr>
      <w:tr>
        <w:trPr>
          <w:trHeight w:val="151"/>
        </w:trPr>
        <w:tc>
          <w:tcPr>
            <w:tcW w:w="6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93,068</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67,539</w:t>
            </w:r>
          </w:p>
        </w:tc>
        <w:tc>
          <w:tcPr>
            <w:tcW w:w="80" w:type="dxa"/>
            <w:vAlign w:val="bottom"/>
          </w:tcPr>
          <w:p>
            <w:pPr>
              <w:spacing w:after="0"/>
              <w:rPr>
                <w:sz w:val="13"/>
                <w:szCs w:val="13"/>
                <w:color w:val="auto"/>
              </w:rPr>
            </w:pPr>
          </w:p>
        </w:tc>
      </w:tr>
      <w:tr>
        <w:trPr>
          <w:trHeight w:val="159"/>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139,158</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129,515</w:t>
            </w:r>
          </w:p>
        </w:tc>
        <w:tc>
          <w:tcPr>
            <w:tcW w:w="80" w:type="dxa"/>
            <w:vAlign w:val="bottom"/>
            <w:shd w:val="clear" w:color="auto" w:fill="CCEEFF"/>
          </w:tcPr>
          <w:p>
            <w:pPr>
              <w:spacing w:after="0"/>
              <w:rPr>
                <w:sz w:val="13"/>
                <w:szCs w:val="13"/>
                <w:color w:val="auto"/>
              </w:rPr>
            </w:pPr>
          </w:p>
        </w:tc>
      </w:tr>
    </w:tbl>
    <w:p>
      <w:pPr>
        <w:spacing w:after="0" w:line="167"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$716 and $1,274 as of September 30, 2025 and December 31, 2024, respectively.</w:t>
      </w:r>
    </w:p>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Nine Months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18"/>
              <w:spacing w:after="0"/>
              <w:rPr>
                <w:sz w:val="20"/>
                <w:szCs w:val="20"/>
                <w:color w:val="auto"/>
              </w:rPr>
            </w:pPr>
            <w:r>
              <w:rPr>
                <w:rFonts w:ascii="Times New Roman" w:cs="Times New Roman" w:eastAsia="Times New Roman" w:hAnsi="Times New Roman"/>
                <w:sz w:val="10"/>
                <w:szCs w:val="10"/>
                <w:b w:val="1"/>
                <w:bCs w:val="1"/>
                <w:color w:val="auto"/>
              </w:rPr>
              <w:t>Nine Months</w:t>
            </w:r>
          </w:p>
        </w:tc>
      </w:tr>
      <w:tr>
        <w:trPr>
          <w:trHeight w:val="104"/>
        </w:trPr>
        <w:tc>
          <w:tcPr>
            <w:tcW w:w="40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34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60" w:type="dxa"/>
            <w:vAlign w:val="bottom"/>
          </w:tcPr>
          <w:p>
            <w:pPr>
              <w:spacing w:after="0"/>
              <w:rPr>
                <w:sz w:val="9"/>
                <w:szCs w:val="9"/>
                <w:color w:val="auto"/>
              </w:rPr>
            </w:pPr>
          </w:p>
        </w:tc>
        <w:tc>
          <w:tcPr>
            <w:tcW w:w="80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18"/>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04"/>
        </w:trPr>
        <w:tc>
          <w:tcPr>
            <w:tcW w:w="4060" w:type="dxa"/>
            <w:vAlign w:val="bottom"/>
          </w:tcPr>
          <w:p>
            <w:pPr>
              <w:spacing w:after="0"/>
              <w:rPr>
                <w:sz w:val="9"/>
                <w:szCs w:val="9"/>
                <w:color w:val="auto"/>
              </w:rPr>
            </w:pPr>
          </w:p>
        </w:tc>
        <w:tc>
          <w:tcPr>
            <w:tcW w:w="96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86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9"/>
                <w:szCs w:val="9"/>
                <w:color w:val="auto"/>
              </w:rPr>
            </w:pPr>
          </w:p>
        </w:tc>
        <w:tc>
          <w:tcPr>
            <w:tcW w:w="860" w:type="dxa"/>
            <w:vAlign w:val="bottom"/>
            <w:gridSpan w:val="3"/>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9"/>
                <w:szCs w:val="9"/>
                <w:color w:val="auto"/>
              </w:rPr>
            </w:pPr>
          </w:p>
        </w:tc>
        <w:tc>
          <w:tcPr>
            <w:tcW w:w="780" w:type="dxa"/>
            <w:vAlign w:val="bottom"/>
            <w:gridSpan w:val="3"/>
          </w:tcPr>
          <w:p>
            <w:pPr>
              <w:jc w:val="center"/>
              <w:ind w:right="38"/>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21"/>
        </w:trPr>
        <w:tc>
          <w:tcPr>
            <w:tcW w:w="40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4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40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13,129</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36,219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11,564</w:t>
            </w:r>
          </w:p>
        </w:tc>
      </w:tr>
      <w:tr>
        <w:trPr>
          <w:trHeight w:val="20"/>
        </w:trPr>
        <w:tc>
          <w:tcPr>
            <w:tcW w:w="4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36,219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11,564</w:t>
            </w:r>
          </w:p>
        </w:tc>
      </w:tr>
      <w:tr>
        <w:trPr>
          <w:trHeight w:val="151"/>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06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Cost of product revenue </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2,607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894</w:t>
            </w:r>
          </w:p>
        </w:tc>
      </w:tr>
      <w:tr>
        <w:trPr>
          <w:trHeight w:val="152"/>
        </w:trPr>
        <w:tc>
          <w:tcPr>
            <w:tcW w:w="406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57,850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28,260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119,344</w:t>
            </w:r>
          </w:p>
        </w:tc>
      </w:tr>
      <w:tr>
        <w:trPr>
          <w:trHeight w:val="152"/>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15,018</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12,955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48,357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48,973</w:t>
            </w:r>
          </w:p>
        </w:tc>
      </w:tr>
      <w:tr>
        <w:trPr>
          <w:trHeight w:val="151"/>
        </w:trPr>
        <w:tc>
          <w:tcPr>
            <w:tcW w:w="4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24,152</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169,211</w:t>
            </w:r>
          </w:p>
        </w:tc>
        <w:tc>
          <w:tcPr>
            <w:tcW w:w="80" w:type="dxa"/>
            <w:vAlign w:val="bottom"/>
          </w:tcPr>
          <w:p>
            <w:pPr>
              <w:spacing w:after="0"/>
              <w:rPr>
                <w:sz w:val="13"/>
                <w:szCs w:val="13"/>
                <w:color w:val="auto"/>
              </w:rPr>
            </w:pPr>
          </w:p>
        </w:tc>
      </w:tr>
      <w:tr>
        <w:trPr>
          <w:trHeight w:val="15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(11,023)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(62,311)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(43,005)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(157,647)</w:t>
            </w:r>
          </w:p>
        </w:tc>
      </w:tr>
      <w:tr>
        <w:trPr>
          <w:trHeight w:val="151"/>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553</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1,586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6,165</w:t>
            </w:r>
          </w:p>
        </w:tc>
      </w:tr>
      <w:tr>
        <w:trPr>
          <w:trHeight w:val="151"/>
        </w:trPr>
        <w:tc>
          <w:tcPr>
            <w:tcW w:w="40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6,165</w:t>
            </w:r>
          </w:p>
        </w:tc>
        <w:tc>
          <w:tcPr>
            <w:tcW w:w="80" w:type="dxa"/>
            <w:vAlign w:val="bottom"/>
          </w:tcPr>
          <w:p>
            <w:pPr>
              <w:spacing w:after="0"/>
              <w:rPr>
                <w:sz w:val="13"/>
                <w:szCs w:val="13"/>
                <w:color w:val="auto"/>
              </w:rPr>
            </w:pPr>
          </w:p>
        </w:tc>
      </w:tr>
      <w:tr>
        <w:trPr>
          <w:trHeight w:val="15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(10,470)</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(60,739)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(41,419)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(151,482)</w:t>
            </w:r>
          </w:p>
        </w:tc>
      </w:tr>
      <w:tr>
        <w:trPr>
          <w:trHeight w:val="151"/>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(loss), net of tax</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9"/>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(10,472)</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(41,455)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(151,487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7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70"/>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170,169,865</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119,495,284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136,874,025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118,163,599</w:t>
            </w:r>
          </w:p>
        </w:tc>
        <w:tc>
          <w:tcPr>
            <w:tcW w:w="80" w:type="dxa"/>
            <w:vAlign w:val="bottom"/>
          </w:tcPr>
          <w:p>
            <w:pPr>
              <w:spacing w:after="0"/>
              <w:rPr>
                <w:sz w:val="14"/>
                <w:szCs w:val="14"/>
                <w:color w:val="auto"/>
              </w:rPr>
            </w:pPr>
          </w:p>
        </w:tc>
      </w:tr>
    </w:tbl>
    <w:p>
      <w:pPr>
        <w:spacing w:after="0" w:line="167" w:lineRule="exact"/>
        <w:rPr>
          <w:sz w:val="20"/>
          <w:szCs w:val="20"/>
          <w:color w:val="auto"/>
        </w:rPr>
      </w:pPr>
    </w:p>
    <w:p>
      <w:pPr>
        <w:ind w:left="940" w:right="1019" w:hanging="303"/>
        <w:spacing w:after="0" w:line="253"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$525 and $1,449 for the three and nine months ended September 30, 2025, respectively, and related-party amounts of $463 for both the three and nine months ended September 30, 2024.</w:t>
      </w:r>
    </w:p>
    <w:p>
      <w:pPr>
        <w:spacing w:after="0" w:line="1" w:lineRule="exact"/>
        <w:rPr>
          <w:rFonts w:ascii="Times New Roman" w:cs="Times New Roman" w:eastAsia="Times New Roman" w:hAnsi="Times New Roman"/>
          <w:sz w:val="13"/>
          <w:szCs w:val="13"/>
          <w:color w:val="auto"/>
        </w:rPr>
      </w:pPr>
    </w:p>
    <w:p>
      <w:pPr>
        <w:ind w:left="940" w:right="999" w:hanging="303"/>
        <w:spacing w:after="0" w:line="246"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$1,158 and $3,426 for the three and nine months ended September 30, 2025, respectively, and $1,133 and $3,399 for the three and nine months ended September 30, 2024, respectively.</w:t>
      </w:r>
    </w:p>
    <w:p>
      <w:pPr>
        <w:sectPr>
          <w:pgSz w:w="11900" w:h="16838" w:orient="portrait"/>
          <w:cols w:equalWidth="0" w:num="1">
            <w:col w:w="9019"/>
          </w:cols>
          <w:pgMar w:left="1440" w:top="229" w:right="1440" w:bottom="1440" w:gutter="0" w:footer="0" w:header="0"/>
        </w:sectPr>
      </w:pPr>
    </w:p>
    <w:bookmarkStart w:id="11" w:name="page12"/>
    <w:bookmarkEnd w:id="1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781"/>
    </w:lvl>
  </w:abstractNum>
  <w:abstractNum w:abstractNumId="6">
    <w:nsid w:val="7545E146"/>
    <w:multiLevelType w:val="hybridMultilevel"/>
    <w:lvl w:ilvl="0">
      <w:lvlJc w:val="left"/>
      <w:lvlText w:val="(%1)"/>
      <w:numFmt w:val="decimal"/>
      <w:start w:val="78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2025-11-06T06:26:03Z</dcterms:created>
  <dcterms:modified xsi:type="dcterms:W3CDTF">2025-11-06T06:26:03Z</dcterms:modified>
</cp:coreProperties>
</file>