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FF4338"/>
        </w:rPr>
        <w:t>PRELIMINARY INFORMATION STATEMENT – SUBJECT TO COMPLETION – DATED MAY 31, 2022</w:t>
      </w:r>
    </w:p>
    <w:p>
      <w:pPr>
        <w:spacing w:after="0" w:line="200"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SCHEDULE 14C INFORMATION</w:t>
      </w:r>
    </w:p>
    <w:p>
      <w:pPr>
        <w:spacing w:after="0" w:line="22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Information Statement Pursuant to Section 14(c) of the</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14c-5(d)(2))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19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Adagio Therapeutics,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line="282" w:lineRule="auto"/>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320" w:top="226" w:right="6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FF4338"/>
        </w:rPr>
        <w:t>PRELIMINARY INFORMATION STATEMENT – SUBJECT TO COMPLETION – DATED 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173990</wp:posOffset>
            </wp:positionV>
            <wp:extent cx="1602740"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27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To Be Held On [_____], 2022</w:t>
      </w:r>
    </w:p>
    <w:p>
      <w:pPr>
        <w:spacing w:after="0" w:line="117" w:lineRule="exact"/>
        <w:rPr>
          <w:sz w:val="20"/>
          <w:szCs w:val="20"/>
          <w:color w:val="auto"/>
        </w:rPr>
      </w:pPr>
    </w:p>
    <w:p>
      <w:pPr>
        <w:ind w:left="120" w:right="1220" w:firstLine="1258"/>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WE ARE NOT ASKING YOU FOR A PROXY AND YOU ARE REQUESTED NOT TO SEND US A PROXY </w:t>
      </w:r>
      <w:r>
        <w:rPr>
          <w:rFonts w:ascii="Times New Roman" w:cs="Times New Roman" w:eastAsia="Times New Roman" w:hAnsi="Times New Roman"/>
          <w:sz w:val="18"/>
          <w:szCs w:val="18"/>
          <w:color w:val="auto"/>
        </w:rPr>
        <w:t>Dear Fellow Stockholder:</w:t>
      </w:r>
    </w:p>
    <w:p>
      <w:pPr>
        <w:ind w:left="120" w:right="60"/>
        <w:spacing w:after="0" w:line="276" w:lineRule="auto"/>
        <w:rPr>
          <w:sz w:val="20"/>
          <w:szCs w:val="20"/>
          <w:color w:val="auto"/>
        </w:rPr>
      </w:pPr>
      <w:r>
        <w:rPr>
          <w:rFonts w:ascii="Times New Roman" w:cs="Times New Roman" w:eastAsia="Times New Roman" w:hAnsi="Times New Roman"/>
          <w:sz w:val="17"/>
          <w:szCs w:val="17"/>
          <w:color w:val="auto"/>
        </w:rPr>
        <w:t xml:space="preserve">You are cordially invited to attend the 2022 Annual Meeting of Stockholders (including any and all adjournments and postponements thereof, the “Annual Meeting”) of </w:t>
      </w:r>
      <w:r>
        <w:rPr>
          <w:rFonts w:ascii="Times New Roman" w:cs="Times New Roman" w:eastAsia="Times New Roman" w:hAnsi="Times New Roman"/>
          <w:sz w:val="17"/>
          <w:szCs w:val="17"/>
          <w:b w:val="1"/>
          <w:bCs w:val="1"/>
          <w:color w:val="auto"/>
        </w:rPr>
        <w:t>ADAGIO THERAPEUTICS, INC.</w:t>
      </w:r>
      <w:r>
        <w:rPr>
          <w:rFonts w:ascii="Times New Roman" w:cs="Times New Roman" w:eastAsia="Times New Roman" w:hAnsi="Times New Roman"/>
          <w:sz w:val="17"/>
          <w:szCs w:val="17"/>
          <w:color w:val="auto"/>
        </w:rPr>
        <w:t>, a Delaware corporation (the “Company”). The Annual Meeting will be held on [_______],</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at [____] Eastern Time at the offices of WilmerHale, 60 State Street, Boston, Massachusetts.</w:t>
      </w:r>
    </w:p>
    <w:p>
      <w:pPr>
        <w:spacing w:after="0" w:line="20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[___], 2022 (the “Record Date”). All holders of record of our common stock, par value $0.0001 per share (the “Common Stock”) outstanding as of the Record Date are cordially invited to attend the Annual Meeting. Only stockholders of record as of the close of business on the Record Date may vote at the Annual Meeting. On the Record Date, there were [___] shares of Common Stock outstanding and entitled to vote.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Annual Meeting will be held to elect three nominees to the Board of Directors, each to hold office until the 2025 Annual Meeting of Stockholders.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may also consider any other business properly brought before the Annual Meeting.</w:t>
      </w:r>
    </w:p>
    <w:p>
      <w:pPr>
        <w:spacing w:after="0" w:line="20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presence, in person or by proxy, of the holders of a majority of the outstanding shares of Common Stock entitled to vote constitutes a quorum for the Annual Meeting. Directors are elected by a plurality of the votes of the shares of Common Stock present in person or represented by proxy at the Annual Meeting. Any other matter properly brought before the Annual Meeting, including the Precatory Declassification Proposal (as defined below), would require for passage the affirmative vote of the majority of shares of Common Stock present in person or represented by proxy at the meeting and entitled to vote generally on the subject matter.</w:t>
      </w:r>
    </w:p>
    <w:p>
      <w:pPr>
        <w:spacing w:after="0" w:line="18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have received notice from Mithril II LP, a Delaware limited partnership (“Mithril”), which beneficially owns approximately 10.2% of Common Stock, expressing the intention of Mithril to nominate three nominees for election to our Board of Directors at the Annual Meeting. Mithril’s nominees are the only nominees that have been submitted for election at the Annual Meeting. The Company will not be submitting any person for election to the Board of Directors at the Annual Meeting. Mithril and other participants in its proxy solicitation (collectively, the “Mithril Group”) have filed a definitive proxy statement with the Securities and Exchange Commission in which they purport to beneficially own approximately 49.3% of the shares of Common Stock outstanding on March 29, 2022. Mithril has also indicated it intends to submit a proposal at the Annual Meeting that the Board of Directors take all steps necessary to eliminate the classification of the Board of Directors in advance of the 2023 annual meeting of stockholders (the “Precatory Declassification Proposal”). The Mithril Group may solicit your proxy to vote your shares of Common Stock in favor of the election of its three nominees to the Board of Directors and of the Precatory Declassification Proposal. Please be advised that we are not responsible for the accuracy of any information provided by or relating to the Mithril Group contained in any proxy solicitation materials filed or disseminated by the Mithril Group or any other statements that the Mithril Group may otherwise make.</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Board of Directors makes no recommendation and take no position with respect to the election of directors. The Board of Directors has also not taken any position on the Precatory Declassification Proposal. Stockholders will not receive a proxy statement or any other proxy solicitation materials from the Company in connection with the Annual Meeting. Since the Company is not delivering a proxy statement to stockholders, it will not be soliciting proxies in connection with the Annual Meeting.</w:t>
      </w:r>
    </w:p>
    <w:p>
      <w:pPr>
        <w:spacing w:after="0" w:line="180" w:lineRule="exact"/>
        <w:rPr>
          <w:sz w:val="20"/>
          <w:szCs w:val="20"/>
          <w:color w:val="auto"/>
        </w:rPr>
      </w:pPr>
    </w:p>
    <w:p>
      <w:pPr>
        <w:jc w:val="both"/>
        <w:ind w:left="120"/>
        <w:spacing w:after="0" w:line="272" w:lineRule="auto"/>
        <w:rPr>
          <w:sz w:val="20"/>
          <w:szCs w:val="20"/>
          <w:color w:val="auto"/>
        </w:rPr>
      </w:pPr>
      <w:r>
        <w:rPr>
          <w:rFonts w:ascii="Times New Roman" w:cs="Times New Roman" w:eastAsia="Times New Roman" w:hAnsi="Times New Roman"/>
          <w:sz w:val="17"/>
          <w:szCs w:val="17"/>
          <w:color w:val="auto"/>
        </w:rPr>
        <w:t>A list of our stockholders of record as of the close of business on the Record Date will be made available to stockholders during the Annual Meeting. In addition, for the ten days prior to the Annual Meeting, the list will be available for examination by any stockholder of record for any purpose germane to the meeting at our corporate headquarters during regular business hours. To access the list of record stockholders beginning [____], 2022 and until the</w:t>
      </w:r>
    </w:p>
    <w:p>
      <w:pPr>
        <w:spacing w:after="0" w:line="2" w:lineRule="exact"/>
        <w:rPr>
          <w:sz w:val="20"/>
          <w:szCs w:val="20"/>
          <w:color w:val="auto"/>
        </w:rPr>
      </w:pPr>
    </w:p>
    <w:p>
      <w:pPr>
        <w:ind w:left="120" w:right="840"/>
        <w:spacing w:after="0" w:line="260" w:lineRule="auto"/>
        <w:rPr>
          <w:sz w:val="20"/>
          <w:szCs w:val="20"/>
          <w:color w:val="auto"/>
        </w:rPr>
      </w:pPr>
      <w:r>
        <w:rPr>
          <w:rFonts w:ascii="Times New Roman" w:cs="Times New Roman" w:eastAsia="Times New Roman" w:hAnsi="Times New Roman"/>
          <w:sz w:val="18"/>
          <w:szCs w:val="18"/>
          <w:color w:val="auto"/>
        </w:rPr>
        <w:t>Annual Meeting, stockholders should contact our Corporate Secretary at Adagio Therapeutics, Inc., 1601 Trapelo Road, Suite 178, Waltham, Massachusetts 02451, Attention: Corporate Secretary, 781-819-0080.</w:t>
      </w:r>
    </w:p>
    <w:p>
      <w:pPr>
        <w:spacing w:after="0" w:line="181"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The Annual Meeting may be adjourned or postponed due to unanticipated circumstances or reasons outside of the control of the Company. At any adjourned or postponed meeting, action with respect to matters specified in this Notice may be taken without further notice to stockholders, unless required by law or the Company’s Amended and Restated Bylaws.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Waltham, Massachusetts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[__], 2022</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FF4338"/>
        </w:rPr>
        <w:t>PRELIMINARY INFORMATION STATEMENT – SUBJECT TO COMPLETION – DATED MAY 31, 2022</w:t>
      </w:r>
    </w:p>
    <w:p>
      <w:pPr>
        <w:spacing w:after="0" w:line="23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TO BE HELD AT [_____], EASTERN TIME, ON [_____], 2022</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MEETING AGENDA</w:t>
      </w:r>
    </w:p>
    <w:p>
      <w:pPr>
        <w:sectPr>
          <w:pgSz w:w="11900" w:h="16838" w:orient="portrait"/>
          <w:cols w:equalWidth="0" w:num="1">
            <w:col w:w="11100"/>
          </w:cols>
          <w:pgMar w:left="320" w:top="455" w:right="479" w:bottom="1440" w:gutter="0" w:footer="0" w:header="0"/>
        </w:sect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6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32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Voting Standard</w:t>
            </w:r>
          </w:p>
        </w:tc>
      </w:tr>
      <w:tr>
        <w:trPr>
          <w:trHeight w:val="185"/>
        </w:trPr>
        <w:tc>
          <w:tcPr>
            <w:tcW w:w="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6"/>
              </w:rPr>
              <w:t>Election</w:t>
            </w:r>
          </w:p>
        </w:tc>
        <w:tc>
          <w:tcPr>
            <w:tcW w:w="2680" w:type="dxa"/>
            <w:vAlign w:val="bottom"/>
          </w:tcPr>
          <w:p>
            <w:pPr>
              <w:ind w:left="100"/>
              <w:spacing w:after="0" w:line="185" w:lineRule="exact"/>
              <w:rPr>
                <w:sz w:val="20"/>
                <w:szCs w:val="20"/>
                <w:color w:val="auto"/>
              </w:rPr>
            </w:pPr>
            <w:r>
              <w:rPr>
                <w:rFonts w:ascii="Times New Roman" w:cs="Times New Roman" w:eastAsia="Times New Roman" w:hAnsi="Times New Roman"/>
                <w:sz w:val="18"/>
                <w:szCs w:val="18"/>
                <w:color w:val="auto"/>
              </w:rPr>
              <w:t>of Directors</w:t>
            </w:r>
          </w:p>
        </w:tc>
        <w:tc>
          <w:tcPr>
            <w:tcW w:w="660" w:type="dxa"/>
            <w:vAlign w:val="bottom"/>
          </w:tcPr>
          <w:p>
            <w:pPr>
              <w:spacing w:after="0"/>
              <w:rPr>
                <w:sz w:val="16"/>
                <w:szCs w:val="16"/>
                <w:color w:val="auto"/>
              </w:rPr>
            </w:pPr>
          </w:p>
        </w:tc>
        <w:tc>
          <w:tcPr>
            <w:tcW w:w="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6"/>
                <w:szCs w:val="16"/>
                <w:color w:val="auto"/>
              </w:rPr>
            </w:pPr>
          </w:p>
        </w:tc>
        <w:tc>
          <w:tcPr>
            <w:tcW w:w="3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Plurality of votes of shares present by remote</w:t>
            </w:r>
          </w:p>
        </w:tc>
      </w:tr>
      <w:tr>
        <w:trPr>
          <w:trHeight w:val="216"/>
        </w:trPr>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or represented by proxy and</w:t>
            </w:r>
          </w:p>
        </w:tc>
      </w:tr>
      <w:tr>
        <w:trPr>
          <w:trHeight w:val="216"/>
        </w:trPr>
        <w:tc>
          <w:tcPr>
            <w:tcW w:w="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entitled to vote generally on the election of</w:t>
            </w:r>
          </w:p>
        </w:tc>
      </w:tr>
      <w:tr>
        <w:trPr>
          <w:trHeight w:val="234"/>
        </w:trPr>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r>
        <w:trPr>
          <w:trHeight w:val="30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Precatory Declassification Proposal</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w w:val="99"/>
              </w:rPr>
              <w:t>Affirmative vote of the majority of the shares</w:t>
            </w:r>
          </w:p>
        </w:tc>
      </w:tr>
      <w:tr>
        <w:trPr>
          <w:trHeight w:val="234"/>
        </w:trPr>
        <w:tc>
          <w:tcPr>
            <w:tcW w:w="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present by remote communication or</w:t>
            </w:r>
          </w:p>
        </w:tc>
      </w:tr>
    </w:tbl>
    <w:p>
      <w:pPr>
        <w:ind w:left="4660"/>
        <w:spacing w:after="0"/>
        <w:rPr>
          <w:sz w:val="20"/>
          <w:szCs w:val="20"/>
          <w:color w:val="auto"/>
        </w:rPr>
      </w:pPr>
      <w:r>
        <w:rPr>
          <w:rFonts w:ascii="Times New Roman" w:cs="Times New Roman" w:eastAsia="Times New Roman" w:hAnsi="Times New Roman"/>
          <w:sz w:val="18"/>
          <w:szCs w:val="18"/>
          <w:color w:val="auto"/>
        </w:rPr>
        <w:t>represented by proxy and entitled to vote</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generally on the subject matter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The Board of Directors takes no position and makes no recommendation</w:t>
      </w:r>
    </w:p>
    <w:p>
      <w:pPr>
        <w:spacing w:after="0" w:line="200" w:lineRule="exact"/>
        <w:rPr>
          <w:sz w:val="20"/>
          <w:szCs w:val="20"/>
          <w:color w:val="auto"/>
        </w:rPr>
      </w:pPr>
    </w:p>
    <w:p>
      <w:pPr>
        <w:spacing w:after="0" w:line="2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takes no position and makes no recommendation</w:t>
      </w:r>
    </w:p>
    <w:p>
      <w:pPr>
        <w:spacing w:after="0" w:line="586" w:lineRule="exact"/>
        <w:rPr>
          <w:sz w:val="20"/>
          <w:szCs w:val="20"/>
          <w:color w:val="auto"/>
        </w:rPr>
      </w:pPr>
    </w:p>
    <w:p>
      <w:pPr>
        <w:sectPr>
          <w:pgSz w:w="11900" w:h="16838" w:orient="portrait"/>
          <w:cols w:equalWidth="0" w:num="2">
            <w:col w:w="7940" w:space="220"/>
            <w:col w:w="2940"/>
          </w:cols>
          <w:pgMar w:left="320" w:top="455" w:right="479" w:bottom="1440" w:gutter="0" w:footer="0" w:header="0"/>
          <w:type w:val="continuous"/>
        </w:sectPr>
      </w:pP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This information statement and our 2021 annual report to stockholders will be sent or given, on or about [_________], 2022 (the “Release Date”), to all</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entitled to vote at the Annual Meeting.</w:t>
      </w:r>
    </w:p>
    <w:p>
      <w:pPr>
        <w:spacing w:after="0" w:line="20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ectPr>
          <w:pgSz w:w="11900" w:h="16838" w:orient="portrait"/>
          <w:cols w:equalWidth="0" w:num="1">
            <w:col w:w="11100"/>
          </w:cols>
          <w:pgMar w:left="320" w:top="455" w:right="4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2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1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QUESTIONS AND ANSWERS ABOUT THESE MATERIALS AND VOTING</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2520" w:type="dxa"/>
            <w:vAlign w:val="bottom"/>
            <w:tcBorders>
              <w:top w:val="single" w:sz="8" w:color="0000EE"/>
            </w:tcBorders>
            <w:gridSpan w:val="12"/>
          </w:tcPr>
          <w:p>
            <w:pPr>
              <w:spacing w:after="0"/>
              <w:rPr>
                <w:sz w:val="17"/>
                <w:szCs w:val="17"/>
                <w:color w:val="auto"/>
              </w:rPr>
            </w:pPr>
          </w:p>
        </w:tc>
        <w:tc>
          <w:tcPr>
            <w:tcW w:w="334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Independence of the Board</w:t>
            </w:r>
          </w:p>
        </w:tc>
        <w:tc>
          <w:tcPr>
            <w:tcW w:w="5240" w:type="dxa"/>
            <w:vAlign w:val="bottom"/>
            <w:tcBorders>
              <w:top w:val="single" w:sz="8" w:color="0000EE"/>
            </w:tcBorders>
            <w:gridSpan w:val="27"/>
          </w:tcPr>
          <w:p>
            <w:pPr>
              <w:spacing w:after="0"/>
              <w:rPr>
                <w:sz w:val="17"/>
                <w:szCs w:val="17"/>
                <w:color w:val="auto"/>
              </w:rPr>
            </w:pPr>
          </w:p>
        </w:tc>
        <w:tc>
          <w:tcPr>
            <w:tcW w:w="162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6200" w:type="dxa"/>
            <w:vAlign w:val="bottom"/>
            <w:gridSpan w:val="2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Meetings of the Board and Annual Meeting Attendance</w:t>
            </w:r>
          </w:p>
        </w:tc>
        <w:tc>
          <w:tcPr>
            <w:tcW w:w="4800" w:type="dxa"/>
            <w:vAlign w:val="bottom"/>
            <w:gridSpan w:val="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Committees of the Board</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1880" w:type="dxa"/>
            <w:vAlign w:val="bottom"/>
            <w:tcBorders>
              <w:top w:val="single" w:sz="8" w:color="0000EE"/>
            </w:tcBorders>
            <w:gridSpan w:val="17"/>
          </w:tcPr>
          <w:p>
            <w:pPr>
              <w:spacing w:after="0"/>
              <w:rPr>
                <w:sz w:val="17"/>
                <w:szCs w:val="17"/>
                <w:color w:val="auto"/>
              </w:rPr>
            </w:pPr>
          </w:p>
        </w:tc>
        <w:tc>
          <w:tcPr>
            <w:tcW w:w="5300" w:type="dxa"/>
            <w:vAlign w:val="bottom"/>
            <w:gridSpan w:val="1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Committee</w:t>
            </w:r>
          </w:p>
        </w:tc>
        <w:tc>
          <w:tcPr>
            <w:tcW w:w="6560" w:type="dxa"/>
            <w:vAlign w:val="bottom"/>
            <w:gridSpan w:val="2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Communications with the Board</w:t>
            </w:r>
          </w:p>
        </w:tc>
        <w:tc>
          <w:tcPr>
            <w:tcW w:w="5540" w:type="dxa"/>
            <w:vAlign w:val="bottom"/>
            <w:gridSpan w:val="1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Hedging Policy</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PROPOSAL 2 PRECATORY DECLASSIFICATION PROPOSAL</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INDEPENDENT REGISTERED PUBLIC ACCOUNTANTS, FEES AND OTHER MATTERS</w:t>
            </w:r>
          </w:p>
        </w:tc>
        <w:tc>
          <w:tcPr>
            <w:tcW w:w="22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Accountants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Accountant Fees And Services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Pre-Approval Policies And Procedures</w:t>
            </w:r>
          </w:p>
        </w:tc>
        <w:tc>
          <w:tcPr>
            <w:tcW w:w="434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7260" w:type="dxa"/>
            <w:vAlign w:val="bottom"/>
            <w:gridSpan w:val="3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4280" w:type="dxa"/>
            <w:vAlign w:val="bottom"/>
            <w:tcBorders>
              <w:top w:val="single" w:sz="8" w:color="0000EE"/>
            </w:tcBorders>
            <w:gridSpan w:val="22"/>
          </w:tcPr>
          <w:p>
            <w:pPr>
              <w:spacing w:after="0"/>
              <w:rPr>
                <w:sz w:val="17"/>
                <w:szCs w:val="17"/>
                <w:color w:val="auto"/>
              </w:rPr>
            </w:pPr>
          </w:p>
        </w:tc>
        <w:tc>
          <w:tcPr>
            <w:tcW w:w="244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Narrative To Summary Compensation Table</w:t>
            </w:r>
          </w:p>
        </w:tc>
        <w:tc>
          <w:tcPr>
            <w:tcW w:w="5620" w:type="dxa"/>
            <w:vAlign w:val="bottom"/>
            <w:gridSpan w:val="1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Outstanding Equity Awards as of December 31, 2021</w:t>
            </w:r>
          </w:p>
        </w:tc>
        <w:tc>
          <w:tcPr>
            <w:tcW w:w="49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1320" w:type="dxa"/>
            <w:vAlign w:val="bottom"/>
            <w:tcBorders>
              <w:top w:val="single" w:sz="8" w:color="0000EE"/>
            </w:tcBorders>
            <w:gridSpan w:val="4"/>
          </w:tcPr>
          <w:p>
            <w:pPr>
              <w:spacing w:after="0"/>
              <w:rPr>
                <w:sz w:val="17"/>
                <w:szCs w:val="17"/>
                <w:color w:val="auto"/>
              </w:rPr>
            </w:pPr>
          </w:p>
        </w:tc>
        <w:tc>
          <w:tcPr>
            <w:tcW w:w="220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Related Person Transactions Policy and Procedures</w:t>
            </w:r>
          </w:p>
        </w:tc>
        <w:tc>
          <w:tcPr>
            <w:tcW w:w="5100" w:type="dxa"/>
            <w:vAlign w:val="bottom"/>
            <w:gridSpan w:val="1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Related Person Transactions</w:t>
            </w:r>
          </w:p>
        </w:tc>
        <w:tc>
          <w:tcPr>
            <w:tcW w:w="6180" w:type="dxa"/>
            <w:vAlign w:val="bottom"/>
            <w:gridSpan w:val="2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Series A Preferred Stock Financing</w:t>
            </w:r>
          </w:p>
        </w:tc>
        <w:tc>
          <w:tcPr>
            <w:tcW w:w="588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Series B Preferred Stock Financing</w:t>
            </w:r>
          </w:p>
        </w:tc>
        <w:tc>
          <w:tcPr>
            <w:tcW w:w="590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Series C Preferred Stock Financing</w:t>
            </w:r>
          </w:p>
        </w:tc>
        <w:tc>
          <w:tcPr>
            <w:tcW w:w="590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Assignment and License Agreement</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Collaboration Agreement</w:t>
            </w:r>
          </w:p>
        </w:tc>
        <w:tc>
          <w:tcPr>
            <w:tcW w:w="5840" w:type="dxa"/>
            <w:vAlign w:val="bottom"/>
            <w:gridSpan w:val="1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20" w:type="dxa"/>
            <w:vAlign w:val="bottom"/>
            <w:gridSpan w:val="2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Indemnification</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80" w:type="dxa"/>
            <w:vAlign w:val="bottom"/>
            <w:tcBorders>
              <w:left w:val="single" w:sz="8" w:color="0000EE"/>
            </w:tcBorders>
            <w:gridSpan w:val="8"/>
          </w:tcPr>
          <w:p>
            <w:pPr>
              <w:spacing w:after="0" w:line="20" w:lineRule="exact"/>
              <w:rPr>
                <w:sz w:val="1"/>
                <w:szCs w:val="1"/>
                <w:color w:val="auto"/>
              </w:rPr>
            </w:pPr>
          </w:p>
        </w:tc>
        <w:tc>
          <w:tcPr>
            <w:tcW w:w="6420" w:type="dxa"/>
            <w:vAlign w:val="bottom"/>
            <w:gridSpan w:val="2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HOUSEHOLDING OF MATERIALS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20" w:type="dxa"/>
            <w:vAlign w:val="bottom"/>
          </w:tcPr>
          <w:p>
            <w:pPr>
              <w:spacing w:after="0"/>
              <w:rPr>
                <w:sz w:val="17"/>
                <w:szCs w:val="17"/>
                <w:color w:val="auto"/>
              </w:rPr>
            </w:pPr>
          </w:p>
        </w:tc>
        <w:tc>
          <w:tcPr>
            <w:tcW w:w="27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6420" w:type="dxa"/>
            <w:vAlign w:val="bottom"/>
            <w:gridSpan w:val="2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 THESE MATERIALS AND VOTING</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information statement. You should read this entire information statement carefully.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there be a proxy contest at the Annual Meeting?</w:t>
      </w:r>
    </w:p>
    <w:p>
      <w:pPr>
        <w:spacing w:after="0" w:line="121"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Adagio Therapeutics, Inc. (the “Company”, “Adagio”, “we” or “us”) has received a notice from Mithril II LP, a Delaware limited partnership (“Mithril”), which beneficially owns approximately 10.2% of our common stock, par value $0.0001 (the “Common Stock”), expressing its intention to nominate three nominees for election as directors at our 2022 Annual Meeting of Stockholders and any adjournments or postponements thereto (the “Annual Meeting”). Mithril’s nominees are the only nominees that have been submitted for election at the Annual Meeting. The Company will not be submitting any person for election to the Board of Directors at the Annual Meeting. Mithril and other participants in its proxy solicitation (collectively, the “Mithril Group”) have filed a definitive proxy statement with the Securities and Exchange Commission in which they purport to beneficially own approximately 49.3% of the shares of Common Stock outstanding on March 29, 2022. Mithril has also indicated it intends to submit a proposal at the Annual Meeting that the Board of Directors take all steps necessary to eliminate the classification of the Board of Directors in advance of the 2023 annual meeting of stockholders (the “Precatory Declassification Proposal”). Two directors of the Company, Ajay Royan and Terrance McGuire, are participants in the Mithril Group’s solicitation and are therefore members of the Mithril Group. Mr. Royan is a founder of Mithril Capital Management LLC (“MCM”), an affiliate of Mithril, and serves as MCM’s managing general partner. Mr. McGuire is a managing member of Polaris Venture Management Co. V, L.L.C. (“PVMC V”). Mr. Royan along with Mr. McGuire and others, including PVMC V, are participants in the Mithril Group’s solicitation in connection with the Annual Meeting. As a result, Messrs. Royan and McGuire may have interests that are inconsistent with or materially adverse to those of the Company.</w:t>
      </w:r>
    </w:p>
    <w:p>
      <w:pPr>
        <w:spacing w:after="0" w:line="19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Mithril Group may solicit your proxy to vote your shares of Common Stock in favor of the election of its three nominees to the Board of Directors and of the Precatory Declassification Proposal. Please be advised that we are not responsible for the accuracy of any information provided by or relating to the Mithril Group contained in any proxy solicitation materials filed or disseminated by the Mithril Group or any other statements that it may otherwise make.</w:t>
      </w:r>
    </w:p>
    <w:p>
      <w:pPr>
        <w:spacing w:after="0" w:line="18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Stockholders will not receive a proxy statement or any other proxy solicitation materials from the Company in connection with the Annual Meeting. Since the Company is not delivering a proxy statement to stockholders, it will not be soliciting proxies in connection with the Annual Meeting.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recommendation of the Board?</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Board takes no position and makes no recommendation with respect to the election of directors. The Board has also not taken any position on the Precatory Declassification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Annual Meeting will be held in-person at the offices of WilmerHale, 60 State Street, Boston, Massachusetts. You are entitled to attend the Annual Meeting if you were a stockholder as of the close of business on [___], 2022 (the “Record Date”). Although the Company will not be performing a solicitation in connection with the Annual Meeting, since the Common Stock may be held of record by a broker, dealer, voting trustee, bank association or other entity that exercises fiduciary powers in nominee name or otherwise, the Company did perform a “broker search,” inquiring about the beneficial ownership of Common Stock held of record. The “broker search” was performed [●] days prior to the Record Date.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To be admitted to the Annual Meeting, you will need to present a valid government-issued photo identification, such as a valid driver’s license or passport. If you are a beneficial stockholder, you should present proof of ownership of our common stock, such as a bank or brokerage statement, as well as valid government-issued photo identification to be admitted to the Annual Meeting.</w:t>
      </w:r>
    </w:p>
    <w:p>
      <w:pPr>
        <w:spacing w:after="0" w:line="38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A list of our stockholders of record as of the close of business on the Record Date will be made available to stockholders during the Annual Meeting. In addition, for the ten days prior to the Annual Meeting, the list will be available for examination by any stockholder of record for a legally valid purpose at our corporate headquarters during regular business hours. To access the list of record stockholders beginning [____], 2022 and until the</w:t>
      </w:r>
    </w:p>
    <w:p>
      <w:pPr>
        <w:spacing w:after="0" w:line="2" w:lineRule="exact"/>
        <w:rPr>
          <w:sz w:val="20"/>
          <w:szCs w:val="20"/>
          <w:color w:val="auto"/>
        </w:rPr>
      </w:pPr>
    </w:p>
    <w:p>
      <w:pPr>
        <w:ind w:left="120" w:right="860"/>
        <w:spacing w:after="0" w:line="260" w:lineRule="auto"/>
        <w:rPr>
          <w:sz w:val="20"/>
          <w:szCs w:val="20"/>
          <w:color w:val="auto"/>
        </w:rPr>
      </w:pPr>
      <w:r>
        <w:rPr>
          <w:rFonts w:ascii="Times New Roman" w:cs="Times New Roman" w:eastAsia="Times New Roman" w:hAnsi="Times New Roman"/>
          <w:sz w:val="18"/>
          <w:szCs w:val="18"/>
          <w:color w:val="auto"/>
        </w:rPr>
        <w:t>Annual Meeting, stockholders should contact our Corporate Secretary at Adagio Therapeutics, Inc., 1601 Trapelo Road, Suite 178, Waltham, Massachusetts 02451, Attention: Corporate Secretary, 781-819-0080.</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we ask questions of management and the Board at the Annual Meeting?</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Annual Meeting will be governed by our Rules of Conduct and Procedures, which will be available at the Annual Meeting. The Rules of Conduct and Procedures will address the ability of stockholders to ask questions during the meeting, including rules on permissible topics, and rules for how questions and comments will be recognized. Because time is limited at the Annual Meeting, we may not be able to answer all questions. If there are any matters of individual concern to a stockholder and not of general concern to all stockholders, or if a question was not otherwise answered, such matters may be raised separately after the Annual Meeting by contacting Investor Relations at </w:t>
      </w:r>
      <w:r>
        <w:rPr>
          <w:rFonts w:ascii="Times New Roman" w:cs="Times New Roman" w:eastAsia="Times New Roman" w:hAnsi="Times New Roman"/>
          <w:sz w:val="18"/>
          <w:szCs w:val="18"/>
          <w:i w:val="1"/>
          <w:iCs w:val="1"/>
          <w:color w:val="auto"/>
        </w:rPr>
        <w:t>https://investors.adagiotx.com/resources/contact-ir/</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On the Record Date, there were [__] shares of Common Stock outstanding and entitled to vote.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If on the Record Date your shares were registered directly in your name with Adagio’s transfer agent, American Stock Transfer &amp; Trust Company, LLC, then you are a stockholder of record. As a stockholder of record, you may vote at the Annual Meeting upon verification of record share ownership.</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trustee or other similar organization, then you are the beneficial owner of shares held in “street name” and the materials are being forwarded to you by that organization. The organization holding your account is considered to be the stockholder of record for purposes of voting at the Annual Meeting. As a beneficial owner, you have the right to direct your broker, bank, trustee or other agent regarding how to vote the shares in your account. You are also invited to attend the Annual Meeting. However, since you are not the stockholder of record, you may only vote your shares at the Annual Meeting if you request and obtain a valid legal proxy from your broker, bank, trustee or other agent prior to the Annual Meeting, indicating that you were a beneficial owner of shares as of the Record Date and the number of shares that you beneficially owned at that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directors (Proposal 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Precatory Declassification Proposal (Proposal 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You may either vote “For” any of the director nominees to the Board or you may “Withhold” your vote for any director nominee you specify. For Proposal 2, you may vote “For” or “Against” or abstain from voting.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you may vote at the Annual Meeting upon verification of record share ownership.</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trustee or other agent, you should have received a notice containing voting instructions from that organization rather than from the Company. To vote at the Annual Meeting, you must obtain a valid legal proxy from your broker, bank, trustee or other agent. Follow the instructions from your broker, bank, trustee or other agent included with these materials, or contact that organization to request a proxy form. However, since you are not the stockholder of record, you may only vote your shares at the Annual Meeting if you request and obtain a valid legal proxy from your broker, bank, trustee or other agent, indicating that you were a beneficial owner of shares as of the Record Date and the number of shares that you beneficially owned at that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then you are considered the stockholder of record with respect to those shares. The Company sent the information statement materials directly to you.</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trustee or other nominee, then the broker, bank, trustee or other nominee is considered to be the stockholder of record with respect to those shares. In that case, you are considered to be the beneficial owner of those shares, your shares are said to be held in “street name,” and the information statement materials will be forwarded to you by that nominee. Street name holders generally cannot submit a proxy or vote their shares directly and must instead instruct the broker, bank, trustee or other nominee how to vote their shares. If you do not provide voting instructions to your broker, then your shares will not be voted at the Annual Meeting on any proposal with respect to which your broker does not have discretionary authority. Neither the election of directors nor the Precatory Declassification Proposal is considered a discretionary matter under the rules of the various regional and national exchanges of which your nominee is a member (the “Broker Rules”), which means that a broker that is subject to the Broker Rules will not have authority to vote shares held in street name without instructions from the beneficial owner. If you own your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shares in street name, please instruct your broker, bank, trustee or other nominee how to vote your shares using the voting instruction form provided by your broker, bank, trustee or other nominee so that your vote can be counted. The voting instruction form provided by your broker, bank, trustee or other nominee holding your shares may also include information about how to submit your voting instructions over the Internet or by telephone.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Broker Rules, brokers, banks and other securities intermediaries may use their discretion to vote your “uninstructed” shares with respect to matters considered to be “routine”, but not with respect to “non-routine” matters. Neither the election of directors nor the Precatory Declassification Proposal is considered to be a non-discretionary matter, such that if you do not submit any voting instructions to your brokerage firm, your shares will not be counted in determining the outcome of the proposal at the Annual Meeting, nor will your shares be counted for establishing the presence of a quorum.</w:t>
      </w:r>
    </w:p>
    <w:p>
      <w:pPr>
        <w:spacing w:after="0" w:line="179"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and you do not plan to attend the Annual Meeting, in order to ensure your shares are voted in the way you would prefer, you must provide voting instructions to your broker, bank, trustee or other agent by the deadline provided in the materials you receive from your broker, bank, trustee or other agent.</w:t>
      </w:r>
    </w:p>
    <w:p>
      <w:pPr>
        <w:spacing w:after="0" w:line="279"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Has the Company received notice from one or more stockholders that they intend to nominate director candidates or bring proposals at the Annual Meeting?</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Yes. Based on recently available public filings, the Mithril Group has indicated that it beneficially owns an aggregate of 54,061,113 shares of Common Stock (representing approximately 49.3% of outstanding Common Stock). Mithril has delivered notice to the Company of its intention to nominate three candidates for election. The Board takes no position and makes no recommendation with respect to election of directors. Mithril has also indicated it intends to submit the Precatory Declassification Proposal at the Annual Meeting. The Board has also not taken any position on the Precatory Declassification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Proposal 1, votes “For” and “Withhold”; and, with respect to Proposal 2, votes “For,” “Against” and abstentions. Broker non-votes will have no effect on the voting on Proposal 1 but will have the same effect as “Against” votes on Proposal 2. Abstentions will be counted towards the vote total for Proposal 2 and will have the same effect as “Against” votes.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Proposal 1, the election of directors, the three nominees receiving the most “For” votes from the holders of shares present or represented by proxy and entitled to vote on the election of directors will be elected. Only votes “For” will affect the outcome. Withhold votes will have no effect on the outcome of Proposal 1.</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Mithril has notified us that it intends to nominate three nominees for election as directors and submit the Precatory Declassification Proposal at the Annual Meeting. The Board takes no position and makes no recommendation with respect to election of directors or the Precatory Declassification Proposal.</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To be approved, the Precatory Declassification Proposal must receive “For” votes from the holders of a majority of shares present or represented by proxy and entitled to vote on the matter. If you “Abstain” from voting, it will have the same effect as an “Against” vote.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Annual Meeting or represented by proxy. On the Record Date, there were [___] shares outstanding and entitled to vote. Thus, the holders of [___] shares must be present or represented by proxy at the Annual Meeting to have a quorum.</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trustee or other nominee) or if you vote at the Annual Meeting. Abstentions will be counted towards the quorum requirement. If there is no quorum, the holders of a majority of shares present at the Annual Meeting or represented by proxy may adjourn the meeting to another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Final voting results will be published in a current report on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 I have appraisal or dissenters’ rights?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None of the applicable Delaware law, the Company’s Amended and Restated Certificate of Incorporation or its Amended and Restated Bylaws (the “Bylaws”) provide for the appraisal or other similar rights for dissenting stockholders in connection with the proposal set forth in this information statement. Accordingly, you will have no right to dissent and obtain payment for your shares in connection with such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information statement materials are available on the Internet?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This information statement, Form 10-K and annual report to stockholders are available at </w:t>
      </w:r>
      <w:r>
        <w:rPr>
          <w:rFonts w:ascii="Times New Roman" w:cs="Times New Roman" w:eastAsia="Times New Roman" w:hAnsi="Times New Roman"/>
          <w:sz w:val="18"/>
          <w:szCs w:val="18"/>
          <w:i w:val="1"/>
          <w:iCs w:val="1"/>
          <w:color w:val="auto"/>
        </w:rPr>
        <w:t>https://investors.adagiotx.com/</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information statement materials?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information statement materials from the Company, your shares may be registered in more than one name or in different accounts.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is divided into three classes. Each class consists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Board currently has nine members. There are three directors in the class whose term of office expires in 2022. The Company will not be submitting any person for election to the Board at the Annual Meeting.</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Mithril has notified us that it intends to nominate three nominees for election to our Board at the Annual Meeting. If elected at the Annual Meeting, each of the individuals would serve until the 2025 Annual Meeting of Stockholders and until his or her successor has been duly elected and qualified, or, if sooner, until the director’s death, resignation or removal.</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takes no position and makes no recommendation with respect to the election of directors. Directors are elected by a plurality of the votes of the holders of shares present or represented by proxy and entitled to vote on the election of directors. Accordingly, the three nominees receiving the highest number of affirmative votes will be elected.</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brief biography of each director whose term will continue after the Annual Meeting. There are no family relationships among any of our directors or executive officers. There are no arrangements or understandings between any of our directors or any other person pursuant to which any person was selected as a director.</w:t>
      </w:r>
    </w:p>
    <w:p>
      <w:pPr>
        <w:spacing w:after="0" w:line="280" w:lineRule="exact"/>
        <w:rPr>
          <w:sz w:val="20"/>
          <w:szCs w:val="20"/>
          <w:color w:val="auto"/>
        </w:rPr>
      </w:pPr>
    </w:p>
    <w:p>
      <w:pPr>
        <w:ind w:left="120" w:right="120"/>
        <w:spacing w:after="0" w:line="375" w:lineRule="auto"/>
        <w:rPr>
          <w:sz w:val="20"/>
          <w:szCs w:val="20"/>
          <w:color w:val="auto"/>
        </w:rPr>
      </w:pPr>
      <w:r>
        <w:rPr>
          <w:rFonts w:ascii="Times New Roman" w:cs="Times New Roman" w:eastAsia="Times New Roman" w:hAnsi="Times New Roman"/>
          <w:sz w:val="18"/>
          <w:szCs w:val="18"/>
          <w:b w:val="1"/>
          <w:bCs w:val="1"/>
          <w:color w:val="auto"/>
        </w:rPr>
        <w:t>THE BOARD TAKES NO POSITION AND MAKES NO RECOMMENDATION WITH RESPECT TO THE ELECTION OF DIRECTORS. Class II Directors Continuing in Office Until the 2023 Annual Meeting</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Howard Mayer, M.D.</w:t>
      </w:r>
      <w:r>
        <w:rPr>
          <w:rFonts w:ascii="Times New Roman" w:cs="Times New Roman" w:eastAsia="Times New Roman" w:hAnsi="Times New Roman"/>
          <w:sz w:val="18"/>
          <w:szCs w:val="18"/>
          <w:i w:val="1"/>
          <w:iCs w:val="1"/>
          <w:color w:val="auto"/>
        </w:rPr>
        <w:t>, age 59</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Howard Mayer has served as a member of our Board since August 2020. In addition, Dr. Mayer has served on the board of directors of Entasis Therapeutics Holdings Inc., a biotechnology company, since August 2019 and previously served on the board of directors of Genocea Biosciences, Inc., a bioscience company, from March 2017 to August 2020. Dr. Mayer has served as the Executive Vice President, Head of Research and Development for Ipsen Biopharmaceuticals, Inc., or Ipsen, a global biopharmaceutical leader, since December 2019. Prior to joining Ipsen, Dr. Mayer served as the Senior Vice President, Chief Medical Officer and Global Head of Research &amp; Development, Neuroscience Division at Shire Pharmaceuticals, Inc., or Shire, a pharmaceutical company,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because of his extensive experience in the biopharmaceutical industry and his scientific background.</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Terrance McGuire</w:t>
      </w:r>
      <w:r>
        <w:rPr>
          <w:rFonts w:ascii="Times New Roman" w:cs="Times New Roman" w:eastAsia="Times New Roman" w:hAnsi="Times New Roman"/>
          <w:sz w:val="18"/>
          <w:szCs w:val="18"/>
          <w:i w:val="1"/>
          <w:iCs w:val="1"/>
          <w:color w:val="auto"/>
        </w:rPr>
        <w:t>, age 66</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Terrance McGuire has served as a member of our Board since October 2020. Mr. McGuire is a founding partner of Polaris Partners, an investment firm, which he co-founded in 1996. Mr. McGuire serves on the board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of directors of several private companies and has served on the board of directors of Alector, Inc., a biopharmaceutical company, since 2013, Seer, Inc., a proteomics company, since December 2017 and Cyclerion Therapeutics, Inc., a clinical-stage biopharmaceutical company, since April 2019. In addition, Mr. McGuire previously served on the board of directors of Pulmatrix, Inc., a pharmaceutical company, from 2016 to September 2019, Ironwood Pharmaceuticals, Inc., a pharmaceutical company, from 1998 to April 2019, Arsanis, Inc., a clinical-stage biopharmaceutical company, from 2011 to March 2019, and Acceleron Pharma Inc., a clinical stage biopharmaceutical company, from 2005 to November 2017. Mr. McGuire is the former chairman of the National Venture Capital Association, which represents ninety percent of the venture capitalists in the U.S., former chairman of the board of the Thayer School of Engineering at Dartmouth College, and a member of the board of directors of The Arthur Rock Center for Entrepreneurship at Harvard Business School, The Healthcare Initiative Board at Harvard Business School, and The Scientific Advisory Board at Brigham Research Institute. Mr. McGuire received a B.S. in physics and economics from Hobart College, an M.S. in Engineering from the Thayer School at Dartmouth College and a M.B.A. from Harvard Business School. We believe Mr. McGuire is qualified to serve as a member of our Board because of his extensive experience as a venture capitalist focused on the biotechnology industry, as well as many years of experience as a director of biotechnology companies guiding them in the execution of their corporate strategy and objectives.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Redonda Miller, M.D., M.B.A.</w:t>
      </w:r>
      <w:r>
        <w:rPr>
          <w:rFonts w:ascii="Times New Roman" w:cs="Times New Roman" w:eastAsia="Times New Roman" w:hAnsi="Times New Roman"/>
          <w:sz w:val="18"/>
          <w:szCs w:val="18"/>
          <w:i w:val="1"/>
          <w:iCs w:val="1"/>
          <w:color w:val="auto"/>
        </w:rPr>
        <w:t>, age 55</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Redonda Miller has served as a member of our Board since November 2021. Dr. Miller has served as the president of The Johns Hopkins Hospital since July 2016 and as an associate professor in the Department of Medicine at The Johns Hopkins University, a research university, since May 2006. Dr. Miller received a M.D. from The Johns Hopkins University School of Medicine, a M.B.A. from The Johns Hopkins University and a B.S. from The Ohio State University. We believe Dr. Miller is qualified to serve as a member of our Board because of her expertise in medicine and health care administration.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2024 Annual Meeting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Tomas Heyman</w:t>
      </w:r>
      <w:r>
        <w:rPr>
          <w:rFonts w:ascii="Times New Roman" w:cs="Times New Roman" w:eastAsia="Times New Roman" w:hAnsi="Times New Roman"/>
          <w:sz w:val="18"/>
          <w:szCs w:val="18"/>
          <w:i w:val="1"/>
          <w:iCs w:val="1"/>
          <w:color w:val="auto"/>
        </w:rPr>
        <w:t>, age 66</w:t>
      </w:r>
    </w:p>
    <w:p>
      <w:pPr>
        <w:spacing w:after="0" w:line="121" w:lineRule="exact"/>
        <w:rPr>
          <w:sz w:val="20"/>
          <w:szCs w:val="20"/>
          <w:color w:val="auto"/>
        </w:rPr>
      </w:pPr>
    </w:p>
    <w:p>
      <w:pPr>
        <w:ind w:left="120" w:right="360" w:firstLine="440"/>
        <w:spacing w:after="0" w:line="269" w:lineRule="auto"/>
        <w:rPr>
          <w:sz w:val="20"/>
          <w:szCs w:val="20"/>
          <w:color w:val="auto"/>
        </w:rPr>
      </w:pPr>
      <w:r>
        <w:rPr>
          <w:rFonts w:ascii="Times New Roman" w:cs="Times New Roman" w:eastAsia="Times New Roman" w:hAnsi="Times New Roman"/>
          <w:sz w:val="17"/>
          <w:szCs w:val="17"/>
          <w:color w:val="auto"/>
        </w:rPr>
        <w:t>Tomas Heyman has served as a member of our Board since June 2021. Mr. Heyman currently serves as Interim Chief Executive Officer of Interlaken Therapeutics, Inc., a biotechnology company. Mr. Heyman previously served as the President of Johnson &amp; Johnson’s Corporate Venture Capital Group, the venture capital arm of Johnson &amp; Johnson, a pharmaceutical industry company, from April 2015 to September 2019 and as the Global Head of Business Development for Johnson &amp; Johnson’s Pharmaceutical Group from March 1992 to March 2015. In addition, Mr. Heyman previously served as Chief Executive Officer of Janssen Pharmaceuticals, a pharmaceutical company, from November 2008 to November 2016.</w:t>
      </w:r>
    </w:p>
    <w:p>
      <w:pPr>
        <w:spacing w:after="0" w:line="3" w:lineRule="exact"/>
        <w:rPr>
          <w:sz w:val="20"/>
          <w:szCs w:val="20"/>
          <w:color w:val="auto"/>
        </w:rPr>
      </w:pPr>
    </w:p>
    <w:p>
      <w:pPr>
        <w:jc w:val="both"/>
        <w:ind w:left="120"/>
        <w:spacing w:after="0" w:line="277" w:lineRule="auto"/>
        <w:rPr>
          <w:sz w:val="20"/>
          <w:szCs w:val="20"/>
          <w:color w:val="auto"/>
        </w:rPr>
      </w:pPr>
      <w:r>
        <w:rPr>
          <w:rFonts w:ascii="Times New Roman" w:cs="Times New Roman" w:eastAsia="Times New Roman" w:hAnsi="Times New Roman"/>
          <w:sz w:val="17"/>
          <w:szCs w:val="17"/>
          <w:color w:val="auto"/>
        </w:rPr>
        <w:t>Mr. Heyman has served as a director of OptiNose, Inc., a specialty pharmaceutical company, since December 2020 and a director of Akero Therapeutics, Inc., a biotechnology company, since June 2020. Mr. Heyman earned his Master of Laws from Katholieke Universiteit Leuven. We believe Mr. Heyman is qualified to serve as a member of our Board because of his expertise in the biotechnology industry through his career in venture capital.</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Anand Shah, M.D.</w:t>
      </w:r>
      <w:r>
        <w:rPr>
          <w:rFonts w:ascii="Times New Roman" w:cs="Times New Roman" w:eastAsia="Times New Roman" w:hAnsi="Times New Roman"/>
          <w:sz w:val="18"/>
          <w:szCs w:val="18"/>
          <w:i w:val="1"/>
          <w:iCs w:val="1"/>
          <w:color w:val="auto"/>
        </w:rPr>
        <w:t>, age 42</w:t>
      </w:r>
    </w:p>
    <w:p>
      <w:pPr>
        <w:spacing w:after="0" w:line="121" w:lineRule="exact"/>
        <w:rPr>
          <w:sz w:val="20"/>
          <w:szCs w:val="20"/>
          <w:color w:val="auto"/>
        </w:rPr>
      </w:pPr>
    </w:p>
    <w:p>
      <w:pPr>
        <w:jc w:val="both"/>
        <w:ind w:left="120" w:firstLine="440"/>
        <w:spacing w:after="0" w:line="276" w:lineRule="auto"/>
        <w:rPr>
          <w:sz w:val="20"/>
          <w:szCs w:val="20"/>
          <w:color w:val="auto"/>
        </w:rPr>
      </w:pPr>
      <w:r>
        <w:rPr>
          <w:rFonts w:ascii="Times New Roman" w:cs="Times New Roman" w:eastAsia="Times New Roman" w:hAnsi="Times New Roman"/>
          <w:sz w:val="17"/>
          <w:szCs w:val="17"/>
          <w:color w:val="auto"/>
        </w:rPr>
        <w:t>Anand Shah has served as a member of our Board since June 2021. Dr. Shah has served as Operating Advisor at Clayton Dubilier &amp; Rice, a global private equity manager, since January 2022. Previously, Dr. Shah served as a senior advisor to Morgan Stanley from January 2021 to January 2022.</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Dr. Shah served as the Deputy Commissioner for Medical and Scientific Affairs at the U.S. Food and Drug Administration from January 2020 to January 2021. He served as Chief Medical Officer of the Center for Medicare and Medicaid Innovation from October 2017 to January 2019 and Senior Medical Advisor from January 2019 to January 2020, both at the Centers for Medicare and Medicaid Services. Dr. Shah has served as an Adjunct Senior Fellow at the Leonard David Institute of Health Economics at the University of Pennsylvania since March 2022 and previously served in the same position from March 2017 to January 2020. Dr. Shah received an M.D. from the University of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Pennsylvania, an M.P.H. in Health Care Management and Policy from the Harvard School of Public Health and a B.S. in Economics from Duke University. We believe Dr. Shah is qualified to serve as a member of our Board because of his expertise in health policy, the biotechnology field and bringing new technologies to market.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Michael Wyzga</w:t>
      </w:r>
      <w:r>
        <w:rPr>
          <w:rFonts w:ascii="Times New Roman" w:cs="Times New Roman" w:eastAsia="Times New Roman" w:hAnsi="Times New Roman"/>
          <w:sz w:val="18"/>
          <w:szCs w:val="18"/>
          <w:i w:val="1"/>
          <w:iCs w:val="1"/>
          <w:color w:val="auto"/>
        </w:rPr>
        <w:t>, age 67</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Michael Wyzga has served as a member of our Board since July 2021. Mr. Wyzga has served as the President of MSW Consulting, Inc. since November 2013. Mr. Wyzga has served as a member and chair of the board of directors for GenSight Biologics S.A., a clinical-stage gene therapy company, since July 2015 and for X4 Pharmaceuticals, Inc., a biopharmaceutical company, since July 2018, as a member and deputy chair of the board of Mereo BioPharma Group plc, a clinical-stage biopharmaceutical company, since April 2019, and as a member of the board and chair of the audit committee for LogicBio Therapeutics, Inc., a clinical-stage genetic medicine company, since December 2018. Mr. Wyzga previously served as a director and chair of the audit and finance committee for Exact Sciences Corp., a provider of cancer screening and diagnostic tests, from February 2015 to June 2021 and as a member of the board of directors of OncoMed Pharmaceuticals, Inc., a biotechnology company, from October 2013 to April 2019.</w:t>
      </w:r>
    </w:p>
    <w:p>
      <w:pPr>
        <w:spacing w:after="0" w:line="2"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Mr. Wyzga received a M.B.A. from Providence College and a B.S. from Suffolk University. We believe Mr. Wyzga is qualified to serve as a member of our Board because of his experience in the biotechnology space and his financial experience.</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in this information statement, to the Company’s knowledge: (i) no person who has been a director or officer of the Company at any time since the beginning of last fiscal year nor any associate of the foregoing persons has any substantial interest, direct or indirect, by security holdings or otherwise, in any matter to be acted upon at the Annual Meeting, other than elections to office; (ii) no director of the Company has informed the Company in writing that he or she intends to oppose any action to be taken by the Company at the Annual Meeting; (iii) there are no material proceedings to which any director, officer or affiliate of the Company, any owner of record or beneficially of more than five percent of any class of voting securities of the Company, or any of his, her or its associates is a party adverse to the Company or any of its subsidiaries or has a material interest adverse to the Company or any of its subsidiaries; and (iv) none of the events enumerated in Item 401(f)(1)-(8) of Regulation S-K occurred during the past ten (10) years with respect to any director or executive officer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w:t>
      </w:r>
    </w:p>
    <w:p>
      <w:pPr>
        <w:spacing w:after="0" w:line="3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Board Diversity Matrix (As of [_________], 2022)</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Did Not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264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80"/>
        </w:trPr>
        <w:tc>
          <w:tcPr>
            <w:tcW w:w="164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Binary</w:t>
            </w:r>
          </w:p>
        </w:tc>
        <w:tc>
          <w:tcPr>
            <w:tcW w:w="5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89"/>
        </w:trPr>
        <w:tc>
          <w:tcPr>
            <w:tcW w:w="4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7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Directors</w:t>
            </w:r>
          </w:p>
        </w:tc>
        <w:tc>
          <w:tcPr>
            <w:tcW w:w="320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color w:val="auto"/>
                <w:w w:val="88"/>
              </w:rPr>
              <w:t>2</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Asian</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Hispanic or Latinx</w:t>
            </w:r>
          </w:p>
        </w:tc>
        <w:tc>
          <w:tcPr>
            <w:tcW w:w="2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3200" w:type="dxa"/>
            <w:vAlign w:val="bottom"/>
            <w:gridSpan w:val="2"/>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88"/>
              </w:rPr>
              <w:t>2</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7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LGBTQ+</w:t>
            </w:r>
          </w:p>
        </w:tc>
        <w:tc>
          <w:tcPr>
            <w:tcW w:w="2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LLC (“Nasdaq”) listing standards, a majority of the members of a listed company’s board of directors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2021, the Board considered the independence of its directors and concluded that Tomas Heyman, Ellen Marram, Howard Mayer, Redonda Miller, Rene Russo, Anand Shah and Michael Wyzga were independent directors in accordance with Rule 5605(a)(2) of the Nasdaq Listing Rules. The Board made these determinations after review of all relevant identified transactions or relationships between each director, or any of his or her family members, and the Company, its senior management and its independent auditors. In making this determination, the Board found that none of these directors had a material or other disqualifying relationship with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has an independent chair, Dr. Russo, who has authority, among other things, to develop and approve an appropriate Board meeting schedule and meeting agendas in consultation with the Chief Executive Officer, convene, moderate and develop the agendas for meetings of the independent members of the Board, and preside over Board meetings when the Chief Executive Officer is not present or when Board or Chief Executive Officer performance or compensation is discussed.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Audit Committee responsibilities also include oversight of management risks relating to data privacy, technology and information security, including cyber security and back-up of information systems, and the steps the Company has taken to monitor and control such exposures. Our Nominating and Corporate Governance Committee of the Board (the “Nominating and Corporate Governance Committee”) monitors the effectiveness of our corporate governance guidelines, including whether they are successful in preventing illegal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or improper liability-creating conduct. The committee also oversees and reviews with management the Company’s major legal compliance risk exposures and the steps management has taken to monitor or mitigate such exposures, including the Company’s procedures and any related policies with respect to risk assessment and risk management. Our Compensation Committee of the Board (the “Compensation Committee”) assesses and monitors whether any of our compensation policies and programs has the potential to encourage excessive risk-taking. Both the Board as a whole and the various standing committees receive periodic reports regarding material enterprise risks, as well as incidental reports as matters may arise.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EETING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TTENDANCE</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The Board met 14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4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invite directors to attend the Annual Meeting. As a private company, Adagio did not hold an annual meeting of stockholders in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the last fiscal year for each of the Board committees: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426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Name(1)</w:t>
            </w:r>
          </w:p>
        </w:tc>
        <w:tc>
          <w:tcPr>
            <w:tcW w:w="82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500" w:type="dxa"/>
            <w:vAlign w:val="bottom"/>
            <w:vMerge w:val="restart"/>
          </w:tcPr>
          <w:p>
            <w:pPr>
              <w:spacing w:after="0"/>
              <w:rPr>
                <w:sz w:val="12"/>
                <w:szCs w:val="12"/>
                <w:color w:val="auto"/>
              </w:rPr>
            </w:pPr>
          </w:p>
        </w:tc>
        <w:tc>
          <w:tcPr>
            <w:tcW w:w="178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0"/>
        </w:trPr>
        <w:tc>
          <w:tcPr>
            <w:tcW w:w="42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Tomas Heyman</w:t>
            </w:r>
          </w:p>
        </w:tc>
        <w:tc>
          <w:tcPr>
            <w:tcW w:w="8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5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Ellen R. Marram, M.B.A.</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Mayer, M.D.(2)</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McGuire(3)</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Redonda Miller, M.D., M.B.A.</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Ajay Royan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René Russo, Pharm.D.(4)</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Anand Shah, M.D.(5)</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meetings in fiscal year 2021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Chairperson</w:t>
      </w:r>
    </w:p>
    <w:p>
      <w:pPr>
        <w:spacing w:after="0" w:line="27" w:lineRule="exact"/>
        <w:rPr>
          <w:sz w:val="20"/>
          <w:szCs w:val="20"/>
          <w:color w:val="auto"/>
        </w:rPr>
      </w:pPr>
    </w:p>
    <w:p>
      <w:pPr>
        <w:ind w:left="54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Elia, a former member of our Board during the last fiscal year, did not serve on any committees and resigned from the Board on April 16, 2021. Philip Chase, a former member of our Board of during the last fiscal year, served on the Compensation Committee. Mr. Chase resigned from the Compensation Committee on May 27, 2021 and from the Board on July 16, 2021.</w:t>
      </w:r>
    </w:p>
    <w:p>
      <w:pPr>
        <w:spacing w:after="0" w:line="1" w:lineRule="exact"/>
        <w:rPr>
          <w:rFonts w:ascii="Times New Roman" w:cs="Times New Roman" w:eastAsia="Times New Roman" w:hAnsi="Times New Roman"/>
          <w:sz w:val="18"/>
          <w:szCs w:val="18"/>
          <w:color w:val="auto"/>
        </w:rPr>
      </w:pPr>
    </w:p>
    <w:p>
      <w:pPr>
        <w:ind w:left="540" w:right="64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Mayer resigned from the Nominating and Corporate Governance Committee on November 19, 2021 in connection with Ms. Marram’s appointment to the Board and the Nominating and Corporate Governance Committee.</w:t>
      </w:r>
    </w:p>
    <w:p>
      <w:pPr>
        <w:ind w:left="540" w:right="70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McGuire resigned from each of the Audit Committee and the Compensation Committee prior to the public filing with the SEC of the Company’s registration statement on Form S-1 related to our initial public offering.</w:t>
      </w:r>
    </w:p>
    <w:p>
      <w:pPr>
        <w:ind w:left="540" w:right="26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Russo resigned from the Compensation Committee prior to the public filing with the SEC of the Company’s registration statement on Form S-1 related to our initial public offering.</w:t>
      </w:r>
    </w:p>
    <w:p>
      <w:pPr>
        <w:ind w:left="540" w:right="280" w:hanging="424"/>
        <w:spacing w:after="0" w:line="26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Shah resigned from the Compensation Committee on November 19, 2021 in connection with Dr. Miller’s appointment to the Board and the Compensation Committee.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previously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was established by the Board in accordance with Section 3(a)(58)(A) of the Securities and Exchange Act of 1934, as amended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and assesses the independence and qualifications of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approve the engagement of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retain or terminate the existing independent auditors or to appoint and engage new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retention of the independent auditors to perform any proposed permissible non-audit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rotation of partners of the independent auditors on the Company’s audit engagement team as required by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with management and the independent auditors regarding the effectiveness of internal control over financial reporting;</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to review the Company’s annual audited financial statements and quarterly financial statements with management and the independent auditor, including a review of the Company’s disclosures under “Management’s Discussion and Analysis of Financial Condition and Results of Operations,” and to recommend whether such financial statements should be included in our Annual Report on Form 10-K and Annual Report on 10-Q, as applicable.</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Audit Committee is composed of three directors: Tomas Heyman, René Russo, Pharm.D., and Michael Wyzga. The Audit Committee met four times during the last fiscal year. The Board has adopted a written Audit Committee charter that is available on the Company’s website at </w:t>
      </w:r>
      <w:r>
        <w:rPr>
          <w:rFonts w:ascii="Times New Roman" w:cs="Times New Roman" w:eastAsia="Times New Roman" w:hAnsi="Times New Roman"/>
          <w:sz w:val="18"/>
          <w:szCs w:val="18"/>
          <w:i w:val="1"/>
          <w:iCs w:val="1"/>
          <w:color w:val="auto"/>
        </w:rPr>
        <w:t>https://investors.adagiotx.com/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w:t>
      </w:r>
    </w:p>
    <w:p>
      <w:pPr>
        <w:spacing w:after="0" w:line="176"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The Board has also determined that Mr. Wyzga qualifies as an “audit committee financial expert,” as defined in applicable SEC rules. The Board made a qualitative assessment of Mr. Wyzga’s level of knowledge and experience based on a number of factors, including his formal education and his experience as a chief executive officer, chief financial officer and member of the audit committee of the boards of directors of other public companies.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r>
        <w:rPr>
          <w:rFonts w:ascii="Times New Roman" w:cs="Times New Roman" w:eastAsia="Times New Roman" w:hAnsi="Times New Roman"/>
          <w:sz w:val="15"/>
          <w:szCs w:val="15"/>
          <w:b w:val="1"/>
          <w:bCs w:val="1"/>
          <w:color w:val="auto"/>
        </w:rPr>
        <w:t>1</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2021.</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Michael Wyzga,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Tomas Heyman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René Russo, Pharm.D.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Committee is composed of three directors: Howard Mayer, M.D., Redonda Miller, M.D., M.B.A., and Michael Wyzga. All members of the Company’s Compensation Committee are independent (as independence is currently defined in Rule 5605(d)(2) of the Nasdaq listing standards). The Compensation Committee met five times during the last fiscal year. The Board has adopted a written Compensation Committee charter that is available on the Company’s website at </w:t>
      </w:r>
      <w:r>
        <w:rPr>
          <w:rFonts w:ascii="Times New Roman" w:cs="Times New Roman" w:eastAsia="Times New Roman" w:hAnsi="Times New Roman"/>
          <w:sz w:val="18"/>
          <w:szCs w:val="18"/>
          <w:i w:val="1"/>
          <w:iCs w:val="1"/>
          <w:color w:val="auto"/>
        </w:rPr>
        <w:t>https://investors.adagiotx.com/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acts on behalf of the Board to review, adopt (or recommend to the Board for adoption) and oversee the Company’s compensation strategy, policies, plans and programs, including:</w:t>
      </w:r>
    </w:p>
    <w:p>
      <w:pPr>
        <w:spacing w:after="0" w:line="67" w:lineRule="exact"/>
        <w:rPr>
          <w:sz w:val="20"/>
          <w:szCs w:val="20"/>
          <w:color w:val="auto"/>
        </w:rPr>
      </w:pPr>
    </w:p>
    <w:p>
      <w:pPr>
        <w:ind w:left="1080" w:right="14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the Board for approval) of corporate and individual performance objectives relevant to the compensation of the Company’s executive officers and other senior management and evaluation of performance in light of these stated objectives;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the Board for approval) of the compensation and other terms of employment or service, including severance and change-in-control arrangements, of the Company’s executive officers and other senior management;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plans and any other similar plans and programs that the Compensation Committee may evaluate and approve from time to time, such as pension and profit-sharing plans or deferred compensation plans;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type and amount of compensation to be paid or awarded to non-employee directors.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Typically, the Compensation Committee meets quarterly and with greater frequency if necessary. The agenda for each meeting is usually developed by the chairperson of the Compensation Committee, in consultation with the Chief Executive Officer and Pearl Meyer, the compensation consultant engaged by the Compensation Committee. The Compensation Committee meets regularly in executive session. However, from time to time, various members of management and other employees as well as outside advisors or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540" w:hanging="424"/>
        <w:spacing w:after="0" w:line="267" w:lineRule="auto"/>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of our filings under the Securities Exchange Act of 1934, as amended, or the Securities Act of 1933, as amended, whether made before or after the date hereof and irrespective of any general incorporation language in any such filing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its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87"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During the last fiscal year, after taking into consideration the six factors prescribed by the SEC and Nasdaq described above, the Compensation Committee engaged Pearl Meyer as compensation consultants. The Compensation Committee identified Pearl Meyer based on Pearl Meyer’s general reputation in the industry. The Compensation Committee requested that Pearl Meyer:</w:t>
      </w:r>
    </w:p>
    <w:p>
      <w:pPr>
        <w:spacing w:after="0" w:line="81" w:lineRule="exact"/>
        <w:rPr>
          <w:sz w:val="20"/>
          <w:szCs w:val="20"/>
          <w:color w:val="auto"/>
        </w:rPr>
      </w:pPr>
    </w:p>
    <w:p>
      <w:pPr>
        <w:ind w:left="1080" w:right="2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part of its engagement, Pearl Meyer was requested by the Compensation Committee to develop a comparative group of companies and to perform analyses of competitive performance and compensation levels for that group. At the request of the Compensation Committee, Pearl Meyer also conducted individual interviews with members of the Compensation Committee and senior management and other employees identified by the Committee to learn more about the Company’s business operations and strategy, key performance metrics and strategic goals, as well as the labor markets in which the Company competes. Pearl Meyer ultimately developed recommendations that were presented to the Compensation Committee for its consideration. Following an active dialogue with Pearl Meyer and resulting modifications, the Compensation Committee approved the modified recommendations of Pearl Meyer.</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In fiscal year 2021, at the recommendation of the Compensation Committee, the Board delegated authority under the Company’s 2021 Equity Incentive Plan to our Chief Executive Officer to grant options to employees who are not executive officers, subject to limitations approved by the Compensation Committee.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the Board. In particular, the Chief Executive Officer may not grant options to acquire more than an aggregate of 7,000,000 shares per year, and individually in accordance with minimum and maximum limits for each employee’s classification set forth in the Company’s non-executive employee equity grant guidelines. During fiscal year 2021, the Chief Executive Officer exercised his authority to grant options to purchase an aggregate of 832,200 shares to non-officer employees.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Other than in connection with our initial public offering during the last fiscal year, the Compensation Committee makes most of the significant adjustments to annual compensation, determines bonus and equity awards and establishes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the Board, and developing a set of corporate governance guidelines and principles for the Company.</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is composed of three directors: Tomas Heyman, Ellen R. Marram, M.B.A., and Anand Shah, M.D. All members of the Nominating and Corporate Governance Committee are independent (as independence is currently defined in Rule 5605(a)(2) of the Nasdaq listing standards). The Nominating and Corporate Governance Committee met one time during the last fiscal year. The Board has adopted a written Nominating and Corporate Governance Committee charter that is available on the Company’s website at </w:t>
      </w:r>
      <w:r>
        <w:rPr>
          <w:rFonts w:ascii="Times New Roman" w:cs="Times New Roman" w:eastAsia="Times New Roman" w:hAnsi="Times New Roman"/>
          <w:sz w:val="18"/>
          <w:szCs w:val="18"/>
          <w:i w:val="1"/>
          <w:iCs w:val="1"/>
          <w:color w:val="auto"/>
        </w:rPr>
        <w:t>https://investors.adagiotx.com/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Consistent with the criteria for director qualifications set by the Board,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and sexual orientation),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business, as well as members who have different skill sets and points of view on substantive matters pertaining to our business. Our nomination process and the Nominating and Corporate Governance Committee’s approach to assessment and evaluation of nominees support our commitment to diversity and inclusion.</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fiscal year 2021, the Nominating and Corporate Governance Committee paid a fee to Klein Hirsch to assist in the process of identifying or evaluating director candidates.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1601 Trapelo Road, Suite 178, Waltham, Massachusetts 02451, Attn: Corporate Secretary, at least 90 days, but not less than 120 days, prior to the anniversary date of the preceding year’s annual meeting; provided, however, that in the event that the date of the annual meeting is advanced more than thirty (30) days prior to or delayed by more than thirty (30) days after the anniversary of the preceding year’s annual meeting, we must receive the stockholder’s notice (i) no earlier than the close of business on the 120th day prior to the proposed date of the annual meeting and (ii) no later than the close of business on the later of the 90th day prior to the annual meeting or the 10th day following the day on which we first make a public announcement of the date of the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the information specified in the Bylaws. Any such submission must be accompanied by the written consent of the proposed nominee to be named as a nominee and to serve as a director if elected.</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 WITH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Board has adopted a formal process by which stockholders may communicate with the Board or any of its directors. Stockholders who wish to communicate with the Board may do so by sending written communications addressed to the Corporate Secretary at the following address: 1601 Trapelo Road, Suite 178, Waltham, Massachusetts 02451. The Corporate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Insider Trading Prevention Policy prohibits our directors and employees, including our executive officers, from engaging in any hedging or monetization transactions, such as zero-cost collars and forward sale contracts, or similar transactions designed to decrease the risks associated with holding our equity securities. Likewise, before adopting a trading plan under Rule 10b5-1 of the Exchange Act, our directors and employees, including our executive officers, may not have entered into a transaction or position that has yet to settle with respect to the securities subject to the trading plan and must also agree not to enter into any such transaction while the trading plan is in effect.</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320" w:top="455" w:right="5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PRECATORY DECLASSIFICATION PROPOSAL</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Mithril has indicated it intends to submit the Precatory Declassification Proposal at the Annual Meeting.</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or represented by proxy and entitled to vote on the matter at the Annual Meeting will be required to approve, on a non-binding, advisory basis, the Precatory Declassification Proposal. Although the vote on the Precatory Declassification Proposal is advisory and will not be binding on the Company or the Board, the Board will review the results of the voting on the Precatory Declassification Proposal and take them into consideration when making future decisions, if any, with respect to the declassification of the Board.</w:t>
      </w:r>
    </w:p>
    <w:p>
      <w:pPr>
        <w:spacing w:after="0" w:line="179" w:lineRule="exact"/>
        <w:rPr>
          <w:sz w:val="20"/>
          <w:szCs w:val="20"/>
          <w:color w:val="auto"/>
        </w:rPr>
      </w:pPr>
    </w:p>
    <w:p>
      <w:pPr>
        <w:jc w:val="center"/>
        <w:ind w:left="74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THE BOARD TAKES NO POSITION AND MAKES NO RECOMMENDATION WITH RESPECT TO THE PRECATORY DECLASSIFICATION PROPOSAL.</w:t>
      </w:r>
    </w:p>
    <w:p>
      <w:pPr>
        <w:spacing w:after="0" w:line="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20"/>
          </w:cols>
          <w:pgMar w:left="320" w:top="455" w:right="7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ACCOUNTANTS, FEES AND 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CCOUNTANTS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PricewaterhouseCoopers LLP, independent registered public accountants, audited the Company’s financial statements for the fiscal year ended December 31, 2021 and have been selected as the Company’s principal accountant for the current fiscal year. Representatives of PricewaterhouseCoopers LLP are expected to be present at the Annual Meeting. They will have the opportunity to make a statement if they desire and will also be available to respond to appropriate questions from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EES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2021 and December 31, 2020 by PricewaterhouseCoopers LLP, the Company’s independent registered public accounting firm.</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30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3700" w:type="dxa"/>
            <w:vAlign w:val="bottom"/>
            <w:gridSpan w:val="2"/>
            <w:vMerge w:val="continue"/>
          </w:tcPr>
          <w:p>
            <w:pPr>
              <w:spacing w:after="0"/>
              <w:rPr>
                <w:sz w:val="14"/>
                <w:szCs w:val="14"/>
                <w:color w:val="auto"/>
              </w:rPr>
            </w:pPr>
          </w:p>
        </w:tc>
        <w:tc>
          <w:tcPr>
            <w:tcW w:w="3140" w:type="dxa"/>
            <w:vAlign w:val="bottom"/>
            <w:gridSpan w:val="2"/>
          </w:tcPr>
          <w:p>
            <w:pPr>
              <w:jc w:val="center"/>
              <w:ind w:left="2219"/>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3"/>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Borders>
              <w:top w:val="single" w:sz="8" w:color="auto"/>
            </w:tcBorders>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3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$ 2,013,000</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3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Fees(2)</w:t>
            </w:r>
          </w:p>
        </w:tc>
        <w:tc>
          <w:tcPr>
            <w:tcW w:w="23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4,150</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5"/>
              </w:rPr>
              <w:t>$ 2,017,150</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40" w:hanging="424"/>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professional services rendered for the audits and reviews of the consolidated financial statements of Adagio, professional services rendered for issuance of consents, assistance with review of documents filed with the SEC and out-of-pocket expenses incurred.</w:t>
      </w:r>
    </w:p>
    <w:p>
      <w:pPr>
        <w:ind w:left="560" w:right="600" w:hanging="444"/>
        <w:spacing w:after="0" w:line="511" w:lineRule="auto"/>
        <w:tabs>
          <w:tab w:leader="none" w:pos="5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an annual license fee for technical accounting research software and the use of accounting disclosure checklists. All fees described above were pre-approved by the Audit Committee.</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PricewaterhouseCoopers LLP. The 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chairperson of the Audit Committee the authority to pre-approve audit services (other than the annual audit engagement), audit-related services, tax services and other permissible non-audit services up to specified amounts. Any pre-approval decisions made pursuant to delegated authority must be reported to the full Audit Committee at its next scheduled meeting.</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officers, and their respective ages as of April 1, 2022,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6"/>
                <w:szCs w:val="16"/>
                <w:color w:val="auto"/>
              </w:rPr>
            </w:pPr>
          </w:p>
        </w:tc>
        <w:tc>
          <w:tcPr>
            <w:tcW w:w="508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7"/>
              </w:rPr>
              <w:t>David</w:t>
            </w:r>
          </w:p>
        </w:tc>
        <w:tc>
          <w:tcPr>
            <w:tcW w:w="372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Hering, M.B.A.</w:t>
            </w:r>
          </w:p>
        </w:tc>
        <w:tc>
          <w:tcPr>
            <w:tcW w:w="1420" w:type="dxa"/>
            <w:vAlign w:val="bottom"/>
          </w:tcPr>
          <w:p>
            <w:pPr>
              <w:spacing w:after="0"/>
              <w:rPr>
                <w:sz w:val="16"/>
                <w:szCs w:val="16"/>
                <w:color w:val="auto"/>
              </w:rPr>
            </w:pPr>
          </w:p>
        </w:tc>
        <w:tc>
          <w:tcPr>
            <w:tcW w:w="2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47</w:t>
            </w:r>
          </w:p>
        </w:tc>
        <w:tc>
          <w:tcPr>
            <w:tcW w:w="200" w:type="dxa"/>
            <w:vAlign w:val="bottom"/>
          </w:tcPr>
          <w:p>
            <w:pPr>
              <w:spacing w:after="0"/>
              <w:rPr>
                <w:sz w:val="16"/>
                <w:szCs w:val="16"/>
                <w:color w:val="auto"/>
              </w:rPr>
            </w:pPr>
          </w:p>
        </w:tc>
        <w:tc>
          <w:tcPr>
            <w:tcW w:w="5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Interim Chief Executive Officer and Chief Operating Officer</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Dabora, Ph.D.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Technology and Manufacturing Officer</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 Pritchett Henderson</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Elham (Ellie) Hershberger, Pharm.D.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Development Officer</w:t>
            </w:r>
          </w:p>
        </w:tc>
      </w:tr>
    </w:tbl>
    <w:p>
      <w:pPr>
        <w:spacing w:after="0" w:line="194"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Hering, M.B.A. </w:t>
      </w:r>
      <w:r>
        <w:rPr>
          <w:rFonts w:ascii="Times New Roman" w:cs="Times New Roman" w:eastAsia="Times New Roman" w:hAnsi="Times New Roman"/>
          <w:sz w:val="18"/>
          <w:szCs w:val="18"/>
          <w:color w:val="auto"/>
        </w:rPr>
        <w:t>has served as our Interim Chief Executive Officer since February 2022 and as Chief Operating Officer since June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Adagio, Mr. Hering served as the Head of the mRNA Global Franchise Business of Pfizer, Inc., a pharmaceutical company, from April 2021 to June 2021, the President of North America Vaccines of Pfizer, Inc. from December 2018 to April 2021 and the Vaccines Commercial Officer of Pfizer, Inc. from June 2015 to December 2018. Before joining Pfizer in 2015, Mr. Hering spent seven years at Novartis Vaccines, a pharmaceutical company, where he held the position of Head of the North America Region. Mr. Hering received a M.B.A. from Harvard Business School and a B.S. in Operations Research and Industrial Engineering from Cornell University.</w:t>
      </w:r>
    </w:p>
    <w:p>
      <w:pPr>
        <w:spacing w:after="0" w:line="18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Jill Andersen, J.D. </w:t>
      </w:r>
      <w:r>
        <w:rPr>
          <w:rFonts w:ascii="Times New Roman" w:cs="Times New Roman" w:eastAsia="Times New Roman" w:hAnsi="Times New Roman"/>
          <w:sz w:val="18"/>
          <w:szCs w:val="18"/>
          <w:color w:val="auto"/>
        </w:rPr>
        <w:t>has served as our Chief Legal Officer and Corporate Secretary since November 2021. Prior to joining Adagio, Ms. Andersen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General Counsel, Corporate Secretary and Chief Compliance Officer of Oyster Point Pharma, Inc., a biopharmaceutical company, from June 2020 to October 2021. Before joining Oyster Point, Ms. Andersen served as Vice President, Legal at Bristol-Myers Squibb Company, a global biopharmaceutical company, from November 2019 to May 2020 and as Vice President and Head of Legal, Inflammation &amp; Immunology Franchise, U.S. Market Access and Contracts, from September 2016 to November 2019. Ms. Andersen also served as Vice President and General Counsel, Legal &amp; Intellectual Property Global Assets at Novartis Services, Inc., a pharmaceutical company, from March 2015 to September 2016. Ms. Andersen received a B.S. in Finance from Boston College and a J.D. from Wake Forest University School of Law.</w:t>
      </w:r>
    </w:p>
    <w:p>
      <w:pPr>
        <w:spacing w:after="0" w:line="183"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Rebecca Dabora, Ph.D. </w:t>
      </w:r>
      <w:r>
        <w:rPr>
          <w:rFonts w:ascii="Times New Roman" w:cs="Times New Roman" w:eastAsia="Times New Roman" w:hAnsi="Times New Roman"/>
          <w:sz w:val="18"/>
          <w:szCs w:val="18"/>
          <w:color w:val="auto"/>
        </w:rPr>
        <w:t>has served as our Chief Technology and Manufacturing Officer since July 2020. In addition, Dr. Dabora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for RDBio Consulting LLC since July 2005. Prior to joining Adagio, Dr. Dabora served as Interim Chief Technology Officer of SwanBio Therapeutics, Inc., a gene therapy company, from July 2019 to July 2020 and Chief Technology Officer of Aspyrian Therapeutics, Inc., a biotechnology company, from March 2016 to March 2017. Dr. Dabora received a B.A. in Biochemistry from Bowdoin College and a Ph.D. in Applied Biological Sciences and Biochemical Engineering from the Massachusetts Institute of Technology.</w:t>
      </w:r>
    </w:p>
    <w:p>
      <w:pPr>
        <w:spacing w:after="0" w:line="17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Jane Pritchett Henderson </w:t>
      </w:r>
      <w:r>
        <w:rPr>
          <w:rFonts w:ascii="Times New Roman" w:cs="Times New Roman" w:eastAsia="Times New Roman" w:hAnsi="Times New Roman"/>
          <w:sz w:val="18"/>
          <w:szCs w:val="18"/>
          <w:color w:val="auto"/>
        </w:rPr>
        <w:t>has served as our Chief Financial Officer since December 2020 and as our Chief Business Officer since March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Ms. Henderson has served as a director and chair of the audit committee of each of Akero Therapeutics, Inc., a biotechnology company, since April 2019, IVERIC bio, Inc., a biopharmaceutical company, since January 2018, and Ventus Therapeutics U.S., Inc., a privately held biotechnology company, since November 2021. She previously served as a director and chair of the audit committee of Sesen Bio, Inc., a biotechnology company and formerly known as Eleven Biotherapeutics, Inc., from October 2013 to November 2021. Prior to joining Adagio, Ms. Henderson served as Chief Financial Officer of Turnstone Biologics, a privately-held biotechnology company, from June 2018 to December 2020, Chief Financial Officer and Senior Vice President, Corporate Development of Voyager Therapeutics, Inc., a clinical-stage gene therapy company, from January 2017 to June 2018 and Senior Vice President and Chief Financial &amp; Business Officer of Kolltan Pharmaceuticals, Inc, a privately held biotechnology company, from February 2013 to November 2016. Ms. Henderson received a B.S. in Psychology from Duke University.</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Elham (Ellie) Hershberger, Pharm.D. </w:t>
      </w:r>
      <w:r>
        <w:rPr>
          <w:rFonts w:ascii="Times New Roman" w:cs="Times New Roman" w:eastAsia="Times New Roman" w:hAnsi="Times New Roman"/>
          <w:sz w:val="18"/>
          <w:szCs w:val="18"/>
          <w:color w:val="auto"/>
        </w:rPr>
        <w:t>has served as our Chief Development Officer since June 2020. Prior to joining Adagio, Dr. Hershberger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President of EMH Consulting Group, Inc. from July 2017 to October 2020 and as Head of Clinical Development of Visterra, Inc, a biopharmaceutical company, from January 2016 to July 2017. Dr. Hershberger received a B.S. in Chemistry from University of Minnesota and a Pharm.D. from Ferris State University.</w:t>
      </w:r>
    </w:p>
    <w:p>
      <w:pPr>
        <w:spacing w:after="0" w:line="1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Common Stock as of March 29, 2022 by: (i) each director; (ii) each of the executive officers named in the Summary Compensation Table; (iii) all executive officers and directors of the Company as a group; and (iv) all those known by the Company to be beneficial owners of more than five percent of its Common Stock. Applicable percentages are based on 109,675,173 shares outstanding on March 29, 2022, adjusted as required by rules promulgated by the SEC.</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March 29, 2022.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Common Stock subject to stock options currently exercisable or exercisable within 60 days of March 29, 2022 are deemed to be outstanding for computing the percentage ownership of the person holding these options and the percentage ownership of any group of which the holder is a member but are not deemed outstanding for computing the percentage of any other person.</w:t>
      </w:r>
    </w:p>
    <w:p>
      <w:pPr>
        <w:spacing w:after="0" w:line="176" w:lineRule="exact"/>
        <w:rPr>
          <w:sz w:val="20"/>
          <w:szCs w:val="20"/>
          <w:color w:val="auto"/>
        </w:rPr>
      </w:pPr>
    </w:p>
    <w:p>
      <w:pPr>
        <w:jc w:val="both"/>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noted otherwise, the address of all listed directors and executive officers is c/o Adagio Therapeutics, Inc., 1601 Trapelo Road, Suite 178, Waltham, Massachusetts 02451.</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Beneficial Ownership (1)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4440" w:type="dxa"/>
            <w:vAlign w:val="bottom"/>
            <w:vMerge w:val="restart"/>
          </w:tcPr>
          <w:p>
            <w:pPr>
              <w:spacing w:after="0"/>
              <w:rPr>
                <w:sz w:val="10"/>
                <w:szCs w:val="10"/>
                <w:color w:val="auto"/>
              </w:rPr>
            </w:pPr>
          </w:p>
        </w:tc>
        <w:tc>
          <w:tcPr>
            <w:tcW w:w="1660" w:type="dxa"/>
            <w:vAlign w:val="bottom"/>
            <w:gridSpan w:val="2"/>
          </w:tcPr>
          <w:p>
            <w:pPr>
              <w:jc w:val="right"/>
              <w:ind w:right="9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660" w:type="dxa"/>
            <w:vAlign w:val="bottom"/>
            <w:gridSpan w:val="2"/>
          </w:tcPr>
          <w:p>
            <w:pPr>
              <w:jc w:val="right"/>
              <w:ind w:right="10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8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Adimab, LLC (2)(12)</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26,687,906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Entities affiliated with FMR LLC (3)</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15,592,582</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Mithril II LP (4)(12)</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11,241,580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8"/>
        </w:trPr>
        <w:tc>
          <w:tcPr>
            <w:tcW w:w="55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Entities affiliated with Polaris Venture Partners V, L.P. (5)</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(12)</w:t>
            </w:r>
          </w:p>
        </w:tc>
        <w:tc>
          <w:tcPr>
            <w:tcW w:w="4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11,765,280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Entities affiliated with Alphabet Inc. (6)</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5,680,785</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M28 Capital Management LP (7)(12)</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6,398,250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Tomas Heyman</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Ellen R. Marram, M.B.A.</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Howard Mayer, M.D. (8)</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94,127</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Terrance McGuire (5)(12)</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8,531,700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Redonda Miller, M.D., M.B.A.</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Ajay Royan (4)(12)</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11,241,580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René Russo, Pharm.D.</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1,985,295</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Anand Shah, M.D.</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Wyzga</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Tillman U. Gerngross, Ph.D. (9)(12)</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26,687,906</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David Hering, M.B.A. (10)</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29,687</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Jill Andersen, J.D. (11)</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38,637</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current executive officers and directors as a group (14</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23,161,722</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20" w:hanging="424"/>
        <w:spacing w:after="0" w:line="26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Schedules 13D and 13G filed with the SEC and the Company’s records. Unless otherwise indicated in the footnotes to</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color w:val="auto"/>
        </w:rPr>
        <w:t>this table and subject to community property laws where applicable, the Company believes that each of the stockholders named in this table has sole voting and investment power with respect to the shares indicated as beneficially owned.</w:t>
      </w:r>
    </w:p>
    <w:p>
      <w:pPr>
        <w:ind w:left="540" w:right="22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March 30, 2022 by Adimab, LLC. The principal business address of Adimab, LLC and Dr. Gerngross is 7 Lucent Drive, Lebanon, NH 03766.</w:t>
      </w:r>
    </w:p>
    <w:p>
      <w:pPr>
        <w:ind w:left="54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9, 2022 by persons and entities affiliated with FMR LLC. Consists of shares of our common stock beneficially owned, or that may be deemed to be beneficially owned, by FMR LLC, certain of its subsidiaries and affiliates, including Fidelity Management &amp; Research Company LLC, Fidelity Management Trust Company and Strategic Advisers LLC,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6,703,249 shares of our common stock and sole power to dispose or direct the disposition of 15,592,582 shares of our common stock. Abigail P. Johnson may be deemed to have sole power to dispose or direct the disposition of 15,592,582 shares of our common stock. Fidelity Growth Company Fund may be deemed to have sole power to vote 5,904,953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stockholders’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principal business address of FMR LLC is 245 Summer Street, Boston, MA 02210.</w:t>
      </w:r>
    </w:p>
    <w:p>
      <w:pPr>
        <w:spacing w:after="0" w:line="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March 30,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member of our Board,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w:t>
      </w:r>
    </w:p>
    <w:p>
      <w:pPr>
        <w:spacing w:after="0" w:line="3"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March 30, 2022 by entities and persons affiliated with Polaris Venture Partners V, L.P. (“Polaris V”). Consists of (i) 3,120,194 shares of our common stock held of record by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3,233,580 shares of our common stock held of record by PVMC V, (vi) 4,800,460 shares of our common stock held of record by Polaris Partners IX, L.P. (“Polaris IX”) and (vii) 497,660 shares of our common stock held of record by Polaris Healthcare Technology Opportunities Fund, L.P. (“Polaris HCT”). PVMC V is the general partner of each of Polaris V, Polaris EF V, Polaris FF V and Polaris SFF V and may</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20"/>
        <w:spacing w:after="0" w:line="272" w:lineRule="auto"/>
        <w:rPr>
          <w:sz w:val="20"/>
          <w:szCs w:val="20"/>
          <w:color w:val="auto"/>
        </w:rPr>
      </w:pPr>
      <w:r>
        <w:rPr>
          <w:rFonts w:ascii="Times New Roman" w:cs="Times New Roman" w:eastAsia="Times New Roman" w:hAnsi="Times New Roman"/>
          <w:sz w:val="17"/>
          <w:szCs w:val="17"/>
          <w:color w:val="auto"/>
        </w:rPr>
        <w:t>be deemed to have shared voting, investment and dispositive power with respect to the securities held by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w:t>
      </w:r>
    </w:p>
    <w:p>
      <w:pPr>
        <w:spacing w:after="0" w:line="2" w:lineRule="exact"/>
        <w:rPr>
          <w:sz w:val="20"/>
          <w:szCs w:val="20"/>
          <w:color w:val="auto"/>
        </w:rPr>
      </w:pPr>
    </w:p>
    <w:p>
      <w:pPr>
        <w:ind w:left="540"/>
        <w:spacing w:after="0" w:line="250" w:lineRule="auto"/>
        <w:rPr>
          <w:sz w:val="20"/>
          <w:szCs w:val="20"/>
          <w:color w:val="auto"/>
        </w:rPr>
      </w:pPr>
      <w:r>
        <w:rPr>
          <w:rFonts w:ascii="Times New Roman" w:cs="Times New Roman" w:eastAsia="Times New Roman" w:hAnsi="Times New Roman"/>
          <w:sz w:val="18"/>
          <w:szCs w:val="18"/>
          <w:color w:val="auto"/>
        </w:rPr>
        <w:t>Polaris Partners GP IX, L.L.C. (“PPGP IX”) is the general partner of Polaris IX and may be deemed to have shared voting, investment and dispositive power with respect to the securities held by Polaris IX. Terrance McGuire, an interest holder in Polaris HCT and PPGP IX and a member of our Board, David Barrett, Brian Chee, Amir Nashat and Amy Schulman are the managing members of PPGP IX and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an interest holder in PHCT GP and a member of our Board, David Barrett, Brian Chee, Amir Nashat and Amy Schulman are the managing members of PHCT GP and may be deemed to have shared voting, investment and dispositive power with respect to the securities held by Polaris HCT. The principal business address of each of the persons and entities referenced in this footnote is One Marina Park Drive, 10th Floor Boston, MA 02210.</w:t>
      </w:r>
    </w:p>
    <w:p>
      <w:pPr>
        <w:spacing w:after="0" w:line="4" w:lineRule="exact"/>
        <w:rPr>
          <w:sz w:val="20"/>
          <w:szCs w:val="20"/>
          <w:color w:val="auto"/>
        </w:rPr>
      </w:pPr>
    </w:p>
    <w:p>
      <w:pPr>
        <w:ind w:left="5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February 14, 2022 by entities affiliated with Alphabet Inc. Consists of (i) 5,200,545 shares of our common stock held directly by GV 2019, L.P. and (ii) 480,240 shares of our common stock held directly by GV 2021, L.P. 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 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 The principal business address of each of the entities referenced in this footnote is 1600 Amphitheatre Parkway, Mountain View, CA 94043.</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April 1, 2022 by M28 Capital Management LP (“M28 Capital”). Consists of 6,398,250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is the Chief Investment Officer of M28 Capital and Managing Member of M28 Capital Management GP LLC, the general partner of M28 Capital, and exercises investment discretion with respect to these securities. The principal business address of M28 Capital and Marc Elia is 700 Canal Street, 2nd Floor, Stamford, CT 06902.</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94,127 shares of our common stock issuable upon the exercise of options within 60 days of March 29, 2022.</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26,687,906 shares of our common stock held by Adimab, LLC. Tillman U. Gerngross, Ph.D. was our Chief Executive Officer and member of our Board of Directors until his resignation on February 23, 2022. Dr. Gerngross served as a co-founder, Chief Executive Officer and a member of the board of directors of Adimab, LLC and may be deemed to have shared voting and investment power with respect to the shares held by Adimab, LLC. The principal business address of Adimab, LLC and Dr. Gerngross is 7 Lucent Drive, Lebanon, NH 03766.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29,687 shares of our common stock issuable upon the exercise of options within 60 days of March 29, 2022.</w:t>
      </w:r>
    </w:p>
    <w:p>
      <w:pPr>
        <w:spacing w:after="0" w:line="9" w:lineRule="exact"/>
        <w:rPr>
          <w:rFonts w:ascii="Times New Roman" w:cs="Times New Roman" w:eastAsia="Times New Roman" w:hAnsi="Times New Roman"/>
          <w:sz w:val="18"/>
          <w:szCs w:val="18"/>
          <w:color w:val="auto"/>
        </w:rPr>
      </w:pPr>
    </w:p>
    <w:p>
      <w:pPr>
        <w:ind w:left="540" w:right="360" w:hanging="424"/>
        <w:spacing w:after="0" w:line="26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2,200 shares of our common stock held directly by Ms. Andersen, (ii) 500 shares of our common stock held by Ms. Andersen’s spouse and (iii) 35,937 shares of our common stock issuable upon the exercise of options within 60 days of March 29, 2022.</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4"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2022, Polaris V, Polaris EF V, Polaris FF V, Polaris SFF V, Polaris IX and Polaris HCT (collectively, “Polaris”) and (i) Mithril, (ii) M28 Capital Management LP, (iii) Adimab, LLC and (iv) Population Health Equity Partners III, L.P., Population Health Equity Partners VII, L.P. and Clive Meanwell (“Population Health”), orally agreed to coordinate and cooperate in certain of their activities with regard to the Company, which agreement was subsequently memorialized, also on March 28, 2022, in an email circulated among representatives of such persons. That agreement provides that each such person will vote its shares of our common stock in favor of the election of the Mithril nominees at the Annual Meeting. By virtue of such agreement, Polaris V, Polaris EF V, Polaris FF V, Polaris SFF V, PVMC V, Polaris IX, Polaris HCT, PHCT GP, Terrance McGuire, and Jonathan Flint (the “Reporting Persons”) may be deemed to be part of a “group” (within the meaning of Section 13(d)(3) of the Securities Act of 1933, as amended) comprised of the Reporting Persons and such other persons.</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320" w:top="455"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December 31, 2021 were:</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Tillman U. Gerngross, Ph.D., our former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Hering, M.B.A., our Interim Chief Executive Officer and Chief Operating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Jill Andersen, J.D., our Chief Legal Officer and Corporate Secretary.</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or paid to, or earned by, our named executive officers with respect to the years ended December 31, 2021 and December 31,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0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Pr>
          <w:p>
            <w:pPr>
              <w:spacing w:after="0"/>
              <w:rPr>
                <w:sz w:val="15"/>
                <w:szCs w:val="15"/>
                <w:color w:val="auto"/>
              </w:rPr>
            </w:pPr>
          </w:p>
        </w:tc>
        <w:tc>
          <w:tcPr>
            <w:tcW w:w="880" w:type="dxa"/>
            <w:vAlign w:val="bottom"/>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 Ph.D.(4)</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2021</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221,058</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30,315,451</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106,647</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7,718</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30,650,874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5,956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196"/>
        </w:trPr>
        <w:tc>
          <w:tcPr>
            <w:tcW w:w="48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David Hering, M.B.A.</w:t>
            </w:r>
          </w:p>
        </w:tc>
        <w:tc>
          <w:tcPr>
            <w:tcW w:w="900" w:type="dxa"/>
            <w:vAlign w:val="bottom"/>
            <w:gridSpan w:val="3"/>
          </w:tcPr>
          <w:p>
            <w:pPr>
              <w:ind w:left="28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206,577</w:t>
            </w:r>
          </w:p>
        </w:tc>
        <w:tc>
          <w:tcPr>
            <w:tcW w:w="114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10,591,881</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92,267</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7,421</w:t>
            </w:r>
          </w:p>
        </w:tc>
        <w:tc>
          <w:tcPr>
            <w:tcW w:w="92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10,898,146</w:t>
            </w:r>
          </w:p>
        </w:tc>
        <w:tc>
          <w:tcPr>
            <w:tcW w:w="0" w:type="dxa"/>
            <w:vAlign w:val="bottom"/>
          </w:tcPr>
          <w:p>
            <w:pPr>
              <w:spacing w:after="0"/>
              <w:rPr>
                <w:sz w:val="1"/>
                <w:szCs w:val="1"/>
                <w:color w:val="auto"/>
              </w:rPr>
            </w:pPr>
          </w:p>
        </w:tc>
      </w:tr>
      <w:tr>
        <w:trPr>
          <w:trHeight w:val="23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Interim Chief Executive Officer and Chief Operating Officer(5)</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Andersen, J.D. (5)</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66,667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10,142,801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177,600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10,389,581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53"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11 to our financial statements included in our Annual Report on Form 10-K for the year ended December 31, 2021. These amounts do not reflect the actual economic value that will be realized by the named executive officer upon vesting of the stock options, the exercise of the stock options, or the sale of the common stock underlying such stock options.</w:t>
      </w:r>
    </w:p>
    <w:p>
      <w:pPr>
        <w:spacing w:after="0" w:line="5"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“—Narrative to Summary Compensation Table—Non-Equity Incentive Plan Compensation” below for a description of the material terms of the program pursuant to which this compensation was awarded.</w:t>
      </w: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contributions to 401(k) plan accounts and life insurance premiums and employee cell phone allowances.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Gerngross’s annual salary was effective as of the closing of our initial public offering on August 10, 2021. Dr. Gerngross was also a member of our Board prior to his resignation as Chief Executive Officer on February 23, 2022, but did not receive any additional compensation in his capacity as a director.</w:t>
      </w:r>
    </w:p>
    <w:p>
      <w:pPr>
        <w:spacing w:after="0" w:line="1" w:lineRule="exact"/>
        <w:rPr>
          <w:rFonts w:ascii="Times New Roman" w:cs="Times New Roman" w:eastAsia="Times New Roman" w:hAnsi="Times New Roman"/>
          <w:sz w:val="18"/>
          <w:szCs w:val="18"/>
          <w:color w:val="auto"/>
        </w:rPr>
      </w:pPr>
    </w:p>
    <w:p>
      <w:pPr>
        <w:ind w:left="540" w:right="460" w:hanging="424"/>
        <w:spacing w:after="0" w:line="26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Hering has served as our Chief Operating Officer since June 2021 and was appointed as our Interim Chief Executive Officer in February 2022; Ms. Andersen has served as our Chief Legal Officer and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Corporate Secretary since November 2021; therefore, certain amounts for Mr. Hering and Ms. Andersen, such as salary, reflect a partial year of service in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of our Board has historically determined our executives’ compensation, including the compensation of our named executive officers. Our Compensation Committee typically reviews and discusses management’s proposed compensation with the Chief Executive Officer for all executives other than the Chief Executive Officer. The Compensation Committee also reviews and discusses the recommendations of the Compensation Committee’s compensation consultant, including analyses of executive compensation paid at other companies identified by the consultant. Based on those discussions and its discretion, the Compensation Committee then approves, or recommends to the Board for approval, the compensation of each executive officer without members of management present.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Base Salary</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annual base salaries of our named executive officers are determined, approved and reviewed by our Compensation Committee.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annual base salaries for Dr. Gerngross and Mr. Hering for 2021, effective as of the closing of our initial public offering on August 10, 2021, and for Ms. Andersen for 2021, effective as of the commencement of her employment with the Company in November 2021, as determined by the Compensation Committee: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2021 Base</w:t>
            </w:r>
          </w:p>
        </w:tc>
        <w:tc>
          <w:tcPr>
            <w:tcW w:w="0" w:type="dxa"/>
            <w:vAlign w:val="bottom"/>
          </w:tcPr>
          <w:p>
            <w:pPr>
              <w:spacing w:after="0"/>
              <w:rPr>
                <w:sz w:val="1"/>
                <w:szCs w:val="1"/>
                <w:color w:val="auto"/>
              </w:rPr>
            </w:pPr>
          </w:p>
        </w:tc>
      </w:tr>
      <w:tr>
        <w:trPr>
          <w:trHeight w:val="160"/>
        </w:trPr>
        <w:tc>
          <w:tcPr>
            <w:tcW w:w="6720" w:type="dxa"/>
            <w:vAlign w:val="bottom"/>
            <w:gridSpan w:val="2"/>
            <w:vMerge w:val="continue"/>
          </w:tcPr>
          <w:p>
            <w:pPr>
              <w:spacing w:after="0"/>
              <w:rPr>
                <w:sz w:val="13"/>
                <w:szCs w:val="13"/>
                <w:color w:val="auto"/>
              </w:rPr>
            </w:pPr>
          </w:p>
        </w:tc>
        <w:tc>
          <w:tcPr>
            <w:tcW w:w="7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w:t>
            </w: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$ 550,000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Hering, M.B.A.</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$ 410,000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7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$ 400,000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January 2022, the Compensation Committee recommended to the Board the following annual base salaries for each of our named executive officers for 2022, which the Board approved in February 2022:</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 Base</w:t>
            </w:r>
          </w:p>
        </w:tc>
        <w:tc>
          <w:tcPr>
            <w:tcW w:w="0" w:type="dxa"/>
            <w:vAlign w:val="bottom"/>
          </w:tcPr>
          <w:p>
            <w:pPr>
              <w:spacing w:after="0"/>
              <w:rPr>
                <w:sz w:val="1"/>
                <w:szCs w:val="1"/>
                <w:color w:val="auto"/>
              </w:rPr>
            </w:pPr>
          </w:p>
        </w:tc>
      </w:tr>
      <w:tr>
        <w:trPr>
          <w:trHeight w:val="160"/>
        </w:trPr>
        <w:tc>
          <w:tcPr>
            <w:tcW w:w="6720" w:type="dxa"/>
            <w:vAlign w:val="bottom"/>
            <w:gridSpan w:val="2"/>
            <w:vMerge w:val="continue"/>
          </w:tcPr>
          <w:p>
            <w:pPr>
              <w:spacing w:after="0"/>
              <w:rPr>
                <w:sz w:val="13"/>
                <w:szCs w:val="13"/>
                <w:color w:val="auto"/>
              </w:rPr>
            </w:pPr>
          </w:p>
        </w:tc>
        <w:tc>
          <w:tcPr>
            <w:tcW w:w="7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w:t>
            </w: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$ 619,000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Hering, M.B.A. (1)</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$ 459,000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7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$ 428,000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6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the Board approved an increase in Mr. Hering’s base salary for 2022 to $510,000, with retroactive effectiveness to February 23, 2022, and further approved the payment of a monthly stipend of $7,500 in addition to Mr. Hering’s base salary, in connection with his appointment as Interim Chief Executive Officer.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Non-Equity Incentive Plan Compensation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develops a performance-based bonus program annually. For 2021, the Compensation Committee determined that each named executive officer’s performance bonus should be based principally on contribution towards the achievement of corporate goals. Under the 2021 annual performance bonus program, each named executive officer was eligible to be considered for an annual performance bonus based on the percentage attainment, as determined by the Compensation Committee, of the 2021 corporate goals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that were previously approved by the Board. The Compensation Committee retained the discretion to make adjustments to the calculated bonus amount based on unexpected or unplanned events, the overall financial condition of the Company, extraordinary performance or underperformance or other factors deemed appropriate by the Compensation Committee. Each named executive officer has a target bonus opportunity calculated as a percentage of his or her annual base salary and may earn more or less than the annual target amount based on the Company’s achievement of the performance goals and the adjustments described above. For 2021, Dr. Gerngross’s target bonus percentage was 50% and each of Mr. Hering and Ms. Andersen’s target bonus percentage was 40%. In February 2022, the Compensation Committee determined that the percentage attainment of the target bonus for 2021 was 111% for each named executive officer and approved individual performance achievement payouts for each named executive officer in the amounts reflected in the column of the Summary Compensation Table above entitled ”Non-Equity Incentive Plan Compensation.”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to reward executives for exceptional performance or compensate executives for additional job responsibilities.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Prior to our initial public offering, we granted all equity awards pursuant to our 2020 Equity Incentive Plan. Since the closing of our initial public offering, we grant all equity awards pursuant to our 2021 Equity Incentive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 AS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31, 2021</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3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1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4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 (2)</w:t>
            </w:r>
          </w:p>
        </w:tc>
        <w:tc>
          <w:tcPr>
            <w:tcW w:w="52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380" w:type="dxa"/>
            <w:vAlign w:val="bottom"/>
          </w:tcPr>
          <w:p>
            <w:pPr>
              <w:spacing w:after="0"/>
              <w:rPr>
                <w:sz w:val="15"/>
                <w:szCs w:val="15"/>
                <w:color w:val="auto"/>
              </w:rPr>
            </w:pPr>
          </w:p>
        </w:tc>
        <w:tc>
          <w:tcPr>
            <w:tcW w:w="11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Tillman U. Gerngross</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5/7/2021</w:t>
            </w: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5/7/2021</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3,419,345</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3"/>
              </w:rPr>
              <w:t>10.14</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1"/>
              </w:rPr>
              <w:t>2/23/2022(4)</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7/4/2021</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7/4/2021</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962,825</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12.81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2/23/2022(4)</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Hering, M.B.A.</w:t>
            </w: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6/30/2021</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6/30/2021</w:t>
            </w: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1,282,310</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12.81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6/29/2031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15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11/1/2021</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11/1/2021</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514,863</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30.65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10/31/2031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260" w:hanging="424"/>
        <w:spacing w:after="0" w:line="26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awards listed in this table were granted under our 2020 Equity Incentive Plan, except for the November 2021 award to Ms. Andersen, which was granted under our 2021 Equity Incentive Plan.</w:t>
      </w:r>
    </w:p>
    <w:p>
      <w:pPr>
        <w:ind w:left="540" w:right="50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(1/4) of the shares subject to this award vest on the one-year anniversary of the date of grant, with the remainder vesting in equal monthly installments over 36 months from the date of grant subject to the named executive officer’s continued service.</w:t>
      </w:r>
    </w:p>
    <w:p>
      <w:pPr>
        <w:ind w:left="540" w:right="18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were granted with a per share exercise price equal to or above the estimated fair value of our common stock on the date of grant, as determined in good faith by our Board, except for the November 2021 award to Ms. Andersen, for which the per share exercise price was equal to the closing price for our common stock on the date of grant.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expired upon Dr. Gerngross’s resignation as Chief Executive Officer on February 23, 2022.</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Benefits and Other Compensation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2021 other than our 401(k) plan described below. During 2021,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to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2021.</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Dr. Gerngross and an amended and restated employment agreement with Mr. Hering in connection with the closing of our initial public offering, and an employment agreement with Ms. Andersen in connection with her commencement of employment with us, that each include an initial annual base salary and annual target bonus. The annual bonus is determined by the Compensation Committee based on the 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 Substantive differences are limited to (i) the definition of Good Reason, which, for Mr. Hering and Ms. Andersen, is further triggered by a material reduction in the authority, duties or responsibilities of the CEO to whom the executives report and (ii) the promise of a grant of an initial option award, subject to the approval of the Board, in the case of Ms. Andersen. Severance terms are detailed further below under “Potential Payments Upon Termination or Change in Control.” Each of our named executive officers’ compensation has been subsequently increased from time to time to the amounts described above. We do not maintain any other offer letters or employment agreements with our named executive officers.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Dr. Gerngross was, and Mr. Hering and Ms. Andersen are, entitled to certain severance and change in control benefits pursuant to the employment agreements described above.</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the executives’ employment ends upon death or a disability, they are entitled to accrued obligations and payment of their target bonus so long as their employment terminates after the completion of the calendar year but prior to the date of payment of the bonus, or the Earned Bonus.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employment terminates, other than during the period commencing three months prior to or ending 12 months following a “change in control,” or the Change in Control Period, by us without “cause” or by the executive for “good reason” (as defined in our equity plan and the respective employment agreement), and subject to the delivery to us of a separation agreement that includes a general release of claims, Mr. Hering and Ms. Andersen will each receive cash severance equal to 9 months of their base salary, as well as the Earned Bonus, if applicable, and 9 months continuation of benefits, and will be entitled to delayed forfeiture of unvested time-based equity awards until 90 days after the date of termination. In exchange for the same terms, as of December 31, 2021, prior to Dr. Gerngross’s resignation, Dr. Gerngross was entitled to receive cash severance equal to 12 months of his base salary, the Earned Bonus, if applicable, and 12 months continuation of benefits, and would be entitled to delayed forfeiture of unvested time-based equity awards until 90 days after the date of termination.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76" w:lineRule="auto"/>
        <w:rPr>
          <w:sz w:val="20"/>
          <w:szCs w:val="20"/>
          <w:color w:val="auto"/>
        </w:rPr>
      </w:pPr>
      <w:r>
        <w:rPr>
          <w:rFonts w:ascii="Times New Roman" w:cs="Times New Roman" w:eastAsia="Times New Roman" w:hAnsi="Times New Roman"/>
          <w:sz w:val="17"/>
          <w:szCs w:val="17"/>
          <w:color w:val="auto"/>
        </w:rPr>
        <w:t>In the event that the executives’ employment is terminated by us without cause or by the executive for good reason, in either case, during the Change in Control Period, and subject to their delivery to us of a separation agreement that includes a general release of claims, Mr. Hering and</w:t>
      </w:r>
    </w:p>
    <w:p>
      <w:pPr>
        <w:spacing w:after="0" w:line="1"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Ms. Andersen will each receive cash severance equal to 12 months of their base salary, their respective target bonus for the year of termination, as well as the Earned Bonus, if applicable, and 12 months continuation of benefits, and will be entitled to immediate acceleration and full vesting of any time-based equity awards, exercisable or nonforfeitable as if employment continued until the later of the date of termination or the effective date of the separation agreement. In exchange for the same terms, as of December 31, 2021, prior to Dr. Gerngross’s resignation, Dr. Gerngross was entitled to receive cash severance equal to 18 months of his base salary, the target bonus for the year of termination with a 1.5 multiplier, the Earned Bonus, if applicable, and 18 months continuation of benefits and would be entitled to immediate acceleration and full vesting of any time-based equity awards, exercisable or nonforfeitable as if employment continued until the later of the date of termination or the effective date of the separation agreement.</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election of a majority or more of the individuals nominated by Mithril would not constitute a change in control within the meaning of such term as it is used in the employee agreements described above or a reorganization event within the meaning of such term as it is used in our 2020 Equity Incentive Plan or our 2021 Equity Incentive Plan.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with respect to the compensation of our non-employee directors: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Name(1)</w:t>
            </w:r>
          </w:p>
        </w:tc>
        <w:tc>
          <w:tcPr>
            <w:tcW w:w="4600" w:type="dxa"/>
            <w:vAlign w:val="bottom"/>
            <w:vMerge w:val="restart"/>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5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30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Cash ($)</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5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Philip Chase(4)</w:t>
            </w: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Elia(5)</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Tomas Heyman</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26,792</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1,035,639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1,062,431</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R. Marram, M.B.A.</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4,615</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795,084</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799,699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Mayer, M.D.</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42,621</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1,012,658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1,055,279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16,044</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382,269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398,313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Redonda Miller, M.D., M.B.A.</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4,615</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795,084</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799,699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Royan</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16,044</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382,269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398,313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René Russo, Pharm.D.</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31,085</w:t>
            </w:r>
          </w:p>
        </w:tc>
        <w:tc>
          <w:tcPr>
            <w:tcW w:w="1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89,270(6)</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382,269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502,624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Shah, M.D.</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24,184</w:t>
            </w: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1,035,639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1,059,823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24,066</w:t>
            </w:r>
          </w:p>
        </w:tc>
        <w:tc>
          <w:tcPr>
            <w:tcW w:w="15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764,538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34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Gerngross did not earn compensation during 2021 for his service on our Board. Dr. Gerngross’s compensation is reflected in the Summary Compensation Table above.</w:t>
      </w:r>
    </w:p>
    <w:p>
      <w:pPr>
        <w:ind w:left="540" w:right="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non-employee directors. Instead, these amounts reflect the aggregate grant date fair value of each stock option granted to our non-employee directors during the fiscal year ended December 31, 2021, as computed in accordance with Financial Accounting Standard Board Accounting Standards Codification Topic 718 for stock-based compensation transactions (ASC 718). Assumptions used in the calculation of these amounts are included in note 11 to our audited financial statements included in our Annual Report on Form 10-K for the fiscal year ended December 31, 2021, originally filed with the SEC on March 31, 2022.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w:t>
      </w:r>
    </w:p>
    <w:p>
      <w:pPr>
        <w:spacing w:after="0" w:line="3"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directors held options to purchase the following number of shares of our common stock. None of our non-employee directors held any stock awards as of December 31, 2021.</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Tomas Heyman</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125,380</w:t>
            </w:r>
          </w:p>
        </w:tc>
        <w:tc>
          <w:tcPr>
            <w:tcW w:w="60" w:type="dxa"/>
            <w:vAlign w:val="bottom"/>
            <w:shd w:val="clear" w:color="auto" w:fill="CCEEFF"/>
          </w:tcPr>
          <w:p>
            <w:pPr>
              <w:spacing w:after="0"/>
              <w:rPr>
                <w:sz w:val="17"/>
                <w:szCs w:val="17"/>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R. Marram, M.B.A.</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62,605</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Mayer, M.D.</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250,743</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Redonda Miller, M.D., M.B.A.</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62,605</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Royan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René Russo, Pharm.D.</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Shah, M.D.</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125,380</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Wyzga</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71,186</w:t>
            </w:r>
          </w:p>
        </w:tc>
      </w:tr>
    </w:tbl>
    <w:p>
      <w:pPr>
        <w:spacing w:after="0" w:line="225"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Chase resigned from our Board on July 16, 2021.</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Elia resigned from our Board on April 16, 2021.</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consulting fees paid during 2021 pursuant to a consulting agreement with Dr. Russo, which was terminated in connection with our initial public offering.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a non-employee director compensation policy that became effective in August 2021 in connection with the closing of our initial public offering. Pursuant to this compensation policy, each of our directors who is not an employee or consultant of our company is eligible to receive compensation for service on our Board and committees of our Board.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our compensation policy, each eligible director receives an annual cash retainer in the amount of $40,000 for serving on our Board. In addition, the Chair of our Board receives an annual cash retainer in the amount of $30,000 (in addition to the annual cash retainer given to all eligible directors). The chairperson of the Audit Committee of our Board is entitled to receive an additional annual cash retainer in the amount of $15,000, the chairperson of the Compensation Committee of our Board is entitled to receive an additional annual cash retainer in the amount of $10,000 and the chairperson of the Nominating and Corporate Governance Committee of our Board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is entitled to receive a non-statutory stock option to purchase shares of our common stock with an aggregate Black-Scholes grant date value of $800,000, up to a maximum of 150,000 shares, with one-third of the shares vesting on the first anniversary of the grant date and 1/36th of the shares vesting in equal monthly installments thereafter, subject to continued service as a director through the vesting dates.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with an aggregate Black-Scholes grant date fair value of $400,000, up to a maximum of 75,000 shares, with the shares vesting on the earlier of the first anniversary of the date of grant or the next annual meeting of our stockholders, subject to continued service as a director though the applicable vesting dates. If an eligible director joins our Board upon or after the date of the last preceding annual stockholders meeting, such eligible director’s Annual Grant will be pro-rated based on days served since joining our Board.</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w:t>
      </w:r>
    </w:p>
    <w:p>
      <w:pPr>
        <w:spacing w:after="0" w:line="176"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October 2020, we adopted an independent director compensation policy pursuant to which our independent directors were entitled to receive an annual cash retainer of $35,000 for serving on our Board, payable in arrears on a quarterly basis. In addition, each independent director who was appointed or elected following the policy’s adoption was entitled to be granted an option to purchase 0.25% of our outstanding shares issuable at the start of the director’s term at an exercise price equal to the fair market value of our common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the date of grant, with 25% of the underlying shares vesting on the first anniversary of the grant date and the remainder vesting in 36 equal monthly installments thereafter, subject to the director’s continued service through the applicable vesting date. While Dr. Russo and Dr. Mayer were both independent directors eligible to receive compensation in 2021 under this policy, only Dr. Mayer has received compensation pursuant to this policy because Dr. Russo received compensation pursuant to a consulting agreement described below and received an option award as a co-founder of the Company. This policy was terminated in connection with our initial public offering.</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June 2020, we entered into a consulting agreement with Dr. Russo pursuant to which Dr. Russo was entitled to receive $7,500 per month, with payment for any partial months prorated. In addition, Dr. Russo’s consulting agreement provided that she was eligible for an annual additional consulting fee at the discretion of our Board. Such annual additional consulting fee had a target amount of $40,500, but the actual amount of the annual additional consulting fee was to be determined by our Board in its discretion. This consulting agreement was terminated in connection with our initial public offering.</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320" w:top="455" w:right="5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20" w:type="dxa"/>
            <w:vAlign w:val="bottom"/>
            <w:gridSpan w:val="3"/>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0" w:type="dxa"/>
            <w:vAlign w:val="bottom"/>
            <w:gridSpan w:val="3"/>
          </w:tcPr>
          <w:p>
            <w:pPr>
              <w:jc w:val="center"/>
              <w:ind w:left="199"/>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6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60"/>
        </w:trPr>
        <w:tc>
          <w:tcPr>
            <w:tcW w:w="5100" w:type="dxa"/>
            <w:vAlign w:val="bottom"/>
            <w:gridSpan w:val="3"/>
            <w:vMerge w:val="continue"/>
          </w:tcPr>
          <w:p>
            <w:pPr>
              <w:spacing w:after="0"/>
              <w:rPr>
                <w:sz w:val="13"/>
                <w:szCs w:val="13"/>
                <w:color w:val="auto"/>
              </w:rPr>
            </w:pPr>
          </w:p>
        </w:tc>
        <w:tc>
          <w:tcPr>
            <w:tcW w:w="13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41"/>
              <w:spacing w:after="0" w:line="160" w:lineRule="exact"/>
              <w:rPr>
                <w:sz w:val="20"/>
                <w:szCs w:val="20"/>
                <w:color w:val="auto"/>
              </w:rPr>
            </w:pPr>
            <w:r>
              <w:rPr>
                <w:rFonts w:ascii="Times New Roman" w:cs="Times New Roman" w:eastAsia="Times New Roman" w:hAnsi="Times New Roman"/>
                <w:sz w:val="14"/>
                <w:szCs w:val="14"/>
                <w:b w:val="1"/>
                <w:bCs w:val="1"/>
                <w:color w:val="auto"/>
              </w:rPr>
              <w:t>(b)</w:t>
            </w:r>
          </w:p>
        </w:tc>
        <w:tc>
          <w:tcPr>
            <w:tcW w:w="640" w:type="dxa"/>
            <w:vAlign w:val="bottom"/>
          </w:tcPr>
          <w:p>
            <w:pPr>
              <w:spacing w:after="0"/>
              <w:rPr>
                <w:sz w:val="13"/>
                <w:szCs w:val="13"/>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compensation plans approved by security holders</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2"/>
              </w:rPr>
              <w:t>18,871,592(1)</w:t>
            </w: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w:t>
            </w: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78"/>
              </w:rPr>
              <w:t>18,015,054(2)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Equity compensation plans not approved by security</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8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18,871,592</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5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18,015,054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underlying options granted pursuant to our 2020 Equity Incentive Plan and 2021 Equity Incentive Plan.</w:t>
      </w:r>
    </w:p>
    <w:p>
      <w:pPr>
        <w:spacing w:after="0" w:line="27"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16,672,281 shares of common stock reserved for future issuance under our 2021 Equity Incentive Plan and 1,342,773 shares of common stock reserved for future issuance under our 2021 Employee Stock Purchase Plan. The number of shares of our common stock reserved for issuance under our 2021 Equity Incentive Plan automatically increases on the first day of each fiscal year continuing through January 1, 2031, in an amount equal to 5.0% of the total number of shares of our common stock outstanding on December 31 of the preceding calendar year or a lesser number of shares determined by our Board. Pursuant to this provision, we added 5,539,145 shares of common stock that are available for issuance under the 2021 Equity Incentive Plan on January 1, 2022, which is not reflected in the table above. The number of shares reserved under the 2021 Employee Stock Purchase Plan automatically increases on the first day of each fiscal year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Prior to December 31, 2021 our Board determined that no increase was necessary to the shares of common stock available for issuance under the 2021 Employee Stock Purchase Plan on January 1, 2022.</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our procedures for the identification, review, consideration and approval or ratification of related person transactions, which policy became effective in connection with our initial public offering in 2021.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89"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Ethics and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w:t>
      </w:r>
    </w:p>
    <w:p>
      <w:pPr>
        <w:spacing w:after="0" w:line="9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our initial public offering, we did not have a formal policy regarding approval of transactions with related parties.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2020 to which we have been a party, in which the amount involved in the transaction exceeded $120,000, and in which any of our directors, executive officers or, to our knowledge, beneficial owners of more than 5% of our voting securities or any member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Placements of Our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July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6,237,500 shares of our Series A preferred stock at a purchase price of $8.00 per share for aggregate gross proceeds of $49.9 million.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A preferred stock issued to our related parties in this financing: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640" w:type="dxa"/>
            <w:vAlign w:val="bottom"/>
            <w:vMerge w:val="restart"/>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12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Stock (#)</w:t>
            </w:r>
          </w:p>
        </w:tc>
        <w:tc>
          <w:tcPr>
            <w:tcW w:w="11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Mithril II LP (1)</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1,250,000</w:t>
            </w: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VII, LP</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812,500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6,500,000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Polaris Partners(2)</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1,250,000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GV</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687,500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7"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Ajay Royan, a member of our Board, is the Managing General Partner and Founder of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Times New Roman" w:cs="Times New Roman" w:eastAsia="Times New Roman" w:hAnsi="Times New Roman"/>
          <w:sz w:val="18"/>
          <w:szCs w:val="18"/>
          <w:color w:val="auto"/>
        </w:rPr>
      </w:pPr>
    </w:p>
    <w:p>
      <w:pPr>
        <w:ind w:left="540" w:right="300" w:hanging="424"/>
        <w:spacing w:after="0" w:line="26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8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Also in July 2020, in connection with the transfer of the rights acquired and license received, we issued to Adimab, LLC, or Adimab, 5,000,000 shares of our Series A preferred stock, then having a fair value of $40.0 million. Concurrently, Adimab relinquished to us 21,250,000 shares of our common stock, then having a fair value of $85,000. See “— Agreements with Adimab – Assignment and License Agreement” below.</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Each share of Series A preferred stock issued in this offering automatically converted into five shares of our common stock upon the closing of our initial public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21"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In October and November 2020, we entered into a preferred stock purchase agreement with certain investors, including beneficial owners of greater than 5% of our capital stock, members of our Board and affiliates of members of our Board, pursuant to which we issued and sold to such investors an aggregate of 1,410,434 shares of our Series B preferred stock at a purchase price of $56.72 per share for aggregate gross proceeds of $80.0 million.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B preferred stock issued to our related parties in this financing: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2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0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 (#)</w:t>
            </w:r>
          </w:p>
        </w:tc>
        <w:tc>
          <w:tcPr>
            <w:tcW w:w="11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Adimab, LLC(1)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44,076</w:t>
            </w: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2,499,991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Mithril II LP (2)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176,304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9,999,963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OrbiMed Private Investments VII, LP</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88,152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4,999,981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Polaris Partners(3)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132,228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7,499,972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GV</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352,609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19,999,982</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352,609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19,999,982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40" w:hanging="424"/>
        <w:spacing w:after="0" w:line="254"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Tillman U. Gerngross, Ph.D., a former member of our Board and our former Chief Executive Officer, served as an officer and member of the board of directors of Adimab, LLC, (b) Philip Chase, a former member of our Board, served as an officer and member of the board of directors of Adimab, LLC, (c) Laura Walker, Ph.D., our Chief Scientific Officer, was an employee of Adimab, LLC, and (d) Terrance McGuire and Ajay Royan, members of our Board, are members of the board of directors of Adimab, LLC. Adimab, LLC holds more than 5% of our capital stock prior to this offering.</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Ajay Royan, a member of our Board, is the Managing General Partner and Founder of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Times New Roman" w:cs="Times New Roman" w:eastAsia="Times New Roman" w:hAnsi="Times New Roman"/>
          <w:sz w:val="18"/>
          <w:szCs w:val="18"/>
          <w:color w:val="auto"/>
        </w:rPr>
      </w:pPr>
    </w:p>
    <w:p>
      <w:pPr>
        <w:ind w:left="540" w:right="300" w:hanging="424"/>
        <w:spacing w:after="0" w:line="26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Terrance McGuire, a member of our Board, is a Founding Partner of Polaris Partners. Entities affiliated with Polaris Partners collectively hold more than 5% of our capital stock prior to this offering.</w:t>
      </w:r>
    </w:p>
    <w:p>
      <w:pPr>
        <w:spacing w:after="0" w:line="18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Each share of Series B preferred stock issued in this offering automatically converted into five shares of our common stock upon the closing of our initial public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April 2021, we entered into a preferred stock purchase agreement with certain investors, including beneficial owners of greater than 5% of our capital stock and affiliates of members of our Board, pursuant to which we issued and sold to such investors an aggregate of 4,296,550 shares of our Series C preferred stock at a purchase price of $78.08578 per share for aggregate gross proceeds of $335.5 million.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C preferred stock issued to our related parties in this financing: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2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0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 (#)</w:t>
            </w:r>
          </w:p>
        </w:tc>
        <w:tc>
          <w:tcPr>
            <w:tcW w:w="11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Adimab, LLC (1)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128,064</w:t>
            </w: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9,999,977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Mithril II LP (2)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422,612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32,999,988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OrbiMed Private Investments VII, LP</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96,048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7,499,983</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RA Capital Management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960,482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74,999,986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Polaris Partners (3)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224,112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17,499,960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GV</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96,048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7,499,983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640,321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49,999,965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4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Tillman U. Gerngross, Ph.D., a former member of our Board and our former Chief Executive Officer, served as an officer and member of the Board of Adimab, LLC, (b) Philip Chase, a former member of our Board, served as an officer and member of the Board of Adimab, LLC,</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Laura Walker, Ph.D., our</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0"/>
        <w:spacing w:after="0" w:line="261" w:lineRule="auto"/>
        <w:rPr>
          <w:sz w:val="20"/>
          <w:szCs w:val="20"/>
          <w:color w:val="auto"/>
        </w:rPr>
      </w:pPr>
      <w:r>
        <w:rPr>
          <w:rFonts w:ascii="Times New Roman" w:cs="Times New Roman" w:eastAsia="Times New Roman" w:hAnsi="Times New Roman"/>
          <w:sz w:val="18"/>
          <w:szCs w:val="18"/>
          <w:color w:val="auto"/>
        </w:rPr>
        <w:t>Chief Scientific Officer, was an employee of Adimab, LLC, and (d) Terrance McGuire and Ajay Royan, members of our Board, are members of the Board of Adimab, LLC. Adimab, LLC holds more than 5% of our capital stock.</w:t>
      </w:r>
    </w:p>
    <w:p>
      <w:pPr>
        <w:jc w:val="both"/>
        <w:ind w:left="540" w:right="400" w:hanging="424"/>
        <w:spacing w:after="0" w:line="265"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Ajay Royan, a member of our Board, is the Managing General Partner and Founder of MCM. MCM is a management company that manages Mithril II LP and is appointed by Mithril II GP LP, the general partner of Mithril II LP. Mithril II LP holds more than 5% of our capital stock.</w:t>
      </w:r>
    </w:p>
    <w:p>
      <w:pPr>
        <w:ind w:left="540" w:right="340" w:hanging="424"/>
        <w:spacing w:after="0" w:line="26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Terrance McGuire, a member of our Board, is a Founding Partner of Polaris Partners. Entities affiliated with Polaris Partners collectively hold more than 5% of our capital stock.</w:t>
      </w:r>
    </w:p>
    <w:p>
      <w:pPr>
        <w:spacing w:after="0" w:line="18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share of Series C preferred stock issued in this offering automatically converted into five shares of our common stock upon the closing of our initial public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Adimab</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Certain of our current and former directors and officers are affiliated with Adimab, LLC, or Adimab. Tillman U. Gerngross, Ph.D., a former member of our Board, our co-founder and former Chief Executive Officer, served as a co-founder and Chief Executive Officer of Adimab. Laura Walker, Ph.D., our co-founder and Chief Scientific Officer, was the Senior Director of Antibody Sciences at Adimab. Terrance McGuire, who is deemed to be a beneficial owner of 7.8% of our capital stock as of the Record Date, and Ajay Royan, who is deemed to be a beneficial owner of 10.2% of our capital stock as of the Record Date, are each a member of our Board and the board of directors of Adimab. Philip Chase, who is deemed to be a beneficial owner of 24.3% of our capital stock as of the Record Date, is a former member of our Board and served as a member of the board of directors of Adimab.</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Assignment and License Agreement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July 2020, we entered into an assignment and license agreement, or the Adimab Assignment Agreement, with Adimab pursuant to which Adimab assigned to us all coronavirus antibodies controlled by it and their derivatives,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21,250,000 shares of our common stock, then having a fair value of $85,000. As of the Record Date, Adimab held approximately 24.3% of our outstanding capital stock.</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compulsory licensing and a royalty floor.</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February 2021, we achieved the first specified milestone under the agreement upon dosing of the first patient in a Phase 1 clinical trial evaluating adintrevimab, which obligated us to make a $1.0 million payment to Adimab. We made the payment in March 2021. In April 2021, we achieved the second specified milestone under the agreement upon dosing of the first patient in a Phase 2 clinical trial evaluating adintrevimab for the prevention of COVID-19, which obligated us to make a $2.5 million payment to Adimab. We made the payment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June 2021. In August 2021, we achieved the third specified milestone under the agreement upon dosing of the first patient in a Phase 3 clinical trial evaluating adintrevimab for the prevention of COVID-19, which obligated us to make a $4.0 million payment to Adimab. We made the payment in September 2021.</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2021, we paid Adimab $8.7 million in connection with services provided under the Adimab Assignment Agreement. As of December 31, 2021, $0.4 million was due to Adimab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May 2021, we entered into a collaboration agreement with Adimab, or the Adimab Collaboration Agreement, pursuant to which we and Adimab will collaborate on the discovery and optimization of proprietary antibodies as potential therapeutic product candidates. We were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w:t>
      </w:r>
    </w:p>
    <w:p>
      <w:pPr>
        <w:spacing w:after="0" w:line="183"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5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0"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2021, we paid Adimab $2.6 million in connection with services provided under the Adimab Collaboration Agreement. As of December 31, 2021, $0.2 million was due to Adimab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 Rights, Voting and Right of First Refusal Agreements</w:t>
      </w:r>
    </w:p>
    <w:p>
      <w:pPr>
        <w:spacing w:after="0" w:line="121"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In connection with the sale of our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terminated upon the closing of our initial public offering, except for the registration rights granted under our amended and restated investors’ rights agreement, which terminate with respect to each holder upon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this agreement provide those holders with demand, piggyback and Form S-3 registration rights with respect to the shares of common stock currently held by them. See “—Private Placements of Our Securities—Series C Preferred Stock Financing” above for information regarding the names of the related persons involved and the basis on which such persons are related persons.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provides indemnification for its directors, executive officers and key employees so that they will be free from undue concern about personal liability in connection with their service to the Company. Under the Bylaws, the Company is required to indemnify its directors, and is permitted to indemnify its executive officers, employees and other agents,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Bylaws.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40"/>
          </w:cols>
          <w:pgMar w:left="320" w:top="455" w:right="5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 OF MATERIALS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Adagio stockholders will be “householding” the Company’s materials. A single set of Annual Meeting materials will be delivered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separate set of Annual Meeting materials, please notify your broker or the Company. Direct your written request to Adagio Therapeutics, Inc., Attention: Corporate Secretary, 1601 Trapelo Road, Suite 178, Waltham, Massachusetts 02451 or your oral request to 781-819-0080. Stockholders who currently receive multiple copies of the Annual Meeting materials at their addresses and would like to request “householding” of their communications should contact their brokers.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[_________], 2022</w:t>
      </w:r>
    </w:p>
    <w:p>
      <w:pPr>
        <w:spacing w:after="0" w:line="221" w:lineRule="exact"/>
        <w:rPr>
          <w:sz w:val="20"/>
          <w:szCs w:val="20"/>
          <w:color w:val="auto"/>
        </w:rPr>
      </w:pPr>
    </w:p>
    <w:p>
      <w:pPr>
        <w:jc w:val="center"/>
        <w:ind w:left="620"/>
        <w:spacing w:after="0" w:line="317" w:lineRule="auto"/>
        <w:rPr>
          <w:sz w:val="20"/>
          <w:szCs w:val="20"/>
          <w:color w:val="auto"/>
        </w:rPr>
      </w:pPr>
      <w:r>
        <w:rPr>
          <w:rFonts w:ascii="Times New Roman" w:cs="Times New Roman" w:eastAsia="Times New Roman" w:hAnsi="Times New Roman"/>
          <w:sz w:val="17"/>
          <w:szCs w:val="17"/>
          <w:b w:val="1"/>
          <w:bCs w:val="1"/>
          <w:color w:val="auto"/>
        </w:rPr>
        <w:t>A copy of the Company’s Annual Report to the SEC on Form 10-K for the fiscal year ended December 31, 2021 is available without charge upon written request to: Corporate Secretary, Adagio Therapeutics, Inc., 1601 Trapelo Road, Suite 178, Waltham, Massachusetts 02451.</w:t>
      </w:r>
    </w:p>
    <w:p>
      <w:pPr>
        <w:spacing w:after="0" w:line="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41</w:t>
      </w:r>
    </w:p>
    <w:sectPr>
      <w:pgSz w:w="11900" w:h="16838" w:orient="portrait"/>
      <w:cols w:equalWidth="0" w:num="1">
        <w:col w:w="10940"/>
      </w:cols>
      <w:pgMar w:left="320" w:top="45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6"/>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4"/>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2022-05-31T16:21:16Z</dcterms:created>
  <dcterms:modified xsi:type="dcterms:W3CDTF">2022-05-31T16:21:16Z</dcterms:modified>
</cp:coreProperties>
</file>