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Green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1601 TRAPELO ROAD, SUITE 178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Invivyd, Inc.</w:t>
              </w:r>
            </w:hyperlink>
            <w:r>
              <w:rPr/>
              <w:t xml:space="preserve"> [ </w:t>
            </w:r>
            <w:r>
              <w:rPr>
                <w:rFonts w:ascii="Times;serif" w:hAnsi="Times;serif"/>
                <w:color w:val="0000FF"/>
                <w:sz w:val="24"/>
                <w:shd w:fill="FFFFFF" w:val="clear"/>
              </w:rPr>
              <w:t>IVVD</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01/23/2034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vests over a three-year period, with 1/36th of the shares subject to the option vesting in substantially equal monthly installments measured from one month following the grant date of January 24, 2024, subject to the Reporting Person's continuous service as of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Julie Green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2008797" TargetMode="External"/><Relationship Id="rId4" Type="http://schemas.openxmlformats.org/officeDocument/2006/relationships/hyperlink" Target="http://www.sec.gov/cgi-bin/browse-edgar?action=getcompany&amp;CIK=000183203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3361</Characters>
  <CharactersWithSpaces>3913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