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1"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4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74549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7454900"/>
                    </a:xfrm>
                    <a:prstGeom prst="rect">
                      <a:avLst/>
                    </a:prstGeom>
                    <a:noFill/>
                  </pic:spPr>
                </pic:pic>
              </a:graphicData>
            </a:graphic>
          </wp:anchor>
        </w:drawing>
      </w:r>
    </w:p>
    <w:p>
      <w:pPr>
        <w:spacing w:after="0" w:line="1222" w:lineRule="exact"/>
        <w:rPr>
          <w:sz w:val="24"/>
          <w:szCs w:val="24"/>
          <w:color w:val="auto"/>
        </w:rPr>
      </w:pPr>
    </w:p>
    <w:p>
      <w:pPr>
        <w:sectPr>
          <w:pgSz w:w="11900" w:h="16910" w:orient="portrait"/>
          <w:cols w:equalWidth="0" w:num="2">
            <w:col w:w="2320" w:space="160"/>
            <w:col w:w="860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3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MCGUIRE TERRANCE</w:t>
              </w:r>
            </w:hyperlink>
          </w:p>
        </w:tc>
        <w:tc>
          <w:tcPr>
            <w:tcW w:w="13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Invivyd,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IVVD</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300" w:type="dxa"/>
            <w:vAlign w:val="bottom"/>
            <w:gridSpan w:val="3"/>
            <w:vMerge w:val="continue"/>
          </w:tcPr>
          <w:p>
            <w:pPr>
              <w:spacing w:after="0"/>
              <w:rPr>
                <w:sz w:val="6"/>
                <w:szCs w:val="6"/>
                <w:color w:val="auto"/>
              </w:rPr>
            </w:pPr>
          </w:p>
        </w:tc>
        <w:tc>
          <w:tcPr>
            <w:tcW w:w="13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80" w:type="dxa"/>
            <w:vAlign w:val="bottom"/>
            <w:tcBorders>
              <w:bottom w:val="single" w:sz="8" w:color="0000EE"/>
            </w:tcBorders>
          </w:tcPr>
          <w:p>
            <w:pPr>
              <w:spacing w:after="0"/>
              <w:rPr>
                <w:sz w:val="6"/>
                <w:szCs w:val="6"/>
                <w:color w:val="auto"/>
              </w:rPr>
            </w:pPr>
          </w:p>
        </w:tc>
        <w:tc>
          <w:tcPr>
            <w:tcW w:w="26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300" w:type="dxa"/>
            <w:vAlign w:val="bottom"/>
            <w:gridSpan w:val="3"/>
            <w:vMerge w:val="continue"/>
          </w:tcPr>
          <w:p>
            <w:pPr>
              <w:spacing w:after="0"/>
              <w:rPr>
                <w:sz w:val="5"/>
                <w:szCs w:val="5"/>
                <w:color w:val="auto"/>
              </w:rPr>
            </w:pPr>
          </w:p>
        </w:tc>
        <w:tc>
          <w:tcPr>
            <w:tcW w:w="13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6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380" w:type="dxa"/>
            <w:vAlign w:val="bottom"/>
            <w:tcBorders>
              <w:top w:val="single" w:sz="8" w:color="0000EE"/>
            </w:tcBorders>
          </w:tcPr>
          <w:p>
            <w:pPr>
              <w:spacing w:after="0"/>
              <w:rPr>
                <w:sz w:val="6"/>
                <w:szCs w:val="6"/>
                <w:color w:val="auto"/>
              </w:rPr>
            </w:pPr>
          </w:p>
        </w:tc>
        <w:tc>
          <w:tcPr>
            <w:tcW w:w="1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6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380" w:type="dxa"/>
            <w:vAlign w:val="bottom"/>
            <w:tcBorders>
              <w:top w:val="single" w:sz="8" w:color="EEEEEE"/>
            </w:tcBorders>
          </w:tcPr>
          <w:p>
            <w:pPr>
              <w:spacing w:after="0"/>
              <w:rPr>
                <w:sz w:val="2"/>
                <w:szCs w:val="2"/>
                <w:color w:val="auto"/>
              </w:rPr>
            </w:pPr>
          </w:p>
        </w:tc>
        <w:tc>
          <w:tcPr>
            <w:tcW w:w="140" w:type="dxa"/>
            <w:vAlign w:val="bottom"/>
            <w:tcBorders>
              <w:top w:val="single" w:sz="8" w:color="EEEEEE"/>
            </w:tcBorders>
          </w:tcPr>
          <w:p>
            <w:pPr>
              <w:spacing w:after="0"/>
              <w:rPr>
                <w:sz w:val="2"/>
                <w:szCs w:val="2"/>
                <w:color w:val="auto"/>
              </w:rPr>
            </w:pPr>
          </w:p>
        </w:tc>
        <w:tc>
          <w:tcPr>
            <w:tcW w:w="13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5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520" w:type="dxa"/>
            <w:vAlign w:val="bottom"/>
            <w:gridSpan w:val="2"/>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12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12/17/2024</w:t>
            </w:r>
          </w:p>
        </w:tc>
        <w:tc>
          <w:tcPr>
            <w:tcW w:w="26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3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INVIVYD, INC.</w:t>
            </w:r>
          </w:p>
        </w:tc>
        <w:tc>
          <w:tcPr>
            <w:tcW w:w="1340" w:type="dxa"/>
            <w:vAlign w:val="bottom"/>
          </w:tcPr>
          <w:p>
            <w:pPr>
              <w:spacing w:after="0"/>
              <w:rPr>
                <w:sz w:val="11"/>
                <w:szCs w:val="11"/>
                <w:color w:val="auto"/>
              </w:rPr>
            </w:pPr>
          </w:p>
        </w:tc>
        <w:tc>
          <w:tcPr>
            <w:tcW w:w="1240" w:type="dxa"/>
            <w:vAlign w:val="bottom"/>
            <w:gridSpan w:val="3"/>
            <w:vMerge w:val="continue"/>
          </w:tcPr>
          <w:p>
            <w:pPr>
              <w:spacing w:after="0"/>
              <w:rPr>
                <w:sz w:val="11"/>
                <w:szCs w:val="11"/>
                <w:color w:val="auto"/>
              </w:rPr>
            </w:pPr>
          </w:p>
        </w:tc>
        <w:tc>
          <w:tcPr>
            <w:tcW w:w="26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300" w:type="dxa"/>
            <w:vAlign w:val="bottom"/>
            <w:gridSpan w:val="3"/>
            <w:vMerge w:val="continue"/>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1601 TRAPELO ROAD, SUITE 178</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26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910" w:orient="portrait"/>
          <w:cols w:equalWidth="0" w:num="1">
            <w:col w:w="11080"/>
          </w:cols>
          <w:pgMar w:left="460" w:top="219" w:right="359" w:bottom="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WALTHAM</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02451</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910" w:orient="portrait"/>
          <w:cols w:equalWidth="0" w:num="2">
            <w:col w:w="7540" w:space="720"/>
            <w:col w:w="282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tcPr>
          <w:p>
            <w:pPr>
              <w:ind w:left="30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200" w:type="dxa"/>
            <w:vAlign w:val="bottom"/>
          </w:tcPr>
          <w:p>
            <w:pPr>
              <w:spacing w:after="0"/>
              <w:rPr>
                <w:sz w:val="20"/>
                <w:szCs w:val="20"/>
                <w:color w:val="auto"/>
              </w:rPr>
            </w:pPr>
            <w:r>
              <w:rPr>
                <w:rFonts w:ascii="Arial" w:cs="Arial" w:eastAsia="Arial" w:hAnsi="Arial"/>
                <w:sz w:val="12"/>
                <w:szCs w:val="12"/>
                <w:b w:val="1"/>
                <w:bCs w:val="1"/>
                <w:color w:val="auto"/>
              </w:rPr>
              <w:t>3.</w:t>
            </w:r>
          </w:p>
        </w:tc>
        <w:tc>
          <w:tcPr>
            <w:tcW w:w="540" w:type="dxa"/>
            <w:vAlign w:val="bottom"/>
          </w:tcPr>
          <w:p>
            <w:pPr>
              <w:spacing w:after="0"/>
              <w:rPr>
                <w:sz w:val="13"/>
                <w:szCs w:val="13"/>
                <w:color w:val="auto"/>
              </w:rPr>
            </w:pPr>
          </w:p>
        </w:tc>
        <w:tc>
          <w:tcPr>
            <w:tcW w:w="20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 or</w:t>
            </w:r>
          </w:p>
        </w:tc>
        <w:tc>
          <w:tcPr>
            <w:tcW w:w="500" w:type="dxa"/>
            <w:vAlign w:val="bottom"/>
          </w:tcPr>
          <w:p>
            <w:pPr>
              <w:spacing w:after="0"/>
              <w:rPr>
                <w:sz w:val="11"/>
                <w:szCs w:val="11"/>
                <w:color w:val="auto"/>
              </w:rPr>
            </w:pP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58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540" w:type="dxa"/>
            <w:vAlign w:val="bottom"/>
            <w:tcBorders>
              <w:bottom w:val="single" w:sz="8" w:color="808080"/>
            </w:tcBorders>
          </w:tcPr>
          <w:p>
            <w:pPr>
              <w:spacing w:after="0"/>
              <w:rPr>
                <w:sz w:val="13"/>
                <w:szCs w:val="13"/>
                <w:color w:val="auto"/>
              </w:rPr>
            </w:pPr>
          </w:p>
        </w:tc>
        <w:tc>
          <w:tcPr>
            <w:tcW w:w="860" w:type="dxa"/>
            <w:vAlign w:val="bottom"/>
            <w:tcBorders>
              <w:bottom w:val="single" w:sz="8" w:color="808080"/>
            </w:tcBorders>
          </w:tcPr>
          <w:p>
            <w:pPr>
              <w:spacing w:after="0"/>
              <w:rPr>
                <w:sz w:val="13"/>
                <w:szCs w:val="13"/>
                <w:color w:val="auto"/>
              </w:rPr>
            </w:pPr>
          </w:p>
        </w:tc>
        <w:tc>
          <w:tcPr>
            <w:tcW w:w="440" w:type="dxa"/>
            <w:vAlign w:val="bottom"/>
            <w:tcBorders>
              <w:bottom w:val="single" w:sz="8" w:color="808080"/>
            </w:tcBorders>
          </w:tcPr>
          <w:p>
            <w:pPr>
              <w:spacing w:after="0"/>
              <w:rPr>
                <w:sz w:val="13"/>
                <w:szCs w:val="13"/>
                <w:color w:val="auto"/>
              </w:rPr>
            </w:pPr>
          </w:p>
        </w:tc>
        <w:tc>
          <w:tcPr>
            <w:tcW w:w="62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200" w:type="dxa"/>
            <w:vAlign w:val="bottom"/>
            <w:tcBorders>
              <w:top w:val="single" w:sz="8" w:color="2C2C2C"/>
            </w:tcBorders>
          </w:tcPr>
          <w:p>
            <w:pPr>
              <w:spacing w:after="0"/>
              <w:rPr>
                <w:sz w:val="7"/>
                <w:szCs w:val="7"/>
                <w:color w:val="auto"/>
              </w:rPr>
            </w:pPr>
          </w:p>
        </w:tc>
        <w:tc>
          <w:tcPr>
            <w:tcW w:w="540" w:type="dxa"/>
            <w:vAlign w:val="bottom"/>
            <w:tcBorders>
              <w:top w:val="single" w:sz="8" w:color="2C2C2C"/>
            </w:tcBorders>
          </w:tcPr>
          <w:p>
            <w:pPr>
              <w:spacing w:after="0"/>
              <w:rPr>
                <w:sz w:val="7"/>
                <w:szCs w:val="7"/>
                <w:color w:val="auto"/>
              </w:rPr>
            </w:pPr>
          </w:p>
        </w:tc>
        <w:tc>
          <w:tcPr>
            <w:tcW w:w="86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vMerge w:val="restart"/>
          </w:tcPr>
          <w:p>
            <w:pPr>
              <w:ind w:left="20"/>
              <w:spacing w:after="0"/>
              <w:rPr>
                <w:sz w:val="20"/>
                <w:szCs w:val="20"/>
                <w:color w:val="auto"/>
              </w:rPr>
            </w:pPr>
            <w:r>
              <w:rPr>
                <w:rFonts w:ascii="Arial" w:cs="Arial" w:eastAsia="Arial" w:hAnsi="Arial"/>
                <w:sz w:val="12"/>
                <w:szCs w:val="12"/>
                <w:b w:val="1"/>
                <w:bCs w:val="1"/>
                <w:color w:val="auto"/>
              </w:rPr>
              <w:t>(A) or</w:t>
            </w:r>
          </w:p>
        </w:tc>
        <w:tc>
          <w:tcPr>
            <w:tcW w:w="62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60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13"/>
                <w:szCs w:val="13"/>
                <w:color w:val="auto"/>
              </w:rPr>
            </w:pP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86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ind w:left="20"/>
              <w:spacing w:after="0"/>
              <w:rPr>
                <w:sz w:val="20"/>
                <w:szCs w:val="20"/>
                <w:color w:val="auto"/>
              </w:rPr>
            </w:pPr>
            <w:r>
              <w:rPr>
                <w:rFonts w:ascii="Arial" w:cs="Arial" w:eastAsia="Arial" w:hAnsi="Arial"/>
                <w:sz w:val="12"/>
                <w:szCs w:val="12"/>
                <w:b w:val="1"/>
                <w:bCs w:val="1"/>
                <w:color w:val="auto"/>
              </w:rPr>
              <w:t>(D)</w:t>
            </w:r>
          </w:p>
        </w:tc>
        <w:tc>
          <w:tcPr>
            <w:tcW w:w="62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940" w:type="dxa"/>
            <w:vAlign w:val="bottom"/>
            <w:gridSpan w:val="2"/>
            <w:vMerge w:val="restart"/>
          </w:tcPr>
          <w:p>
            <w:pPr>
              <w:ind w:left="400"/>
              <w:spacing w:after="0"/>
              <w:rPr>
                <w:sz w:val="20"/>
                <w:szCs w:val="20"/>
                <w:color w:val="auto"/>
              </w:rPr>
            </w:pPr>
            <w:r>
              <w:rPr>
                <w:rFonts w:ascii="Times New Roman" w:cs="Times New Roman" w:eastAsia="Times New Roman" w:hAnsi="Times New Roman"/>
                <w:sz w:val="17"/>
                <w:szCs w:val="17"/>
                <w:color w:val="0000FF"/>
              </w:rPr>
              <w:t>12/17/2024</w:t>
            </w: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w w:val="82"/>
              </w:rPr>
              <w:t>S</w:t>
            </w:r>
          </w:p>
        </w:tc>
        <w:tc>
          <w:tcPr>
            <w:tcW w:w="540" w:type="dxa"/>
            <w:vAlign w:val="bottom"/>
          </w:tcPr>
          <w:p>
            <w:pPr>
              <w:spacing w:after="0"/>
              <w:rPr>
                <w:sz w:val="21"/>
                <w:szCs w:val="21"/>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97,410</w:t>
            </w: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gridSpan w:val="2"/>
            <w:vMerge w:val="restart"/>
          </w:tcPr>
          <w:p>
            <w:pPr>
              <w:jc w:val="center"/>
              <w:ind w:left="31"/>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0.48</w:t>
            </w:r>
            <w:r>
              <w:rPr>
                <w:rFonts w:ascii="Times New Roman" w:cs="Times New Roman" w:eastAsia="Times New Roman" w:hAnsi="Times New Roman"/>
                <w:sz w:val="22"/>
                <w:szCs w:val="22"/>
                <w:color w:val="008000"/>
                <w:w w:val="92"/>
                <w:vertAlign w:val="superscript"/>
              </w:rPr>
              <w:t>(1)</w:t>
            </w:r>
          </w:p>
        </w:tc>
        <w:tc>
          <w:tcPr>
            <w:tcW w:w="120" w:type="dxa"/>
            <w:vAlign w:val="bottom"/>
          </w:tcPr>
          <w:p>
            <w:pPr>
              <w:spacing w:after="0"/>
              <w:rPr>
                <w:sz w:val="21"/>
                <w:szCs w:val="21"/>
                <w:color w:val="auto"/>
              </w:rPr>
            </w:pPr>
          </w:p>
        </w:tc>
        <w:tc>
          <w:tcPr>
            <w:tcW w:w="11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3,914,910</w:t>
            </w:r>
          </w:p>
        </w:tc>
        <w:tc>
          <w:tcPr>
            <w:tcW w:w="340" w:type="dxa"/>
            <w:vAlign w:val="bottom"/>
          </w:tcPr>
          <w:p>
            <w:pPr>
              <w:spacing w:after="0"/>
              <w:rPr>
                <w:sz w:val="21"/>
                <w:szCs w:val="21"/>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940" w:type="dxa"/>
            <w:vAlign w:val="bottom"/>
            <w:gridSpan w:val="2"/>
            <w:vMerge w:val="continue"/>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940" w:type="dxa"/>
            <w:vAlign w:val="bottom"/>
            <w:gridSpan w:val="2"/>
            <w:vMerge w:val="restart"/>
          </w:tcPr>
          <w:p>
            <w:pPr>
              <w:ind w:left="400"/>
              <w:spacing w:after="0"/>
              <w:rPr>
                <w:sz w:val="20"/>
                <w:szCs w:val="20"/>
                <w:color w:val="auto"/>
              </w:rPr>
            </w:pPr>
            <w:r>
              <w:rPr>
                <w:rFonts w:ascii="Times New Roman" w:cs="Times New Roman" w:eastAsia="Times New Roman" w:hAnsi="Times New Roman"/>
                <w:sz w:val="17"/>
                <w:szCs w:val="17"/>
                <w:color w:val="0000FF"/>
              </w:rPr>
              <w:t>12/18/2024</w:t>
            </w: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w w:val="82"/>
              </w:rPr>
              <w:t>S</w:t>
            </w:r>
          </w:p>
        </w:tc>
        <w:tc>
          <w:tcPr>
            <w:tcW w:w="540" w:type="dxa"/>
            <w:vAlign w:val="bottom"/>
          </w:tcPr>
          <w:p>
            <w:pPr>
              <w:spacing w:after="0"/>
              <w:rPr>
                <w:sz w:val="21"/>
                <w:szCs w:val="21"/>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74,764</w:t>
            </w: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0.4693</w:t>
            </w:r>
            <w:r>
              <w:rPr>
                <w:rFonts w:ascii="Times New Roman" w:cs="Times New Roman" w:eastAsia="Times New Roman" w:hAnsi="Times New Roman"/>
                <w:sz w:val="22"/>
                <w:szCs w:val="22"/>
                <w:color w:val="008000"/>
                <w:w w:val="95"/>
                <w:vertAlign w:val="superscript"/>
              </w:rPr>
              <w:t>(3)</w:t>
            </w:r>
          </w:p>
        </w:tc>
        <w:tc>
          <w:tcPr>
            <w:tcW w:w="11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3,840,146</w:t>
            </w:r>
          </w:p>
        </w:tc>
        <w:tc>
          <w:tcPr>
            <w:tcW w:w="340" w:type="dxa"/>
            <w:vAlign w:val="bottom"/>
          </w:tcPr>
          <w:p>
            <w:pPr>
              <w:spacing w:after="0"/>
              <w:rPr>
                <w:sz w:val="21"/>
                <w:szCs w:val="21"/>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940" w:type="dxa"/>
            <w:vAlign w:val="bottom"/>
            <w:gridSpan w:val="2"/>
            <w:vMerge w:val="continue"/>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940" w:type="dxa"/>
            <w:vAlign w:val="bottom"/>
            <w:gridSpan w:val="2"/>
            <w:vMerge w:val="restart"/>
          </w:tcPr>
          <w:p>
            <w:pPr>
              <w:ind w:left="400"/>
              <w:spacing w:after="0"/>
              <w:rPr>
                <w:sz w:val="20"/>
                <w:szCs w:val="20"/>
                <w:color w:val="auto"/>
              </w:rPr>
            </w:pPr>
            <w:r>
              <w:rPr>
                <w:rFonts w:ascii="Times New Roman" w:cs="Times New Roman" w:eastAsia="Times New Roman" w:hAnsi="Times New Roman"/>
                <w:sz w:val="17"/>
                <w:szCs w:val="17"/>
                <w:color w:val="0000FF"/>
              </w:rPr>
              <w:t>12/19/2024</w:t>
            </w: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w w:val="82"/>
              </w:rPr>
              <w:t>S</w:t>
            </w:r>
          </w:p>
        </w:tc>
        <w:tc>
          <w:tcPr>
            <w:tcW w:w="540" w:type="dxa"/>
            <w:vAlign w:val="bottom"/>
          </w:tcPr>
          <w:p>
            <w:pPr>
              <w:spacing w:after="0"/>
              <w:rPr>
                <w:sz w:val="21"/>
                <w:szCs w:val="21"/>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152,067</w:t>
            </w: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0.4337</w:t>
            </w:r>
            <w:r>
              <w:rPr>
                <w:rFonts w:ascii="Times New Roman" w:cs="Times New Roman" w:eastAsia="Times New Roman" w:hAnsi="Times New Roman"/>
                <w:sz w:val="22"/>
                <w:szCs w:val="22"/>
                <w:color w:val="008000"/>
                <w:w w:val="95"/>
                <w:vertAlign w:val="superscript"/>
              </w:rPr>
              <w:t>(4)</w:t>
            </w:r>
          </w:p>
        </w:tc>
        <w:tc>
          <w:tcPr>
            <w:tcW w:w="11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3,688,079</w:t>
            </w:r>
          </w:p>
        </w:tc>
        <w:tc>
          <w:tcPr>
            <w:tcW w:w="340" w:type="dxa"/>
            <w:vAlign w:val="bottom"/>
          </w:tcPr>
          <w:p>
            <w:pPr>
              <w:spacing w:after="0"/>
              <w:rPr>
                <w:sz w:val="21"/>
                <w:szCs w:val="21"/>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940" w:type="dxa"/>
            <w:vAlign w:val="bottom"/>
            <w:gridSpan w:val="2"/>
            <w:vMerge w:val="continue"/>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3,120,194</w:t>
            </w:r>
          </w:p>
        </w:tc>
        <w:tc>
          <w:tcPr>
            <w:tcW w:w="340" w:type="dxa"/>
            <w:vAlign w:val="bottom"/>
          </w:tcPr>
          <w:p>
            <w:pPr>
              <w:spacing w:after="0"/>
              <w:rPr>
                <w:sz w:val="21"/>
                <w:szCs w:val="21"/>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60,814</w:t>
            </w:r>
          </w:p>
        </w:tc>
        <w:tc>
          <w:tcPr>
            <w:tcW w:w="340" w:type="dxa"/>
            <w:vAlign w:val="bottom"/>
          </w:tcPr>
          <w:p>
            <w:pPr>
              <w:spacing w:after="0"/>
              <w:rPr>
                <w:sz w:val="21"/>
                <w:szCs w:val="21"/>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(6)</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21,374</w:t>
            </w:r>
          </w:p>
        </w:tc>
        <w:tc>
          <w:tcPr>
            <w:tcW w:w="340" w:type="dxa"/>
            <w:vAlign w:val="bottom"/>
          </w:tcPr>
          <w:p>
            <w:pPr>
              <w:spacing w:after="0"/>
              <w:rPr>
                <w:sz w:val="21"/>
                <w:szCs w:val="21"/>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(7)</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31,198</w:t>
            </w:r>
          </w:p>
        </w:tc>
        <w:tc>
          <w:tcPr>
            <w:tcW w:w="340" w:type="dxa"/>
            <w:vAlign w:val="bottom"/>
          </w:tcPr>
          <w:p>
            <w:pPr>
              <w:spacing w:after="0"/>
              <w:rPr>
                <w:sz w:val="21"/>
                <w:szCs w:val="21"/>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(8)</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497,660</w:t>
            </w:r>
          </w:p>
        </w:tc>
        <w:tc>
          <w:tcPr>
            <w:tcW w:w="340" w:type="dxa"/>
            <w:vAlign w:val="bottom"/>
          </w:tcPr>
          <w:p>
            <w:pPr>
              <w:spacing w:after="0"/>
              <w:rPr>
                <w:sz w:val="21"/>
                <w:szCs w:val="21"/>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(9)</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10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0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14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86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40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40" w:right="1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securities were sold in multiple transactions at prices ranging from $0.4500 to $0.5055,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(1) to this Form 4.</w:t>
      </w:r>
    </w:p>
    <w:p>
      <w:pPr>
        <w:spacing w:after="0" w:line="20" w:lineRule="exact"/>
        <w:rPr>
          <w:rFonts w:ascii="Times New Roman" w:cs="Times New Roman" w:eastAsia="Times New Roman" w:hAnsi="Times New Roman"/>
          <w:sz w:val="13"/>
          <w:szCs w:val="13"/>
          <w:color w:val="008000"/>
        </w:rPr>
      </w:pPr>
    </w:p>
    <w:p>
      <w:pPr>
        <w:ind w:left="40" w:right="220" w:firstLine="7"/>
        <w:spacing w:after="0" w:line="244"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Polaris Partners IX, L.P. ("PP IX"). The general partner of PP IX is Polaris Partners GP IX, L.L.C. ("PP GP IX") and may be deemed to have shared voting, investment and dispositive power with respect to the shares held by PP IX. The Reporting Person, a member of the Issuer's board of directors, holds an interest in PP GP IX and may be deemed to have shared voting, investment and dispositive power with respect to the shares held by PP IX. Each of PP GP IX and the Reporting Person disclaims beneficial ownership of the shares reported herein, except to the extent of their respective pecuniary interests therein. The filing of this statement shall not be deemed to be an admission that, for purposes of Section 16 of the Securities Exchange Act of 1934 or otherwise, neither PP GP IX nor the Reporting Person is the beneficial owner of any shares reported herein.</w:t>
      </w:r>
    </w:p>
    <w:p>
      <w:pPr>
        <w:spacing w:after="0" w:line="26" w:lineRule="exact"/>
        <w:rPr>
          <w:rFonts w:ascii="Times New Roman" w:cs="Times New Roman" w:eastAsia="Times New Roman" w:hAnsi="Times New Roman"/>
          <w:sz w:val="13"/>
          <w:szCs w:val="13"/>
          <w:color w:val="008000"/>
        </w:rPr>
      </w:pPr>
    </w:p>
    <w:p>
      <w:pPr>
        <w:jc w:val="both"/>
        <w:ind w:left="40" w:right="1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securities were sold in multiple transactions at prices ranging from $0.4500 to $0.5024, inclusive. The Reporting Person undertakes to provide to the Issuer, any security holder of the Issuer or the staff of the Securities and Exchange Commission, upon request, full information regarding the number of securities sold at each separate price</w:t>
      </w:r>
    </w:p>
    <w:p>
      <w:pPr>
        <w:sectPr>
          <w:pgSz w:w="11900" w:h="16910" w:orient="portrait"/>
          <w:cols w:equalWidth="0" w:num="1">
            <w:col w:w="11080"/>
          </w:cols>
          <w:pgMar w:left="460" w:top="219" w:right="35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3"/>
          <w:szCs w:val="13"/>
          <w:color w:val="008000"/>
        </w:rPr>
        <w:t>within the ranges set forth in this footnote (3) to this Form 4.</w:t>
      </w:r>
    </w:p>
    <w:p>
      <w:pPr>
        <w:spacing w:after="0" w:line="50" w:lineRule="exact"/>
        <w:rPr>
          <w:sz w:val="20"/>
          <w:szCs w:val="20"/>
          <w:color w:val="auto"/>
        </w:rPr>
      </w:pPr>
    </w:p>
    <w:p>
      <w:pPr>
        <w:jc w:val="both"/>
        <w:ind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securities were sold in multiple transactions at prices ranging from $0.4281 to $0.4500,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(4) to this Form 4.</w:t>
      </w:r>
    </w:p>
    <w:p>
      <w:pPr>
        <w:spacing w:after="0" w:line="20" w:lineRule="exact"/>
        <w:rPr>
          <w:rFonts w:ascii="Times New Roman" w:cs="Times New Roman" w:eastAsia="Times New Roman" w:hAnsi="Times New Roman"/>
          <w:sz w:val="13"/>
          <w:szCs w:val="13"/>
          <w:color w:val="008000"/>
        </w:rPr>
      </w:pPr>
    </w:p>
    <w:p>
      <w:pPr>
        <w:ind w:right="40" w:firstLine="7"/>
        <w:spacing w:after="0" w:line="244"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Polaris Venture Partners V, L.P. ("PVP V"). The general partner of PVP V is Polaris Venture Management Co. V, L.L.C. ("PVM V") and may be deemed to have shared voting, investment and dispositive power with respect to the shares held by PVP V. The Reporting Person, a member of the Issuer's board of directors, is a Managing Member of PVM V and may be deemed to have shared voting, investment and dispositive power over the shares held by PVP V. Each of PVM V and the Reporting Person disclaims beneficial ownership of the shares reported herein, except to the extent of their respective pecuniary interests therein. The filing of this statement shall not be deemed to be an admission that, for purposes of Section 16 of the Securities Exchange Act of 1934 or otherwise, neither PVM V nor the Reporting Person is the beneficial owner of any shares reported herein.</w:t>
      </w:r>
    </w:p>
    <w:p>
      <w:pPr>
        <w:spacing w:after="0" w:line="26" w:lineRule="exact"/>
        <w:rPr>
          <w:rFonts w:ascii="Times New Roman" w:cs="Times New Roman" w:eastAsia="Times New Roman" w:hAnsi="Times New Roman"/>
          <w:sz w:val="13"/>
          <w:szCs w:val="13"/>
          <w:color w:val="008000"/>
        </w:rPr>
      </w:pPr>
    </w:p>
    <w:p>
      <w:pPr>
        <w:ind w:right="20" w:firstLine="7"/>
        <w:spacing w:after="0" w:line="244"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Polaris Venture Partners Entrepreneurs' Fund V, L.P. ("PVPEF V"). The general partner of PVPEF V is PVM V and may be deemed to have shared voting, investment and dispositive power with respect to the shares held by PVPEF V. The Reporting Person, a member of the Issuer's board of directors, is a Managing Member of PVM V and may be deemed to have shared voting, investment and dispositive power over the shares held by PVPEF V. Each of PVM V and the Reporting Person disclaims beneficial ownership of the shares reported herein, except to the extent of their respective pecuniary interests therein. The filing of this statement shall not be deemed to be an admission that, for purposes of Section 16 of the Securities Exchange Act of 1934 or otherwise, neither PVM V nor the Reporting Person is the beneficial owner of any shares reported herein.</w:t>
      </w:r>
    </w:p>
    <w:p>
      <w:pPr>
        <w:spacing w:after="0" w:line="26" w:lineRule="exact"/>
        <w:rPr>
          <w:rFonts w:ascii="Times New Roman" w:cs="Times New Roman" w:eastAsia="Times New Roman" w:hAnsi="Times New Roman"/>
          <w:sz w:val="13"/>
          <w:szCs w:val="13"/>
          <w:color w:val="008000"/>
        </w:rPr>
      </w:pPr>
    </w:p>
    <w:p>
      <w:pPr>
        <w:ind w:right="20" w:firstLine="7"/>
        <w:spacing w:after="0" w:line="244"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Polaris Venture Partners Founders' Fund V, L.P. ("PVPFF V"). The general partner of PVPFF V is PVM V and may be deemed to have shared voting, investment and dispositive power with respect to the shares held by PVPFF V. The Reporting Person, a member of the Issuer's board of directors, is a Managing Member of PVM V and may be deemed to have shared voting, investment and dispositive power over the shares held by PVPFF V. Each of PVM V and the Reporting Person disclaims beneficial ownership of the shares reported herein, except to the extent of their respective pecuniary interests therein. The filing of this statement shall not be deemed to be an admission that, for purposes of Section 16 of the Securities Exchange Act of 1934 or otherwise, neither PVM V nor the Reporting Person is the beneficial owner of any shares reported herein.</w:t>
      </w:r>
    </w:p>
    <w:p>
      <w:pPr>
        <w:spacing w:after="0" w:line="26" w:lineRule="exact"/>
        <w:rPr>
          <w:rFonts w:ascii="Times New Roman" w:cs="Times New Roman" w:eastAsia="Times New Roman" w:hAnsi="Times New Roman"/>
          <w:sz w:val="13"/>
          <w:szCs w:val="13"/>
          <w:color w:val="008000"/>
        </w:rPr>
      </w:pPr>
    </w:p>
    <w:p>
      <w:pPr>
        <w:ind w:right="40" w:firstLine="7"/>
        <w:spacing w:after="0" w:line="244"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Polaris Venture Partners Special Founders' Fund V, L.P. ("PVPSFF V"). The general partner of PVPSFF V is PVM V and may be deemed to have shared voting, investment and dispositive power with respect to the shares held by PVPSFF V. The Reporting Person, a member of the Issuer's board of directors, is a Managing Member of PVM V and may be deemed to have shared voting, investment and dispositive power over the shares held by PVPSFF V. Each of PVM V and the Reporting Person disclaims beneficial ownership of the shares reported herein, except to the extent of their respective pecuniary interest therein. The filing of this statement shall not be deemed to be an admission that, for purposes of Section 16 of the Securities Exchange Act of 1934 or otherwise, neither PVM V nor the Reporting Person is the beneficial owner of any shares reported herein.</w:t>
      </w:r>
    </w:p>
    <w:p>
      <w:pPr>
        <w:spacing w:after="0" w:line="26" w:lineRule="exact"/>
        <w:rPr>
          <w:rFonts w:ascii="Times New Roman" w:cs="Times New Roman" w:eastAsia="Times New Roman" w:hAnsi="Times New Roman"/>
          <w:sz w:val="13"/>
          <w:szCs w:val="13"/>
          <w:color w:val="008000"/>
        </w:rPr>
      </w:pPr>
    </w:p>
    <w:p>
      <w:pPr>
        <w:ind w:firstLine="7"/>
        <w:spacing w:after="0" w:line="24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Polaris Healthcare Technology Opportunities Fund, L.P. ("PHCT"). The general partner of PHCT is Polaris Healthcare Technology Opportunities Fund GP, L.L.C. ("PHCT GP") and may be deemed to have shared voting, investment and dispositive power with respect to the shares held by PHCT. The Reporting Person, a member of the Issuer's board of directors, holds an interest in PHCT GP and may be deemed to have shared voting, investment and dispositive power with respect to the shares held by PHCT. Each of PHCT GP and the Reporting Person disclaims beneficial ownership of the shares reported herein, except to the extent of their respective pecuniary interests therein. The filing of this statement shall not be deemed to be an admission that, for purposes of Section 16 of the Securities Exchange Act of 1934 or otherwise, neither PHCT GP nor the Reporting Person is the beneficial owner of any shares reported herein.</w:t>
      </w:r>
    </w:p>
    <w:p>
      <w:pPr>
        <w:ind w:left="6540"/>
        <w:spacing w:after="0" w:line="181" w:lineRule="auto"/>
        <w:rPr>
          <w:sz w:val="20"/>
          <w:szCs w:val="20"/>
          <w:color w:val="auto"/>
        </w:rPr>
      </w:pPr>
      <w:r>
        <w:rPr>
          <w:rFonts w:ascii="Times New Roman" w:cs="Times New Roman" w:eastAsia="Times New Roman" w:hAnsi="Times New Roman"/>
          <w:sz w:val="17"/>
          <w:szCs w:val="17"/>
          <w:color w:val="0000FF"/>
        </w:rPr>
        <w:t xml:space="preserve">/s/ Lauren Crockett, Attorney- </w:t>
      </w:r>
      <w:r>
        <w:rPr>
          <w:rFonts w:ascii="Times New Roman" w:cs="Times New Roman" w:eastAsia="Times New Roman" w:hAnsi="Times New Roman"/>
          <w:sz w:val="33"/>
          <w:szCs w:val="33"/>
          <w:color w:val="0000FF"/>
          <w:vertAlign w:val="subscript"/>
        </w:rPr>
        <w:t>12/19/2024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-27305</wp:posOffset>
            </wp:positionV>
            <wp:extent cx="13315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159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-17145</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5554980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500" w:top="127"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117003" TargetMode="External"/><Relationship Id="rId14" Type="http://schemas.openxmlformats.org/officeDocument/2006/relationships/hyperlink" Target="http://www.sec.gov/cgi-bin/browse-edgar?action=getcompany&amp;CIK=00018320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2024-12-19T16:58:19Z</dcterms:created>
  <dcterms:modified xsi:type="dcterms:W3CDTF">2024-12-19T16:58:19Z</dcterms:modified>
</cp:coreProperties>
</file>