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8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3580" w:type="dxa"/>
            <w:vAlign w:val="bottom"/>
            <w:gridSpan w:val="2"/>
          </w:tcPr>
          <w:p>
            <w:pPr>
              <w:jc w:val="center"/>
              <w:ind w:right="246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rPr>
              <w:t>85-1403134</w:t>
            </w:r>
          </w:p>
        </w:tc>
        <w:tc>
          <w:tcPr>
            <w:tcW w:w="360" w:type="dxa"/>
            <w:vAlign w:val="bottom"/>
          </w:tcPr>
          <w:p>
            <w:pPr>
              <w:spacing w:after="0"/>
              <w:rPr>
                <w:sz w:val="18"/>
                <w:szCs w:val="18"/>
                <w:color w:val="auto"/>
              </w:rPr>
            </w:pPr>
          </w:p>
        </w:tc>
      </w:tr>
      <w:tr>
        <w:trPr>
          <w:trHeight w:val="186"/>
        </w:trPr>
        <w:tc>
          <w:tcPr>
            <w:tcW w:w="47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3760" w:type="dxa"/>
            <w:vAlign w:val="bottom"/>
            <w:gridSpan w:val="3"/>
          </w:tcPr>
          <w:p>
            <w:pPr>
              <w:jc w:val="center"/>
              <w:ind w:left="123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472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0"/>
              </w:rPr>
              <w:t>303 Wyman Street, Suite 300</w:t>
            </w:r>
          </w:p>
        </w:tc>
        <w:tc>
          <w:tcPr>
            <w:tcW w:w="1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5"/>
        </w:trPr>
        <w:tc>
          <w:tcPr>
            <w:tcW w:w="1140" w:type="dxa"/>
            <w:vAlign w:val="bottom"/>
          </w:tcPr>
          <w:p>
            <w:pPr>
              <w:spacing w:after="0"/>
              <w:rPr>
                <w:sz w:val="19"/>
                <w:szCs w:val="19"/>
                <w:color w:val="auto"/>
              </w:rPr>
            </w:pPr>
          </w:p>
        </w:tc>
        <w:tc>
          <w:tcPr>
            <w:tcW w:w="358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w w:val="97"/>
              </w:rPr>
              <w:t>Waltham, MA</w:t>
            </w:r>
          </w:p>
        </w:tc>
        <w:tc>
          <w:tcPr>
            <w:tcW w:w="340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02451</w:t>
            </w:r>
          </w:p>
        </w:tc>
        <w:tc>
          <w:tcPr>
            <w:tcW w:w="360" w:type="dxa"/>
            <w:vAlign w:val="bottom"/>
          </w:tcPr>
          <w:p>
            <w:pPr>
              <w:spacing w:after="0"/>
              <w:rPr>
                <w:sz w:val="19"/>
                <w:szCs w:val="19"/>
                <w:color w:val="auto"/>
              </w:rPr>
            </w:pPr>
          </w:p>
        </w:tc>
      </w:tr>
      <w:tr>
        <w:trPr>
          <w:trHeight w:val="186"/>
        </w:trPr>
        <w:tc>
          <w:tcPr>
            <w:tcW w:w="47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80" w:type="dxa"/>
            <w:vAlign w:val="bottom"/>
          </w:tcPr>
          <w:p>
            <w:pPr>
              <w:spacing w:after="0"/>
              <w:rPr>
                <w:sz w:val="16"/>
                <w:szCs w:val="16"/>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14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140" w:type="dxa"/>
            <w:vAlign w:val="bottom"/>
          </w:tcPr>
          <w:p>
            <w:pPr>
              <w:spacing w:after="0"/>
              <w:rPr>
                <w:sz w:val="24"/>
                <w:szCs w:val="24"/>
                <w:color w:val="auto"/>
              </w:rPr>
            </w:pPr>
          </w:p>
        </w:tc>
        <w:tc>
          <w:tcPr>
            <w:tcW w:w="358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3"/>
          </w:tcPr>
          <w:p>
            <w:pPr>
              <w:jc w:val="center"/>
              <w:ind w:left="1237"/>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60" w:type="dxa"/>
            <w:vAlign w:val="bottom"/>
          </w:tcPr>
          <w:p>
            <w:pPr>
              <w:spacing w:after="0"/>
              <w:rPr>
                <w:sz w:val="14"/>
                <w:szCs w:val="14"/>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35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 value $0.0001 per share</w:t>
            </w:r>
          </w:p>
        </w:tc>
        <w:tc>
          <w:tcPr>
            <w:tcW w:w="1680" w:type="dxa"/>
            <w:vAlign w:val="bottom"/>
          </w:tcPr>
          <w:p>
            <w:pPr>
              <w:ind w:left="1320"/>
              <w:spacing w:after="0"/>
              <w:rPr>
                <w:sz w:val="20"/>
                <w:szCs w:val="20"/>
                <w:color w:val="auto"/>
              </w:rPr>
            </w:pPr>
            <w:r>
              <w:rPr>
                <w:rFonts w:ascii="Arial" w:cs="Arial" w:eastAsia="Arial" w:hAnsi="Arial"/>
                <w:sz w:val="18"/>
                <w:szCs w:val="18"/>
                <w:b w:val="1"/>
                <w:bCs w:val="1"/>
                <w:color w:val="auto"/>
              </w:rPr>
              <w:t>The</w:t>
            </w:r>
          </w:p>
        </w:tc>
        <w:tc>
          <w:tcPr>
            <w:tcW w:w="1720" w:type="dxa"/>
            <w:vAlign w:val="bottom"/>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7"/>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333-257975</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 description of the common stock, par value $0.0001 per share, of Adagio Therapeutics, Inc., a Delaware corporation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to be registered hereunder is contained in the section titled “Description of Capital Stock” in the prospectus forming part of the Registrant’s Registration Statement on Form S-1 (File No. 333-257975), initially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July 16, 2021, as subsequently amended from time to time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70" w:right="4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Jane Pritchett Henderson</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Financial Officer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2021-08-03T05:45:54Z</dcterms:created>
  <dcterms:modified xsi:type="dcterms:W3CDTF">2021-08-03T05:45:54Z</dcterms:modified>
</cp:coreProperties>
</file>