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Elia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1071"/>
        <w:gridCol w:w="276"/>
        <w:gridCol w:w="906"/>
        <w:gridCol w:w="801"/>
        <w:gridCol w:w="891"/>
        <w:gridCol w:w="1221"/>
        <w:gridCol w:w="801"/>
        <w:gridCol w:w="1071"/>
        <w:gridCol w:w="831"/>
        <w:gridCol w:w="846"/>
      </w:tblGrid>
      <w:tr>
        <w:trPr>
          <w:tblHeader w:val="true"/>
        </w:trPr>
        <w:tc>
          <w:tcPr>
            <w:tcW w:w="129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vests over a four-year period, with 25% of the shares subject to the option vesting on the first anniversary of the grant date of August 30, 2026 and the remaining 75% of the shares subject to the option vesting over the subsequent three-year period in substantially equal monthly installments at a rate of 1/48th of the total shares subject to the option each month, subject to the Reporting Person's continuous service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Marc Elia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ivvd-ex24_1.htm"/>
      <w:bookmarkStart w:id="3" w:name="ksivvd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br/>
        <w:t>FOR SECTION 16 AND RULE 144 REPORTING OBLIGATIONS</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William E. Duke, Jill Andersen, Katherine Fisher, Kiernan Decker, Stephen Nicolai, Amanda Brown and Tyler Glass,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 (“EDGAR”);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 xml:space="preserve">fact, in serving in such capacity at the request of the undersigned, are not assuming nor relieving, nor is the Company assuming nor relieving, any of the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undersigned’s responsibilities to comply with Section 16 of the Exchange Act or Rule 144.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noBreakHyphen/>
        <w:t>in</w:t>
        <w:noBreakHyphen/>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30th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u w:val="single"/>
        </w:rPr>
        <w:t xml:space="preserve">/s/ Marc Elia </w:t>
        <w:br/>
      </w:r>
      <w:r>
        <w:rPr>
          <w:rFonts w:ascii="Times New Roman" w:hAnsi="Times New Roman"/>
          <w:b/>
          <w:color w:val="000000"/>
          <w:sz w:val="22"/>
        </w:rPr>
        <w:t>Marc Elia</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496"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1564</Words>
  <Characters>8431</Characters>
  <CharactersWithSpaces>9912</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