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59"/>
        <w:spacing w:after="0" w:line="399"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2600" w:right="1600" w:hanging="2579"/>
        <w:spacing w:after="0" w:line="422" w:lineRule="auto"/>
        <w:tabs>
          <w:tab w:leader="none" w:pos="47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7"/>
          <w:szCs w:val="17"/>
          <w:color w:val="auto"/>
          <w:highlight w:val="black"/>
        </w:rPr>
      </w:pP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320"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49"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85-1403134</w:t>
      </w:r>
    </w:p>
    <w:p>
      <w:pPr>
        <w:spacing w:after="0" w:line="7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53" w:lineRule="exact"/>
        <w:rPr>
          <w:sz w:val="24"/>
          <w:szCs w:val="24"/>
          <w:color w:val="auto"/>
        </w:rPr>
      </w:pPr>
    </w:p>
    <w:p>
      <w:pPr>
        <w:sectPr>
          <w:pgSz w:w="11900" w:h="16838" w:orient="portrait"/>
          <w:cols w:equalWidth="0" w:num="2">
            <w:col w:w="7220" w:space="720"/>
            <w:col w:w="3300"/>
          </w:cols>
          <w:pgMar w:left="320" w:top="746" w:right="339" w:bottom="1440" w:gutter="0" w:footer="0" w:header="0"/>
          <w:type w:val="continuous"/>
        </w:sectPr>
      </w:pPr>
    </w:p>
    <w:tbl>
      <w:tblPr>
        <w:tblLayout w:type="fixed"/>
        <w:tblInd w:w="1700" w:type="dxa"/>
        <w:tblCellMar>
          <w:top w:w="0" w:type="dxa"/>
          <w:left w:w="0" w:type="dxa"/>
          <w:bottom w:w="0" w:type="dxa"/>
          <w:right w:w="0" w:type="dxa"/>
        </w:tblCellMar>
      </w:tblPr>
      <w:tr>
        <w:trPr>
          <w:trHeight w:val="230"/>
        </w:trPr>
        <w:tc>
          <w:tcPr>
            <w:tcW w:w="4340" w:type="dxa"/>
            <w:vAlign w:val="bottom"/>
          </w:tcPr>
          <w:p>
            <w:pPr>
              <w:jc w:val="center"/>
              <w:ind w:right="2039"/>
              <w:spacing w:after="0"/>
              <w:rPr>
                <w:sz w:val="20"/>
                <w:szCs w:val="20"/>
                <w:color w:val="auto"/>
              </w:rPr>
            </w:pPr>
            <w:r>
              <w:rPr>
                <w:rFonts w:ascii="Arial" w:cs="Arial" w:eastAsia="Arial" w:hAnsi="Arial"/>
                <w:sz w:val="18"/>
                <w:szCs w:val="18"/>
                <w:b w:val="1"/>
                <w:bCs w:val="1"/>
                <w:color w:val="auto"/>
                <w:w w:val="90"/>
              </w:rPr>
              <w:t>303 Wyman Street, Suite 300</w:t>
            </w:r>
          </w:p>
        </w:tc>
        <w:tc>
          <w:tcPr>
            <w:tcW w:w="2680" w:type="dxa"/>
            <w:vAlign w:val="bottom"/>
          </w:tcPr>
          <w:p>
            <w:pPr>
              <w:spacing w:after="0"/>
              <w:rPr>
                <w:sz w:val="19"/>
                <w:szCs w:val="19"/>
                <w:color w:val="auto"/>
              </w:rPr>
            </w:pPr>
          </w:p>
        </w:tc>
      </w:tr>
      <w:tr>
        <w:trPr>
          <w:trHeight w:val="248"/>
        </w:trPr>
        <w:tc>
          <w:tcPr>
            <w:tcW w:w="4340" w:type="dxa"/>
            <w:vAlign w:val="bottom"/>
          </w:tcPr>
          <w:p>
            <w:pPr>
              <w:jc w:val="center"/>
              <w:ind w:right="2039"/>
              <w:spacing w:after="0"/>
              <w:rPr>
                <w:sz w:val="20"/>
                <w:szCs w:val="20"/>
                <w:color w:val="auto"/>
              </w:rPr>
            </w:pPr>
            <w:r>
              <w:rPr>
                <w:rFonts w:ascii="Arial" w:cs="Arial" w:eastAsia="Arial" w:hAnsi="Arial"/>
                <w:sz w:val="18"/>
                <w:szCs w:val="18"/>
                <w:b w:val="1"/>
                <w:bCs w:val="1"/>
                <w:color w:val="auto"/>
                <w:w w:val="97"/>
              </w:rPr>
              <w:t>Waltham,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02451</w:t>
            </w:r>
          </w:p>
        </w:tc>
      </w:tr>
      <w:tr>
        <w:trPr>
          <w:trHeight w:val="173"/>
        </w:trPr>
        <w:tc>
          <w:tcPr>
            <w:tcW w:w="4340" w:type="dxa"/>
            <w:vAlign w:val="bottom"/>
          </w:tcPr>
          <w:p>
            <w:pPr>
              <w:jc w:val="center"/>
              <w:ind w:right="201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680" w:type="dxa"/>
            <w:vAlign w:val="bottom"/>
          </w:tcPr>
          <w:p>
            <w:pPr>
              <w:jc w:val="center"/>
              <w:ind w:left="2024"/>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9"/>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ADGI</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18" w:lineRule="exact"/>
        <w:rPr>
          <w:sz w:val="24"/>
          <w:szCs w:val="24"/>
          <w:color w:val="auto"/>
        </w:rPr>
      </w:pPr>
    </w:p>
    <w:p>
      <w:pPr>
        <w:jc w:val="both"/>
        <w:ind w:firstLine="59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716"/>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702"/>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60" w:firstLine="599"/>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As of September 13, 2021, the registrant had 111,251,660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9300" w:type="dxa"/>
            <w:vAlign w:val="bottom"/>
            <w:gridSpan w:val="22"/>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540" w:type="dxa"/>
            <w:vAlign w:val="bottom"/>
            <w:tcBorders>
              <w:bottom w:val="single" w:sz="8" w:color="0000FF"/>
            </w:tcBorders>
            <w:gridSpan w:val="18"/>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Operations and Comprehensive Loss</w:t>
              </w:r>
            </w:hyperlink>
          </w:p>
        </w:tc>
        <w:tc>
          <w:tcPr>
            <w:tcW w:w="20" w:type="dxa"/>
            <w:vAlign w:val="bottom"/>
            <w:tcBorders>
              <w:bottom w:val="single" w:sz="8" w:color="0000EE"/>
            </w:tcBorders>
          </w:tcPr>
          <w:p>
            <w:pPr>
              <w:spacing w:after="0"/>
              <w:rPr>
                <w:sz w:val="19"/>
                <w:szCs w:val="19"/>
                <w:color w:val="auto"/>
              </w:rPr>
            </w:pPr>
          </w:p>
        </w:tc>
        <w:tc>
          <w:tcPr>
            <w:tcW w:w="374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72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Condensed Consolidated Statement of Convertible Preferred Stock and Stockholders’ Deficit</w:t>
              </w:r>
            </w:hyperlink>
          </w:p>
        </w:tc>
        <w:tc>
          <w:tcPr>
            <w:tcW w:w="2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30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9"/>
                <w:szCs w:val="19"/>
                <w:color w:val="auto"/>
              </w:rPr>
            </w:pPr>
          </w:p>
        </w:tc>
        <w:tc>
          <w:tcPr>
            <w:tcW w:w="448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5"/>
          </w:tcPr>
          <w:p>
            <w:pPr>
              <w:spacing w:after="0"/>
              <w:rPr>
                <w:sz w:val="19"/>
                <w:szCs w:val="19"/>
                <w:color w:val="auto"/>
              </w:rPr>
            </w:pPr>
          </w:p>
        </w:tc>
        <w:tc>
          <w:tcPr>
            <w:tcW w:w="284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20" w:type="dxa"/>
            <w:vAlign w:val="bottom"/>
            <w:tcBorders>
              <w:bottom w:val="single" w:sz="8" w:color="0000EE"/>
            </w:tcBorders>
          </w:tcPr>
          <w:p>
            <w:pPr>
              <w:spacing w:after="0"/>
              <w:rPr>
                <w:sz w:val="19"/>
                <w:szCs w:val="19"/>
                <w:color w:val="auto"/>
              </w:rPr>
            </w:pPr>
          </w:p>
        </w:tc>
        <w:tc>
          <w:tcPr>
            <w:tcW w:w="7500" w:type="dxa"/>
            <w:vAlign w:val="bottom"/>
            <w:gridSpan w:val="15"/>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rFonts w:ascii="Arial" w:cs="Arial" w:eastAsia="Arial" w:hAnsi="Arial"/>
                <w:sz w:val="18"/>
                <w:szCs w:val="18"/>
                <w:color w:val="0000FF"/>
                <w:w w:val="96"/>
              </w:rPr>
            </w:pPr>
            <w:hyperlink w:anchor="page39">
              <w:r>
                <w:rPr>
                  <w:rFonts w:ascii="Arial" w:cs="Arial" w:eastAsia="Arial" w:hAnsi="Arial"/>
                  <w:sz w:val="18"/>
                  <w:szCs w:val="18"/>
                  <w:color w:val="0000FF"/>
                  <w:w w:val="96"/>
                </w:rPr>
                <w:t>OTHER INFORMATION</w:t>
              </w:r>
            </w:hyperlink>
          </w:p>
        </w:tc>
        <w:tc>
          <w:tcPr>
            <w:tcW w:w="740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6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Unregistered Sales of Equity Securities and Use of Proceeds</w:t>
              </w:r>
            </w:hyperlink>
          </w:p>
        </w:tc>
        <w:tc>
          <w:tcPr>
            <w:tcW w:w="494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Defaults Upon Senior Securities</w:t>
              </w:r>
            </w:hyperlink>
          </w:p>
        </w:tc>
        <w:tc>
          <w:tcPr>
            <w:tcW w:w="696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95">
              <w:r>
                <w:rPr>
                  <w:rFonts w:ascii="Arial" w:cs="Arial" w:eastAsia="Arial" w:hAnsi="Arial"/>
                  <w:sz w:val="18"/>
                  <w:szCs w:val="18"/>
                  <w:color w:val="0000FF"/>
                  <w:w w:val="91"/>
                </w:rPr>
                <w:t>Mine Safety Disclosures</w:t>
              </w:r>
            </w:hyperlink>
          </w:p>
        </w:tc>
        <w:tc>
          <w:tcPr>
            <w:tcW w:w="752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2"/>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Exhibits</w:t>
              </w:r>
            </w:hyperlink>
          </w:p>
        </w:tc>
        <w:tc>
          <w:tcPr>
            <w:tcW w:w="798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ADAGIO THERAPEUTICS, INC.</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5"/>
                <w:szCs w:val="15"/>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392,509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114,988</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1"/>
                <w:szCs w:val="21"/>
                <w:color w:val="auto"/>
              </w:rPr>
            </w:pPr>
          </w:p>
        </w:tc>
      </w:tr>
      <w:tr>
        <w:trPr>
          <w:trHeight w:val="256"/>
        </w:trPr>
        <w:tc>
          <w:tcPr>
            <w:tcW w:w="764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396,059</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117,382</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400"/>
              <w:spacing w:after="0"/>
              <w:rPr>
                <w:sz w:val="20"/>
                <w:szCs w:val="20"/>
                <w:color w:val="auto"/>
              </w:rPr>
            </w:pPr>
            <w:r>
              <w:rPr>
                <w:rFonts w:ascii="Arial" w:cs="Arial" w:eastAsia="Arial" w:hAnsi="Arial"/>
                <w:sz w:val="18"/>
                <w:szCs w:val="18"/>
                <w:color w:val="auto"/>
              </w:rPr>
              <w:t>Deferred offering costs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1,933</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90"/>
        </w:trPr>
        <w:tc>
          <w:tcPr>
            <w:tcW w:w="764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397,992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10,716</w:t>
            </w:r>
          </w:p>
        </w:tc>
        <w:tc>
          <w:tcPr>
            <w:tcW w:w="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27,181</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7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37,897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Early-exercise liability</w:t>
            </w:r>
          </w:p>
        </w:tc>
        <w:tc>
          <w:tcPr>
            <w:tcW w:w="34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7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37,905</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100" w:type="dxa"/>
            <w:vAlign w:val="bottom"/>
          </w:tcPr>
          <w:p>
            <w:pPr>
              <w:spacing w:after="0"/>
              <w:rPr>
                <w:sz w:val="21"/>
                <w:szCs w:val="21"/>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7)</w:t>
            </w: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640" w:type="dxa"/>
            <w:vAlign w:val="bottom"/>
          </w:tcPr>
          <w:p>
            <w:pPr>
              <w:ind w:left="20"/>
              <w:spacing w:after="0"/>
              <w:rPr>
                <w:sz w:val="20"/>
                <w:szCs w:val="20"/>
                <w:color w:val="auto"/>
              </w:rPr>
            </w:pPr>
            <w:r>
              <w:rPr>
                <w:rFonts w:ascii="Arial" w:cs="Arial" w:eastAsia="Arial" w:hAnsi="Arial"/>
                <w:sz w:val="18"/>
                <w:szCs w:val="18"/>
                <w:color w:val="auto"/>
                <w:w w:val="97"/>
              </w:rPr>
              <w:t>Convertible preferred stock (Series A, B and C) $0.0001 par value; 16,944,484 shares authorized,</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w w:val="96"/>
              </w:rPr>
              <w:t>issued and outstanding at June 30, 2021; 12,647,934 shares authorized, issued and outstanding at</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w w:val="93"/>
              </w:rPr>
              <w:t>December 31, 2020; aggregate liquidation preference of $505,399 and $169,900 at June 30, 2021 and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December 31, 2020, respectively</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504,711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169,548</w:t>
            </w:r>
          </w:p>
        </w:tc>
        <w:tc>
          <w:tcPr>
            <w:tcW w:w="100" w:type="dxa"/>
            <w:vAlign w:val="bottom"/>
          </w:tcPr>
          <w:p>
            <w:pPr>
              <w:spacing w:after="0"/>
              <w:rPr>
                <w:sz w:val="20"/>
                <w:szCs w:val="20"/>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deficit:</w:t>
            </w:r>
          </w:p>
        </w:tc>
        <w:tc>
          <w:tcPr>
            <w:tcW w:w="3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640" w:type="dxa"/>
            <w:vAlign w:val="bottom"/>
          </w:tcPr>
          <w:p>
            <w:pPr>
              <w:ind w:left="400"/>
              <w:spacing w:after="0"/>
              <w:rPr>
                <w:sz w:val="20"/>
                <w:szCs w:val="20"/>
                <w:color w:val="auto"/>
              </w:rPr>
            </w:pPr>
            <w:r>
              <w:rPr>
                <w:rFonts w:ascii="Arial" w:cs="Arial" w:eastAsia="Arial" w:hAnsi="Arial"/>
                <w:sz w:val="18"/>
                <w:szCs w:val="18"/>
                <w:color w:val="auto"/>
              </w:rPr>
              <w:t>Common stock, $0.0001 par value; 150,000,000 shares authorized at June 30, 2021 and</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640" w:type="dxa"/>
            <w:vAlign w:val="bottom"/>
          </w:tcPr>
          <w:p>
            <w:pPr>
              <w:ind w:left="400"/>
              <w:spacing w:after="0"/>
              <w:rPr>
                <w:sz w:val="20"/>
                <w:szCs w:val="20"/>
                <w:color w:val="auto"/>
              </w:rPr>
            </w:pPr>
            <w:r>
              <w:rPr>
                <w:rFonts w:ascii="Arial" w:cs="Arial" w:eastAsia="Arial" w:hAnsi="Arial"/>
                <w:sz w:val="18"/>
                <w:szCs w:val="18"/>
                <w:color w:val="auto"/>
                <w:w w:val="90"/>
              </w:rPr>
              <w:t>December 31, 2020; 5,599,240 shares issued and outstanding at June 30, 2021; 28,193,240 shares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40" w:type="dxa"/>
            <w:vAlign w:val="bottom"/>
          </w:tcPr>
          <w:p>
            <w:pPr>
              <w:ind w:left="400"/>
              <w:spacing w:after="0"/>
              <w:rPr>
                <w:sz w:val="20"/>
                <w:szCs w:val="20"/>
                <w:color w:val="auto"/>
              </w:rPr>
            </w:pPr>
            <w:r>
              <w:rPr>
                <w:rFonts w:ascii="Arial" w:cs="Arial" w:eastAsia="Arial" w:hAnsi="Arial"/>
                <w:sz w:val="18"/>
                <w:szCs w:val="18"/>
                <w:color w:val="auto"/>
              </w:rPr>
              <w:t>issued and 5,593,240 shares outstanding at December 31, 2020</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1"/>
              </w:rPr>
              <w:t>Treasury stock, at cost; 0 shares and 22,600,000 shares at June 30, 2021 and December 31, 2020,</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(85 )</w:t>
            </w:r>
          </w:p>
        </w:tc>
      </w:tr>
      <w:tr>
        <w:trPr>
          <w:trHeight w:val="250"/>
        </w:trPr>
        <w:tc>
          <w:tcPr>
            <w:tcW w:w="7640" w:type="dxa"/>
            <w:vAlign w:val="bottom"/>
          </w:tcPr>
          <w:p>
            <w:pPr>
              <w:ind w:left="4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4,067</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r>
      <w:tr>
        <w:trPr>
          <w:trHeight w:val="256"/>
        </w:trPr>
        <w:tc>
          <w:tcPr>
            <w:tcW w:w="764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(148,692 )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(65,319 )</w:t>
            </w:r>
          </w:p>
        </w:tc>
      </w:tr>
      <w:tr>
        <w:trPr>
          <w:trHeight w:val="20"/>
        </w:trPr>
        <w:tc>
          <w:tcPr>
            <w:tcW w:w="76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780"/>
              <w:spacing w:after="0"/>
              <w:rPr>
                <w:sz w:val="20"/>
                <w:szCs w:val="20"/>
                <w:color w:val="auto"/>
              </w:rPr>
            </w:pPr>
            <w:r>
              <w:rPr>
                <w:rFonts w:ascii="Arial" w:cs="Arial" w:eastAsia="Arial" w:hAnsi="Arial"/>
                <w:sz w:val="18"/>
                <w:szCs w:val="18"/>
                <w:color w:val="auto"/>
              </w:rPr>
              <w:t>Total stockholders’ deficit</w:t>
            </w:r>
          </w:p>
        </w:tc>
        <w:tc>
          <w:tcPr>
            <w:tcW w:w="3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(144,624 )</w:t>
            </w: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(65,249 )</w:t>
            </w:r>
          </w:p>
        </w:tc>
      </w:tr>
      <w:tr>
        <w:trPr>
          <w:trHeight w:val="290"/>
        </w:trPr>
        <w:tc>
          <w:tcPr>
            <w:tcW w:w="764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397,992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-3573780</wp:posOffset>
            </wp:positionV>
            <wp:extent cx="180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-3556635</wp:posOffset>
            </wp:positionV>
            <wp:extent cx="1803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-2893695</wp:posOffset>
            </wp:positionV>
            <wp:extent cx="180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-2893695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-2559685</wp:posOffset>
            </wp:positionV>
            <wp:extent cx="180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-365125</wp:posOffset>
            </wp:positionV>
            <wp:extent cx="1803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1803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803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ADAGIO THERAPEUTICS,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76"/>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Six Months</w:t>
            </w: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June 3, 2020</w:t>
            </w:r>
          </w:p>
        </w:tc>
        <w:tc>
          <w:tcPr>
            <w:tcW w:w="0" w:type="dxa"/>
            <w:vAlign w:val="bottom"/>
          </w:tcPr>
          <w:p>
            <w:pPr>
              <w:spacing w:after="0"/>
              <w:rPr>
                <w:sz w:val="1"/>
                <w:szCs w:val="1"/>
                <w:color w:val="auto"/>
              </w:rPr>
            </w:pPr>
          </w:p>
        </w:tc>
      </w:tr>
      <w:tr>
        <w:trPr>
          <w:trHeight w:val="176"/>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6"/>
              <w:spacing w:after="0" w:line="217" w:lineRule="exact"/>
              <w:rPr>
                <w:sz w:val="20"/>
                <w:szCs w:val="20"/>
                <w:color w:val="auto"/>
              </w:rPr>
            </w:pPr>
            <w:r>
              <w:rPr>
                <w:rFonts w:ascii="Arial" w:cs="Arial" w:eastAsia="Arial" w:hAnsi="Arial"/>
                <w:sz w:val="14"/>
                <w:szCs w:val="14"/>
                <w:b w:val="1"/>
                <w:bCs w:val="1"/>
                <w:color w:val="auto"/>
                <w:w w:val="83"/>
              </w:rPr>
              <w:t xml:space="preserve">2020 </w:t>
            </w:r>
            <w:r>
              <w:rPr>
                <w:rFonts w:ascii="Arial" w:cs="Arial" w:eastAsia="Arial" w:hAnsi="Arial"/>
                <w:sz w:val="19"/>
                <w:szCs w:val="19"/>
                <w:b w:val="1"/>
                <w:bCs w:val="1"/>
                <w:color w:val="auto"/>
                <w:w w:val="83"/>
                <w:vertAlign w:val="superscript"/>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80"/>
              <w:spacing w:after="0" w:line="257"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35,067</w:t>
            </w:r>
          </w:p>
        </w:tc>
        <w:tc>
          <w:tcPr>
            <w:tcW w:w="28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69,204</w:t>
            </w:r>
          </w:p>
        </w:tc>
        <w:tc>
          <w:tcPr>
            <w:tcW w:w="2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FF0FC"/>
          </w:tcPr>
          <w:p>
            <w:pPr>
              <w:ind w:left="280"/>
              <w:spacing w:after="0" w:line="257" w:lineRule="exact"/>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24"/>
                <w:szCs w:val="24"/>
                <w:color w:val="auto"/>
                <w:vertAlign w:val="superscript"/>
              </w:rPr>
              <w:t>(2)</w:t>
            </w: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10,695</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44,691</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83,399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(44,691 )</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(83,399 )</w:t>
            </w:r>
          </w:p>
        </w:tc>
        <w:tc>
          <w:tcPr>
            <w:tcW w:w="2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57"/>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1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(6 )</w:t>
            </w:r>
          </w:p>
        </w:tc>
        <w:tc>
          <w:tcPr>
            <w:tcW w:w="20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2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(44,673 )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(83,373 )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(0.18 )</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(0.66 )</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2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18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18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249,769</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125,574</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21,250,000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-1530985</wp:posOffset>
            </wp:positionV>
            <wp:extent cx="1714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-1530985</wp:posOffset>
            </wp:positionV>
            <wp:extent cx="1543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-1530985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-862330</wp:posOffset>
            </wp:positionV>
            <wp:extent cx="1714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-862330</wp:posOffset>
            </wp:positionV>
            <wp:extent cx="1543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-862330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-521970</wp:posOffset>
            </wp:positionV>
            <wp:extent cx="1714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-505460</wp:posOffset>
            </wp:positionV>
            <wp:extent cx="171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-521970</wp:posOffset>
            </wp:positionV>
            <wp:extent cx="1543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-505460</wp:posOffset>
            </wp:positionV>
            <wp:extent cx="1543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714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1714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154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154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left="440" w:hanging="432"/>
        <w:spacing w:after="0" w:line="26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related-party amounts of $247 for the three months ended June 30, 2021, $435 for the six months ended June 30, 2021 and $0 for the period from June 3, 2020 (inception) to June 30, 2020 (see Note 14).</w:t>
      </w:r>
    </w:p>
    <w:p>
      <w:pPr>
        <w:spacing w:after="0" w:line="1" w:lineRule="exact"/>
        <w:rPr>
          <w:rFonts w:ascii="Arial" w:cs="Arial" w:eastAsia="Arial" w:hAnsi="Arial"/>
          <w:sz w:val="18"/>
          <w:szCs w:val="18"/>
          <w:color w:val="auto"/>
        </w:rPr>
      </w:pPr>
    </w:p>
    <w:p>
      <w:pPr>
        <w:ind w:left="440" w:hanging="432"/>
        <w:spacing w:after="0" w:line="26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related-party amounts of $2,500 for the three months ended June 30, 2021, $3,500 for the six months ended June 30, 2021 and $0 for the period from June 3, 2020 (inception) to June 30, 2020 (see Note 14).</w:t>
      </w:r>
    </w:p>
    <w:p>
      <w:pPr>
        <w:ind w:left="440" w:hanging="432"/>
        <w:spacing w:after="0" w:line="292"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for the period from June 3, 2020 (inception) to June 30, 2020 are the same for the three and six months ended June 30, 2020; accordingly, the related financial information is presented once within the Form 10-Q.</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CONVERTIBLE</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PREFERRED STOCK AND STOCKHOLDERS’ DEFICIT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73025</wp:posOffset>
            </wp:positionV>
            <wp:extent cx="34290" cy="3765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765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97"/>
              </w:rPr>
              <w:t>Convertible Preferred 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vMerge w:val="restart"/>
          </w:tcPr>
          <w:p>
            <w:pPr>
              <w:jc w:val="right"/>
              <w:ind w:right="417"/>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1580" w:type="dxa"/>
            <w:vAlign w:val="bottom"/>
            <w:gridSpan w:val="3"/>
            <w:vMerge w:val="restart"/>
          </w:tcPr>
          <w:p>
            <w:pPr>
              <w:ind w:left="480"/>
              <w:spacing w:after="0"/>
              <w:rPr>
                <w:sz w:val="20"/>
                <w:szCs w:val="20"/>
                <w:color w:val="auto"/>
              </w:rPr>
            </w:pPr>
            <w:r>
              <w:rPr>
                <w:rFonts w:ascii="Arial" w:cs="Arial" w:eastAsia="Arial" w:hAnsi="Arial"/>
                <w:sz w:val="13"/>
                <w:szCs w:val="13"/>
                <w:b w:val="1"/>
                <w:bCs w:val="1"/>
                <w:color w:val="auto"/>
              </w:rPr>
              <w:t>Treasury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117"/>
              <w:spacing w:after="0"/>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117"/>
              <w:spacing w:after="0"/>
              <w:rPr>
                <w:sz w:val="20"/>
                <w:szCs w:val="20"/>
                <w:color w:val="auto"/>
              </w:rPr>
            </w:pPr>
            <w:r>
              <w:rPr>
                <w:rFonts w:ascii="Arial" w:cs="Arial" w:eastAsia="Arial" w:hAnsi="Arial"/>
                <w:sz w:val="13"/>
                <w:szCs w:val="13"/>
                <w:b w:val="1"/>
                <w:bCs w:val="1"/>
                <w:color w:val="auto"/>
                <w:w w:val="87"/>
              </w:rPr>
              <w:t>Paid-in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w w:val="88"/>
              </w:rPr>
              <w:t>Accumulated</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w w:val="92"/>
              </w:rPr>
              <w:t>Shares</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5"/>
                <w:szCs w:val="15"/>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ind w:left="137"/>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1"/>
              </w:rPr>
              <w:t>Balances at June 3, 2020 (Inception)</w:t>
            </w:r>
          </w:p>
        </w:tc>
        <w:tc>
          <w:tcPr>
            <w:tcW w:w="40" w:type="dxa"/>
            <w:vAlign w:val="bottom"/>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0" w:type="dxa"/>
            <w:vAlign w:val="bottom"/>
            <w:shd w:val="clear" w:color="auto" w:fill="CFF0FC"/>
          </w:tcPr>
          <w:p>
            <w:pPr>
              <w:ind w:left="60"/>
              <w:spacing w:after="0"/>
              <w:rPr>
                <w:sz w:val="20"/>
                <w:szCs w:val="20"/>
                <w:color w:val="auto"/>
              </w:rPr>
            </w:pPr>
            <w:r>
              <w:rPr>
                <w:rFonts w:ascii="Arial" w:cs="Arial" w:eastAsia="Arial" w:hAnsi="Arial"/>
                <w:sz w:val="13"/>
                <w:szCs w:val="13"/>
                <w:color w:val="auto"/>
                <w:w w:val="76"/>
              </w:rPr>
              <w:t>—</w:t>
            </w:r>
          </w:p>
        </w:tc>
        <w:tc>
          <w:tcPr>
            <w:tcW w:w="100" w:type="dxa"/>
            <w:vAlign w:val="bottom"/>
            <w:tcBorders>
              <w:left w:val="single" w:sz="8" w:color="CFF0FC"/>
            </w:tcBorders>
          </w:tcPr>
          <w:p>
            <w:pPr>
              <w:spacing w:after="0"/>
              <w:rPr>
                <w:sz w:val="16"/>
                <w:szCs w:val="16"/>
                <w:color w:val="auto"/>
              </w:rPr>
            </w:pPr>
          </w:p>
        </w:tc>
        <w:tc>
          <w:tcPr>
            <w:tcW w:w="720" w:type="dxa"/>
            <w:vAlign w:val="bottom"/>
            <w:shd w:val="clear" w:color="auto" w:fill="CFF0FC"/>
          </w:tcPr>
          <w:p>
            <w:pPr>
              <w:jc w:val="right"/>
              <w:ind w:right="57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76"/>
              </w:rPr>
              <w:t>—</w:t>
            </w:r>
          </w:p>
        </w:tc>
        <w:tc>
          <w:tcPr>
            <w:tcW w:w="180" w:type="dxa"/>
            <w:vAlign w:val="bottom"/>
            <w:tcBorders>
              <w:left w:val="single" w:sz="8" w:color="CFF0FC"/>
              <w:right w:val="single" w:sz="8" w:color="auto"/>
            </w:tcBorders>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FF0FC"/>
            </w:tcBorders>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FF0FC"/>
            </w:tcBorders>
          </w:tcPr>
          <w:p>
            <w:pPr>
              <w:spacing w:after="0"/>
              <w:rPr>
                <w:sz w:val="16"/>
                <w:szCs w:val="16"/>
                <w:color w:val="auto"/>
              </w:rPr>
            </w:pPr>
          </w:p>
        </w:tc>
        <w:tc>
          <w:tcPr>
            <w:tcW w:w="820" w:type="dxa"/>
            <w:vAlign w:val="bottom"/>
            <w:shd w:val="clear" w:color="auto" w:fill="CFF0FC"/>
          </w:tcPr>
          <w:p>
            <w:pPr>
              <w:ind w:left="680"/>
              <w:spacing w:after="0"/>
              <w:rPr>
                <w:sz w:val="20"/>
                <w:szCs w:val="20"/>
                <w:color w:val="auto"/>
              </w:rPr>
            </w:pPr>
            <w:r>
              <w:rPr>
                <w:rFonts w:ascii="Arial" w:cs="Arial" w:eastAsia="Arial" w:hAnsi="Arial"/>
                <w:sz w:val="13"/>
                <w:szCs w:val="13"/>
                <w:color w:val="auto"/>
                <w:w w:val="76"/>
              </w:rPr>
              <w:t>—</w:t>
            </w:r>
          </w:p>
        </w:tc>
        <w:tc>
          <w:tcPr>
            <w:tcW w:w="100" w:type="dxa"/>
            <w:vAlign w:val="bottom"/>
            <w:tcBorders>
              <w:left w:val="single" w:sz="8" w:color="CFF0FC"/>
            </w:tcBorders>
          </w:tcPr>
          <w:p>
            <w:pPr>
              <w:spacing w:after="0"/>
              <w:rPr>
                <w:sz w:val="16"/>
                <w:szCs w:val="16"/>
                <w:color w:val="auto"/>
              </w:rPr>
            </w:pPr>
          </w:p>
        </w:tc>
        <w:tc>
          <w:tcPr>
            <w:tcW w:w="660" w:type="dxa"/>
            <w:vAlign w:val="bottom"/>
            <w:shd w:val="clear" w:color="auto" w:fill="CFF0FC"/>
          </w:tcPr>
          <w:p>
            <w:pPr>
              <w:jc w:val="right"/>
              <w:ind w:right="517"/>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76"/>
              </w:rPr>
              <w:t>—</w:t>
            </w:r>
          </w:p>
        </w:tc>
        <w:tc>
          <w:tcPr>
            <w:tcW w:w="100" w:type="dxa"/>
            <w:vAlign w:val="bottom"/>
            <w:tcBorders>
              <w:left w:val="single" w:sz="8" w:color="CFF0FC"/>
            </w:tcBorders>
          </w:tcPr>
          <w:p>
            <w:pPr>
              <w:spacing w:after="0"/>
              <w:rPr>
                <w:sz w:val="16"/>
                <w:szCs w:val="16"/>
                <w:color w:val="auto"/>
              </w:rPr>
            </w:pPr>
          </w:p>
        </w:tc>
        <w:tc>
          <w:tcPr>
            <w:tcW w:w="840" w:type="dxa"/>
            <w:vAlign w:val="bottom"/>
            <w:shd w:val="clear" w:color="auto" w:fill="CFF0FC"/>
          </w:tcPr>
          <w:p>
            <w:pPr>
              <w:jc w:val="right"/>
              <w:ind w:right="697"/>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left w:val="single" w:sz="8" w:color="CFF0FC"/>
            </w:tcBorders>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820" w:type="dxa"/>
            <w:vAlign w:val="bottom"/>
            <w:gridSpan w:val="3"/>
          </w:tcPr>
          <w:p>
            <w:pPr>
              <w:ind w:left="20"/>
              <w:spacing w:after="0"/>
              <w:rPr>
                <w:sz w:val="20"/>
                <w:szCs w:val="20"/>
                <w:color w:val="auto"/>
              </w:rPr>
            </w:pPr>
            <w:r>
              <w:rPr>
                <w:rFonts w:ascii="Arial" w:cs="Arial" w:eastAsia="Arial" w:hAnsi="Arial"/>
                <w:sz w:val="13"/>
                <w:szCs w:val="13"/>
                <w:color w:val="auto"/>
              </w:rPr>
              <w:t>Issuance of common stock at inception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21,250,000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820" w:type="dxa"/>
            <w:vAlign w:val="bottom"/>
          </w:tcPr>
          <w:p>
            <w:pPr>
              <w:ind w:left="68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(2 )</w:t>
            </w:r>
          </w:p>
        </w:tc>
        <w:tc>
          <w:tcPr>
            <w:tcW w:w="120" w:type="dxa"/>
            <w:vAlign w:val="bottom"/>
          </w:tcPr>
          <w:p>
            <w:pPr>
              <w:spacing w:after="0"/>
              <w:rPr>
                <w:sz w:val="15"/>
                <w:szCs w:val="15"/>
                <w:color w:val="auto"/>
              </w:rPr>
            </w:pPr>
          </w:p>
        </w:tc>
        <w:tc>
          <w:tcPr>
            <w:tcW w:w="1100" w:type="dxa"/>
            <w:vAlign w:val="bottom"/>
            <w:gridSpan w:val="3"/>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82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Issuance of restricted common stock</w:t>
            </w:r>
          </w:p>
        </w:tc>
        <w:tc>
          <w:tcPr>
            <w:tcW w:w="20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tcBorders>
              <w:left w:val="single" w:sz="8" w:color="CFF0FC"/>
              <w:right w:val="single" w:sz="8" w:color="auto"/>
            </w:tcBorders>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tcBorders>
              <w:left w:val="single" w:sz="8" w:color="CFF0FC"/>
            </w:tcBorders>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82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upon early exercise of stock options</w:t>
            </w:r>
          </w:p>
        </w:tc>
        <w:tc>
          <w:tcPr>
            <w:tcW w:w="200" w:type="dxa"/>
            <w:vAlign w:val="bottom"/>
            <w:shd w:val="clear" w:color="auto" w:fill="CFF0FC"/>
          </w:tcPr>
          <w:p>
            <w:pPr>
              <w:ind w:left="60"/>
              <w:spacing w:after="0"/>
              <w:rPr>
                <w:sz w:val="20"/>
                <w:szCs w:val="20"/>
                <w:color w:val="auto"/>
              </w:rPr>
            </w:pPr>
            <w:r>
              <w:rPr>
                <w:rFonts w:ascii="Arial" w:cs="Arial" w:eastAsia="Arial" w:hAnsi="Arial"/>
                <w:sz w:val="13"/>
                <w:szCs w:val="13"/>
                <w:color w:val="auto"/>
                <w:w w:val="76"/>
              </w:rPr>
              <w:t>—</w:t>
            </w:r>
          </w:p>
        </w:tc>
        <w:tc>
          <w:tcPr>
            <w:tcW w:w="100" w:type="dxa"/>
            <w:vAlign w:val="bottom"/>
            <w:tcBorders>
              <w:left w:val="single" w:sz="8" w:color="CFF0FC"/>
            </w:tcBorders>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76"/>
              </w:rPr>
              <w:t>—</w:t>
            </w:r>
          </w:p>
        </w:tc>
        <w:tc>
          <w:tcPr>
            <w:tcW w:w="180" w:type="dxa"/>
            <w:vAlign w:val="bottom"/>
            <w:tcBorders>
              <w:left w:val="single" w:sz="8" w:color="CFF0FC"/>
              <w:right w:val="single" w:sz="8" w:color="auto"/>
            </w:tcBorders>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6,943,240</w:t>
            </w:r>
          </w:p>
        </w:tc>
        <w:tc>
          <w:tcPr>
            <w:tcW w:w="80" w:type="dxa"/>
            <w:vAlign w:val="bottom"/>
            <w:tcBorders>
              <w:lef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left w:val="single" w:sz="8" w:color="CFF0FC"/>
            </w:tcBorders>
            <w:shd w:val="clear" w:color="auto" w:fill="CFF0FC"/>
          </w:tcPr>
          <w:p>
            <w:pPr>
              <w:spacing w:after="0"/>
              <w:rPr>
                <w:sz w:val="15"/>
                <w:szCs w:val="15"/>
                <w:color w:val="auto"/>
              </w:rPr>
            </w:pPr>
          </w:p>
        </w:tc>
        <w:tc>
          <w:tcPr>
            <w:tcW w:w="820" w:type="dxa"/>
            <w:vAlign w:val="bottom"/>
            <w:shd w:val="clear" w:color="auto" w:fill="CFF0FC"/>
          </w:tcPr>
          <w:p>
            <w:pPr>
              <w:ind w:left="680"/>
              <w:spacing w:after="0"/>
              <w:rPr>
                <w:sz w:val="20"/>
                <w:szCs w:val="20"/>
                <w:color w:val="auto"/>
              </w:rPr>
            </w:pPr>
            <w:r>
              <w:rPr>
                <w:rFonts w:ascii="Arial" w:cs="Arial" w:eastAsia="Arial" w:hAnsi="Arial"/>
                <w:sz w:val="13"/>
                <w:szCs w:val="13"/>
                <w:color w:val="auto"/>
                <w:w w:val="76"/>
              </w:rPr>
              <w:t>—</w:t>
            </w:r>
          </w:p>
        </w:tc>
        <w:tc>
          <w:tcPr>
            <w:tcW w:w="100" w:type="dxa"/>
            <w:vAlign w:val="bottom"/>
            <w:tcBorders>
              <w:left w:val="single" w:sz="8" w:color="CFF0FC"/>
            </w:tcBorders>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76"/>
              </w:rPr>
              <w:t>—</w:t>
            </w:r>
          </w:p>
        </w:tc>
        <w:tc>
          <w:tcPr>
            <w:tcW w:w="100" w:type="dxa"/>
            <w:vAlign w:val="bottom"/>
            <w:tcBorders>
              <w:left w:val="single" w:sz="8" w:color="CFF0FC"/>
            </w:tcBorders>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(1 )</w:t>
            </w:r>
          </w:p>
        </w:tc>
        <w:tc>
          <w:tcPr>
            <w:tcW w:w="12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13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120" w:type="dxa"/>
            <w:vAlign w:val="bottom"/>
            <w:gridSpan w:val="2"/>
          </w:tcPr>
          <w:p>
            <w:pPr>
              <w:ind w:left="20"/>
              <w:spacing w:after="0"/>
              <w:rPr>
                <w:sz w:val="20"/>
                <w:szCs w:val="20"/>
                <w:color w:val="auto"/>
              </w:rPr>
            </w:pPr>
            <w:r>
              <w:rPr>
                <w:rFonts w:ascii="Arial" w:cs="Arial" w:eastAsia="Arial" w:hAnsi="Arial"/>
                <w:sz w:val="13"/>
                <w:szCs w:val="13"/>
                <w:color w:val="auto"/>
              </w:rPr>
              <w:t>Net loss and comprehensive loss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(98 )</w:t>
            </w:r>
          </w:p>
        </w:tc>
        <w:tc>
          <w:tcPr>
            <w:tcW w:w="1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(98 )</w:t>
            </w:r>
          </w:p>
        </w:tc>
        <w:tc>
          <w:tcPr>
            <w:tcW w:w="0" w:type="dxa"/>
            <w:vAlign w:val="bottom"/>
          </w:tcPr>
          <w:p>
            <w:pPr>
              <w:spacing w:after="0"/>
              <w:rPr>
                <w:sz w:val="1"/>
                <w:szCs w:val="1"/>
                <w:color w:val="auto"/>
              </w:rPr>
            </w:pPr>
          </w:p>
        </w:tc>
      </w:tr>
      <w:tr>
        <w:trPr>
          <w:trHeight w:val="22"/>
        </w:trPr>
        <w:tc>
          <w:tcPr>
            <w:tcW w:w="212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June 30, 2020</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ind w:left="60"/>
              <w:spacing w:after="0"/>
              <w:rPr>
                <w:sz w:val="20"/>
                <w:szCs w:val="20"/>
                <w:color w:val="auto"/>
              </w:rPr>
            </w:pPr>
            <w:r>
              <w:rPr>
                <w:rFonts w:ascii="Arial" w:cs="Arial" w:eastAsia="Arial" w:hAnsi="Arial"/>
                <w:sz w:val="13"/>
                <w:szCs w:val="13"/>
                <w:color w:val="auto"/>
                <w:w w:val="76"/>
              </w:rPr>
              <w:t>—</w:t>
            </w:r>
          </w:p>
        </w:tc>
        <w:tc>
          <w:tcPr>
            <w:tcW w:w="100" w:type="dxa"/>
            <w:vAlign w:val="bottom"/>
            <w:tcBorders>
              <w:left w:val="single" w:sz="8" w:color="CFF0FC"/>
            </w:tcBorders>
            <w:shd w:val="clear" w:color="auto" w:fill="CFF0FC"/>
          </w:tcPr>
          <w:p>
            <w:pPr>
              <w:spacing w:after="0"/>
              <w:rPr>
                <w:sz w:val="17"/>
                <w:szCs w:val="17"/>
                <w:color w:val="auto"/>
              </w:rPr>
            </w:pPr>
          </w:p>
        </w:tc>
        <w:tc>
          <w:tcPr>
            <w:tcW w:w="720" w:type="dxa"/>
            <w:vAlign w:val="bottom"/>
            <w:shd w:val="clear" w:color="auto" w:fill="CFF0FC"/>
          </w:tcPr>
          <w:p>
            <w:pPr>
              <w:jc w:val="right"/>
              <w:ind w:right="57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76"/>
              </w:rPr>
              <w:t>—</w:t>
            </w:r>
          </w:p>
        </w:tc>
        <w:tc>
          <w:tcPr>
            <w:tcW w:w="180" w:type="dxa"/>
            <w:vAlign w:val="bottom"/>
            <w:tcBorders>
              <w:left w:val="single" w:sz="8" w:color="CFF0FC"/>
              <w:right w:val="single" w:sz="8" w:color="CFF0FC"/>
            </w:tcBorders>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28,193,240</w:t>
            </w:r>
          </w:p>
        </w:tc>
        <w:tc>
          <w:tcPr>
            <w:tcW w:w="80" w:type="dxa"/>
            <w:vAlign w:val="bottom"/>
            <w:tcBorders>
              <w:lef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80" w:type="dxa"/>
            <w:vAlign w:val="bottom"/>
            <w:tcBorders>
              <w:left w:val="single" w:sz="8" w:color="CFF0FC"/>
            </w:tcBorders>
            <w:shd w:val="clear" w:color="auto" w:fill="CFF0FC"/>
          </w:tcPr>
          <w:p>
            <w:pPr>
              <w:spacing w:after="0"/>
              <w:rPr>
                <w:sz w:val="17"/>
                <w:szCs w:val="17"/>
                <w:color w:val="auto"/>
              </w:rPr>
            </w:pPr>
          </w:p>
        </w:tc>
        <w:tc>
          <w:tcPr>
            <w:tcW w:w="820" w:type="dxa"/>
            <w:vAlign w:val="bottom"/>
            <w:shd w:val="clear" w:color="auto" w:fill="CFF0FC"/>
          </w:tcPr>
          <w:p>
            <w:pPr>
              <w:ind w:left="680"/>
              <w:spacing w:after="0"/>
              <w:rPr>
                <w:sz w:val="20"/>
                <w:szCs w:val="20"/>
                <w:color w:val="auto"/>
              </w:rPr>
            </w:pPr>
            <w:r>
              <w:rPr>
                <w:rFonts w:ascii="Arial" w:cs="Arial" w:eastAsia="Arial" w:hAnsi="Arial"/>
                <w:sz w:val="13"/>
                <w:szCs w:val="13"/>
                <w:color w:val="auto"/>
                <w:w w:val="76"/>
              </w:rPr>
              <w:t>—</w:t>
            </w:r>
          </w:p>
        </w:tc>
        <w:tc>
          <w:tcPr>
            <w:tcW w:w="100" w:type="dxa"/>
            <w:vAlign w:val="bottom"/>
            <w:tcBorders>
              <w:left w:val="single" w:sz="8" w:color="CFF0FC"/>
            </w:tcBorders>
            <w:shd w:val="clear" w:color="auto" w:fill="CFF0FC"/>
          </w:tcPr>
          <w:p>
            <w:pPr>
              <w:spacing w:after="0"/>
              <w:rPr>
                <w:sz w:val="17"/>
                <w:szCs w:val="17"/>
                <w:color w:val="auto"/>
              </w:rPr>
            </w:pPr>
          </w:p>
        </w:tc>
        <w:tc>
          <w:tcPr>
            <w:tcW w:w="660" w:type="dxa"/>
            <w:vAlign w:val="bottom"/>
            <w:shd w:val="clear" w:color="auto" w:fill="CFF0FC"/>
          </w:tcPr>
          <w:p>
            <w:pPr>
              <w:jc w:val="right"/>
              <w:ind w:right="517"/>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76"/>
              </w:rPr>
              <w:t>—</w:t>
            </w:r>
          </w:p>
        </w:tc>
        <w:tc>
          <w:tcPr>
            <w:tcW w:w="100" w:type="dxa"/>
            <w:vAlign w:val="bottom"/>
            <w:tcBorders>
              <w:left w:val="single" w:sz="8" w:color="CFF0FC"/>
            </w:tcBorders>
            <w:shd w:val="clear" w:color="auto" w:fill="CFF0FC"/>
          </w:tcPr>
          <w:p>
            <w:pPr>
              <w:spacing w:after="0"/>
              <w:rPr>
                <w:sz w:val="17"/>
                <w:szCs w:val="17"/>
                <w:color w:val="auto"/>
              </w:rPr>
            </w:pPr>
          </w:p>
        </w:tc>
        <w:tc>
          <w:tcPr>
            <w:tcW w:w="840" w:type="dxa"/>
            <w:vAlign w:val="bottom"/>
            <w:shd w:val="clear" w:color="auto" w:fill="CFF0FC"/>
          </w:tcPr>
          <w:p>
            <w:pPr>
              <w:jc w:val="right"/>
              <w:ind w:right="697"/>
              <w:spacing w:after="0"/>
              <w:rPr>
                <w:sz w:val="20"/>
                <w:szCs w:val="20"/>
                <w:color w:val="auto"/>
              </w:rPr>
            </w:pPr>
            <w:r>
              <w:rPr>
                <w:rFonts w:ascii="Arial" w:cs="Arial" w:eastAsia="Arial" w:hAnsi="Arial"/>
                <w:sz w:val="13"/>
                <w:szCs w:val="13"/>
                <w:color w:val="auto"/>
                <w:w w:val="82"/>
              </w:rPr>
              <w: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(3 ) $</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(98 )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(98 )</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-25400</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-25400</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514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603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59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-286385</wp:posOffset>
            </wp:positionV>
            <wp:extent cx="89535" cy="770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9535" cy="770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880" w:type="dxa"/>
            <w:vAlign w:val="bottom"/>
            <w:gridSpan w:val="4"/>
            <w:vMerge w:val="restart"/>
          </w:tcPr>
          <w:p>
            <w:pPr>
              <w:jc w:val="right"/>
              <w:ind w:right="117"/>
              <w:spacing w:after="0"/>
              <w:rPr>
                <w:sz w:val="20"/>
                <w:szCs w:val="20"/>
                <w:color w:val="auto"/>
              </w:rPr>
            </w:pPr>
            <w:r>
              <w:rPr>
                <w:rFonts w:ascii="Arial" w:cs="Arial" w:eastAsia="Arial" w:hAnsi="Arial"/>
                <w:sz w:val="13"/>
                <w:szCs w:val="13"/>
                <w:b w:val="1"/>
                <w:bCs w:val="1"/>
                <w:color w:val="auto"/>
                <w:w w:val="97"/>
              </w:rPr>
              <w:t>Convertible Preferred Stock</w:t>
            </w:r>
          </w:p>
        </w:tc>
        <w:tc>
          <w:tcPr>
            <w:tcW w:w="180" w:type="dxa"/>
            <w:vAlign w:val="bottom"/>
          </w:tcPr>
          <w:p>
            <w:pPr>
              <w:spacing w:after="0"/>
              <w:rPr>
                <w:sz w:val="14"/>
                <w:szCs w:val="14"/>
                <w:color w:val="auto"/>
              </w:rPr>
            </w:pPr>
          </w:p>
        </w:tc>
        <w:tc>
          <w:tcPr>
            <w:tcW w:w="1640" w:type="dxa"/>
            <w:vAlign w:val="bottom"/>
            <w:gridSpan w:val="3"/>
            <w:vMerge w:val="restart"/>
          </w:tcPr>
          <w:p>
            <w:pPr>
              <w:jc w:val="right"/>
              <w:ind w:right="25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vMerge w:val="restart"/>
          </w:tcPr>
          <w:p>
            <w:pPr>
              <w:jc w:val="right"/>
              <w:ind w:right="397"/>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gridSpan w:val="2"/>
            <w:vMerge w:val="restart"/>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Borders>
              <w:bottom w:val="single" w:sz="8" w:color="auto"/>
            </w:tcBorders>
            <w:gridSpan w:val="4"/>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88"/>
              </w:rPr>
              <w:t>Accumulated</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7"/>
        </w:trPr>
        <w:tc>
          <w:tcPr>
            <w:tcW w:w="2120" w:type="dxa"/>
            <w:vAlign w:val="bottom"/>
          </w:tcPr>
          <w:p>
            <w:pPr>
              <w:spacing w:after="0"/>
              <w:rPr>
                <w:sz w:val="15"/>
                <w:szCs w:val="15"/>
                <w:color w:val="auto"/>
              </w:rPr>
            </w:pPr>
          </w:p>
        </w:tc>
        <w:tc>
          <w:tcPr>
            <w:tcW w:w="9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2020</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12,647,934</w:t>
            </w:r>
          </w:p>
        </w:tc>
        <w:tc>
          <w:tcPr>
            <w:tcW w:w="26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169,548</w:t>
            </w:r>
          </w:p>
        </w:tc>
        <w:tc>
          <w:tcPr>
            <w:tcW w:w="180" w:type="dxa"/>
            <w:vAlign w:val="bottom"/>
            <w:tcBorders>
              <w:right w:val="single" w:sz="8" w:color="auto"/>
            </w:tcBorders>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5,593,240</w:t>
            </w:r>
          </w:p>
        </w:tc>
        <w:tc>
          <w:tcPr>
            <w:tcW w:w="760" w:type="dxa"/>
            <w:vAlign w:val="bottom"/>
            <w:gridSpan w:val="2"/>
            <w:shd w:val="clear" w:color="auto" w:fill="CFF0FC"/>
          </w:tcPr>
          <w:p>
            <w:pPr>
              <w:jc w:val="right"/>
              <w:ind w:right="53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22,600,000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(85 ) $</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(65,319 )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(65,249 )</w:t>
            </w:r>
          </w:p>
        </w:tc>
        <w:tc>
          <w:tcPr>
            <w:tcW w:w="0" w:type="dxa"/>
            <w:vAlign w:val="bottom"/>
          </w:tcPr>
          <w:p>
            <w:pPr>
              <w:spacing w:after="0"/>
              <w:rPr>
                <w:sz w:val="1"/>
                <w:szCs w:val="1"/>
                <w:color w:val="auto"/>
              </w:rPr>
            </w:pPr>
          </w:p>
        </w:tc>
      </w:tr>
      <w:tr>
        <w:trPr>
          <w:trHeight w:val="181"/>
        </w:trPr>
        <w:tc>
          <w:tcPr>
            <w:tcW w:w="2120" w:type="dxa"/>
            <w:vAlign w:val="bottom"/>
          </w:tcPr>
          <w:p>
            <w:pPr>
              <w:ind w:left="20"/>
              <w:spacing w:after="0"/>
              <w:rPr>
                <w:sz w:val="20"/>
                <w:szCs w:val="20"/>
                <w:color w:val="auto"/>
              </w:rPr>
            </w:pPr>
            <w:r>
              <w:rPr>
                <w:rFonts w:ascii="Arial" w:cs="Arial" w:eastAsia="Arial" w:hAnsi="Arial"/>
                <w:sz w:val="13"/>
                <w:szCs w:val="13"/>
                <w:color w:val="auto"/>
                <w:w w:val="99"/>
              </w:rPr>
              <w:t>Stock-based compensation expense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(38,700 )</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(38,700 )</w:t>
            </w: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vMerge w:val="restart"/>
          </w:tcPr>
          <w:p>
            <w:pPr>
              <w:ind w:left="20"/>
              <w:spacing w:after="0"/>
              <w:rPr>
                <w:sz w:val="20"/>
                <w:szCs w:val="20"/>
                <w:color w:val="auto"/>
              </w:rPr>
            </w:pPr>
            <w:r>
              <w:rPr>
                <w:rFonts w:ascii="Arial" w:cs="Arial" w:eastAsia="Arial" w:hAnsi="Arial"/>
                <w:sz w:val="13"/>
                <w:szCs w:val="13"/>
                <w:b w:val="1"/>
                <w:bCs w:val="1"/>
                <w:color w:val="auto"/>
              </w:rPr>
              <w:t>Balances at March 31, 2021</w:t>
            </w: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12,647,934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169,548</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5,593,240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22,600,000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(85 )</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(104,019 )</w:t>
            </w:r>
          </w:p>
        </w:tc>
        <w:tc>
          <w:tcPr>
            <w:tcW w:w="1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(103,362 )</w:t>
            </w: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Series C convertible</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0"/>
              </w:rPr>
              <w:t>preferred stock, net of issuance costs of</w:t>
            </w: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$337</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4,296,550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335,163</w:t>
            </w:r>
          </w:p>
        </w:tc>
        <w:tc>
          <w:tcPr>
            <w:tcW w:w="180" w:type="dxa"/>
            <w:vAlign w:val="bottom"/>
            <w:tcBorders>
              <w:right w:val="single" w:sz="8" w:color="auto"/>
            </w:tcBorders>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12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6,000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common stock</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from early-exercised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120" w:type="dxa"/>
            <w:vAlign w:val="bottom"/>
          </w:tcPr>
          <w:p>
            <w:pPr>
              <w:ind w:left="20"/>
              <w:spacing w:after="0"/>
              <w:rPr>
                <w:sz w:val="20"/>
                <w:szCs w:val="20"/>
                <w:color w:val="auto"/>
              </w:rPr>
            </w:pPr>
            <w:r>
              <w:rPr>
                <w:rFonts w:ascii="Arial" w:cs="Arial" w:eastAsia="Arial" w:hAnsi="Arial"/>
                <w:sz w:val="13"/>
                <w:szCs w:val="13"/>
                <w:color w:val="auto"/>
                <w:w w:val="99"/>
              </w:rPr>
              <w:t>Stock-based compensation expense</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3,342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Retirement of treasury stock</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(22,600,000 )</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(85 )</w:t>
            </w:r>
          </w:p>
        </w:tc>
        <w:tc>
          <w:tcPr>
            <w:tcW w:w="12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120" w:type="dxa"/>
            <w:vAlign w:val="bottom"/>
          </w:tcPr>
          <w:p>
            <w:pPr>
              <w:ind w:left="20"/>
              <w:spacing w:after="0"/>
              <w:rPr>
                <w:sz w:val="20"/>
                <w:szCs w:val="20"/>
                <w:color w:val="auto"/>
              </w:rPr>
            </w:pPr>
            <w:r>
              <w:rPr>
                <w:rFonts w:ascii="Arial" w:cs="Arial" w:eastAsia="Arial" w:hAnsi="Arial"/>
                <w:sz w:val="13"/>
                <w:szCs w:val="13"/>
                <w:color w:val="auto"/>
              </w:rPr>
              <w:t>Net loss</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(44,673 )</w:t>
            </w:r>
          </w:p>
        </w:tc>
        <w:tc>
          <w:tcPr>
            <w:tcW w:w="1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(44,673 )</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June 30, 2021</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16,944,484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504,711</w:t>
            </w:r>
          </w:p>
        </w:tc>
        <w:tc>
          <w:tcPr>
            <w:tcW w:w="180" w:type="dxa"/>
            <w:vAlign w:val="bottom"/>
            <w:tcBorders>
              <w:right w:val="single" w:sz="8" w:color="CFF0FC"/>
            </w:tcBorders>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5,599,240</w:t>
            </w: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3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  $</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(148,692 )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(144,624 )</w:t>
            </w: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-1316355</wp:posOffset>
            </wp:positionV>
            <wp:extent cx="342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-286385</wp:posOffset>
            </wp:positionV>
            <wp:extent cx="89535" cy="299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9535" cy="29972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-24765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ADAGIO THERAPEUTICS,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Period from</w:t>
            </w:r>
          </w:p>
        </w:tc>
      </w:tr>
      <w:tr>
        <w:trPr>
          <w:trHeight w:val="175"/>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June 3, 2020</w:t>
            </w:r>
          </w:p>
        </w:tc>
      </w:tr>
      <w:tr>
        <w:trPr>
          <w:trHeight w:val="176"/>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(Inception) to</w:t>
            </w:r>
          </w:p>
        </w:tc>
      </w:tr>
      <w:tr>
        <w:trPr>
          <w:trHeight w:val="192"/>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2021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 2020</w:t>
            </w:r>
          </w:p>
        </w:tc>
      </w:tr>
      <w:tr>
        <w:trPr>
          <w:trHeight w:val="25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auto"/>
            </w:tcBorders>
            <w:shd w:val="clear" w:color="auto" w:fill="CFF0FC"/>
          </w:tcPr>
          <w:p>
            <w:pPr>
              <w:spacing w:after="0"/>
              <w:rPr>
                <w:sz w:val="22"/>
                <w:szCs w:val="22"/>
                <w:color w:val="auto"/>
              </w:rPr>
            </w:pPr>
          </w:p>
        </w:tc>
        <w:tc>
          <w:tcPr>
            <w:tcW w:w="14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3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(83,373 )</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(98 )</w:t>
            </w: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payments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(1,146 )</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57"/>
        </w:trPr>
        <w:tc>
          <w:tcPr>
            <w:tcW w:w="76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21,054</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00" w:type="dxa"/>
            <w:vAlign w:val="bottom"/>
          </w:tcPr>
          <w:p>
            <w:pPr>
              <w:ind w:left="2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(57,311 )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shd w:val="clear" w:color="auto" w:fill="CFF0FC"/>
          </w:tcPr>
          <w:p>
            <w:pPr>
              <w:spacing w:after="0"/>
              <w:rPr>
                <w:sz w:val="22"/>
                <w:szCs w:val="22"/>
                <w:color w:val="auto"/>
              </w:rPr>
            </w:pPr>
          </w:p>
        </w:tc>
        <w:tc>
          <w:tcPr>
            <w:tcW w:w="14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3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 paid</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335,264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Payments of initial public offering costs</w:t>
            </w:r>
          </w:p>
        </w:tc>
        <w:tc>
          <w:tcPr>
            <w:tcW w:w="24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(432 )</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0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334,832</w:t>
            </w:r>
          </w:p>
        </w:tc>
        <w:tc>
          <w:tcPr>
            <w:tcW w:w="10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1"/>
                <w:szCs w:val="21"/>
                <w:color w:val="auto"/>
              </w:rPr>
            </w:pPr>
          </w:p>
        </w:tc>
      </w:tr>
      <w:tr>
        <w:trPr>
          <w:trHeight w:val="25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277,521</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392,509</w:t>
            </w:r>
          </w:p>
        </w:tc>
        <w:tc>
          <w:tcPr>
            <w:tcW w:w="100" w:type="dxa"/>
            <w:vAlign w:val="bottom"/>
            <w:shd w:val="clear" w:color="auto" w:fill="CFF0FC"/>
          </w:tcPr>
          <w:p>
            <w:pPr>
              <w:spacing w:after="0"/>
              <w:rPr>
                <w:sz w:val="24"/>
                <w:szCs w:val="24"/>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offering and issuance costs included in accounts payable and accrued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-1693545</wp:posOffset>
            </wp:positionV>
            <wp:extent cx="17970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-1693545</wp:posOffset>
            </wp:positionV>
            <wp:extent cx="5969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-1024890</wp:posOffset>
            </wp:positionV>
            <wp:extent cx="1797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-1024890</wp:posOffset>
            </wp:positionV>
            <wp:extent cx="5969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-350520</wp:posOffset>
            </wp:positionV>
            <wp:extent cx="1797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-334010</wp:posOffset>
            </wp:positionV>
            <wp:extent cx="1797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-350520</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-334010</wp:posOffset>
            </wp:positionV>
            <wp:extent cx="59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ADAGIO THERAPEUTICS, INC.</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3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Adagio Therapeutics, Inc., together with its consolidated subsidiary (the “Company”), is a clinical-stage biopharmaceutical company focused on the discovery, development and commercialization of antibody-based solutions for infectious diseases with pandemic potential. The Company’s initial focus is on the virus SARS-CoV-2, its variants and the disease caused by this virus, which is known as coronavirus disease 2019 (“COVID-19”). The Company initiated clinical trials for its lead product candidate, ADG20, in February 2021. ADG20 is designed to be a potent, long-acting and broadly neutralizing antibody for both the treatment and prevention of COVID-19 as either a single or combination agent. The Company was incorporated in the State of Delaware in June 2020. The Company operates as a virtual company and plans to maintain a corporate headquarters for general and administrative purposes only. In addition, the Company engages third parties, including Adimab, LLC (“Adimab”), to perform ongoing research and development and other services on its behalf.</w:t>
      </w:r>
    </w:p>
    <w:p>
      <w:pPr>
        <w:spacing w:after="0" w:line="8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manufacturing, clinical and commercial success of its product candidates.</w:t>
      </w:r>
    </w:p>
    <w:p>
      <w:pPr>
        <w:spacing w:after="0" w:line="83"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On August 10, 2021, the Company completed its initial public offering (“IPO”) pursuant to which it issued and sold 20,930,000 shares of its common stock, including 2,730,000 shares pursuant to the full exercise of the underwriters’ option to purchase additional shares. The aggregate net proceeds received by the Company from the IPO were approximately $330.9 million, after deducting underwriting discounts and commissions of $24.9 million, but before deducting offering expenses payable by the Company, which are estimated to be $3.8 million. Upon the closing of the IPO, all shares of the Company’s convertible preferred stock then outstanding converted into 84,722,420 shares of common stock (see Note 15).</w:t>
      </w:r>
    </w:p>
    <w:p>
      <w:pPr>
        <w:spacing w:after="0" w:line="66"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The accompanying condensed consolidated financial statements have been prepared on the basis of continuity of operations, realization of assets and the satisfaction of liabilities and commitments in the ordinary course of business. Since inception, the Company has funded its operations primarily with proceeds from sales of convertible preferred stock, and most recently, with proceeds from the IPO. The Company has incurred recurring losses since inception, including net losses of $83.4 million for six months ended June 30, 2021 and $65.3 million for the period from inception through December 31, 2020. As of June 30, 2021, the Company had an accumulated deficit of $148.7 million. The Company expects to continue to generate operating losses for the foreseeable future. As of September 20, 2021, the issuance date of these interim condensed consolidated financial statements, the Company expects that its cash, cash equivalents, and short-term investments will be sufficient to fund its operating expenses and capital expenditure requirements for at least 12 months from the issuance date of the interim condensed consolidated financial statements. The future viability of the Company beyond that point is dependent on its ability to raise additional capital to finance its operations. The Company expects to seek additional funding through private equity financings,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 If the Company is unable to continue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3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 continued emergence of variants of concern, the availability, administration and acceptance of vaccines, monoclonal antibodies and other treatment modalities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both"/>
        <w:ind w:firstLine="509"/>
        <w:spacing w:after="0" w:line="304" w:lineRule="auto"/>
        <w:rPr>
          <w:sz w:val="20"/>
          <w:szCs w:val="20"/>
          <w:color w:val="auto"/>
        </w:rPr>
      </w:pPr>
      <w:r>
        <w:rPr>
          <w:rFonts w:ascii="Arial" w:cs="Arial" w:eastAsia="Arial" w:hAnsi="Arial"/>
          <w:sz w:val="16"/>
          <w:szCs w:val="16"/>
          <w:color w:val="auto"/>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ultimate extent of the impact of the COVID-19 pandemic on the Company’s business, financial condition, operations and product development timelines and plans remains highly uncertain and will depend on future developments, including the duration and spread of the outbreak and the continued emergence of variants (such as the Delta variant) and the impact on the Company’s clinical trial design and enrollment, trial sites, contract research organizations, contract manufacturing organizations and other third parties with which it does business, as well as its impact on regulatory authorities and the Company’s key scientific and management personnel. To date, the Company has not experienced significant delays or disruptions in its development activities as a result of the COVID-19 pandemic but may in the future as the outbreak progresses and some of its contract research organizations, contract manufacturing organizations and other service providers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may materially adversely affect the Company’s results and operations and its ability to raise capital.</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Company’s condensed consolidated financial statements have been prepared in conformity with accounting principles generally accepted in the United States of America (“U.S. GAAP”).</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subsidiary, Adagio Therapeutics Security Corporation. All intercompany accounts and transactions have been eliminated in consolidation. The Company views its operations and manages its business in one operating segment, which is the business of discovering, developing and commercializing antibody-based solutions for infectious diseases.</w:t>
      </w:r>
    </w:p>
    <w:p>
      <w:pPr>
        <w:spacing w:after="0" w:line="73" w:lineRule="exact"/>
        <w:rPr>
          <w:sz w:val="20"/>
          <w:szCs w:val="20"/>
          <w:color w:val="auto"/>
        </w:rPr>
      </w:pPr>
    </w:p>
    <w:p>
      <w:pPr>
        <w:jc w:val="right"/>
        <w:ind w:left="520" w:right="7600" w:hanging="512"/>
        <w:spacing w:after="0" w:line="442" w:lineRule="auto"/>
        <w:tabs>
          <w:tab w:leader="none" w:pos="19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Unaudited Interim Financial Information</w:t>
      </w:r>
    </w:p>
    <w:p>
      <w:pPr>
        <w:spacing w:after="0" w:line="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accompanying condensed consolidated balance sheet as of December 31, 2020 was derived from audited financial statements but does not include all disclosures required by U.S. GAAP. The accompanying unaudited condensed consolidated financial statements as of June 30, 2021 and for the three and six months ended June 30, 2021 and for the period from June 3, 2020 (inception) to June 30, 2020 have been prepared by the Company pursuant to the rules and regulations of the Securities and Exchange Commission (“SEC”) for interim financial statements. The period from June 3, 2020 (inception) to June 30, 2020 is the same for the three and six month period ended June 30, 2020 and therefore the related financial information is presented once within the Form 10-Q.</w:t>
      </w:r>
    </w:p>
    <w:p>
      <w:pPr>
        <w:spacing w:after="0" w:line="8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U.S. GAAP have been condensed or omitted pursuant to such rules and regulations. These condensed consolidated financial statements should be read in conjunction with the Company’s audited consolidated financial statements and the notes thereto for the year ended December 31, 2020 included in the Company’s final prospectus for the IPO filed with the SEC pursuant to Rule 424(b)(4) under the Securities Act of 1933, as amended, on August 6, 2021. In the opinion of management, all adjustments, consisting only of normal recurring adjustments necessary for a fair statement of the Company’s consolidated financial position as of June 30, 2021 and consolidated results of operations for the three and six months ended June 30, 2021 and for the period from June 3, 2020 (inception) to June 30, 2020 and the consolidated cash flows for the six months ended June 30, 2021 and for the period from June 3, 2020 (inception) to June 30, 2020 have been made. The Company’s consolidated results of operations for the three and six months ended June 30, 2021 are not necessarily indicative of the results of operations that may be expected for the year ending December 31,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and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7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the issuance date of these condensed consolidated financial statements. These estimates may change as new events occur and additional information is obtained.</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8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or “ASC 842”), as subsequently amended. ASC 842 sets forth the principles for the recognition, measurement, presentation and disclosure of leases for both parties to a contract (i.e., lessees and lessors). ASC 842 replaces the existing guidance in ASC No.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ASC 842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In addition, a lessee is also required to record (i) a right-of-use asset and a lease liability on its balance 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ASC 842 also requires lessees and lessors to disclose key information about their leasing transactions.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entities. For public entities, ASU 2016-02 was effective for annual periods beginning after December 15, 2018, including interim periods within those fiscal years. In June 2020, the FASB issued ASU No. 2020-05, </w:t>
      </w:r>
      <w:r>
        <w:rPr>
          <w:rFonts w:ascii="Arial" w:cs="Arial" w:eastAsia="Arial" w:hAnsi="Arial"/>
          <w:sz w:val="16"/>
          <w:szCs w:val="16"/>
          <w:i w:val="1"/>
          <w:iCs w:val="1"/>
          <w:color w:val="auto"/>
        </w:rPr>
        <w:t>Revenue from Contracts with Customers (Topic</w:t>
      </w:r>
    </w:p>
    <w:p>
      <w:pPr>
        <w:spacing w:after="0" w:line="5" w:lineRule="exact"/>
        <w:rPr>
          <w:sz w:val="20"/>
          <w:szCs w:val="20"/>
          <w:color w:val="auto"/>
        </w:rPr>
      </w:pPr>
    </w:p>
    <w:p>
      <w:pPr>
        <w:jc w:val="both"/>
        <w:ind w:firstLine="8"/>
        <w:spacing w:after="0" w:line="272" w:lineRule="auto"/>
        <w:tabs>
          <w:tab w:leader="none" w:pos="399"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and Leases (Topic 842): Effective Dates for Certain Entities </w:t>
      </w:r>
      <w:r>
        <w:rPr>
          <w:rFonts w:ascii="Arial" w:cs="Arial" w:eastAsia="Arial" w:hAnsi="Arial"/>
          <w:sz w:val="18"/>
          <w:szCs w:val="18"/>
          <w:color w:val="auto"/>
        </w:rPr>
        <w:t>(“ASU 2020-05”), which delayed the adoption date of ASU 2016-02 for nonpublic</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For nonpublic entities, ASU 2016-02 is effective for annual periods beginning after December 15, 2021, including interim periods within annual periods beginning after December 15, 2022. Early adoption is permitted, including in an interim period. Entities are required to adopt ASC 842 using a modified retrospective transition method. The Company is currently evaluating the potential impact that the adoption of this standard may have on its consolidated financial statements and related disclosures.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 w:name="page10"/>
    <w:bookmarkEnd w:id="9"/>
    <w:p>
      <w:pPr>
        <w:jc w:val="both"/>
        <w:ind w:firstLine="509"/>
        <w:spacing w:after="0" w:line="284"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and also issued subsequent amendments to the initial guidance: ASU 2018-19, ASU 2019-04 and ASU 2019-05</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“Topic 326”). The main objective of this update is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guidance with a methodology that reflects expected credit losses and requires consideration of a broader range of reasonable and supportable information to inform credit loss estimates. Under ASU 2016-13, expected credit losses relating to financial assets measured on an amortized cost basis and available-for-sale debt securities are required to be recorded through an allowance for credit losses. The update also limits the amount of credit losses to be recognized for available-for-sale debt securities to the amount by which the carrying value exceeds fair value. The measurement of expected credit losses will be based on relevant information about past events, including historical experience, current conditions and reasonable and supportable forecasts that affect the collectability of the reported amount. ASU 2016-13 also establishes additional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Early adoption is permitted. In November 2019, the FASB issued ASU No. 2019-10, which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77"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(“ASU 2018-15”). The amendments in ASU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2018-15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update requires entities in a hosting arrangement that is a service contract to follow the guidance in ASC 350-40, </w:t>
      </w:r>
      <w:r>
        <w:rPr>
          <w:rFonts w:ascii="Arial" w:cs="Arial" w:eastAsia="Arial" w:hAnsi="Arial"/>
          <w:sz w:val="16"/>
          <w:szCs w:val="16"/>
          <w:i w:val="1"/>
          <w:iCs w:val="1"/>
          <w:color w:val="auto"/>
        </w:rPr>
        <w:t>Internal-Use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w:t>
      </w:r>
      <w:r>
        <w:rPr>
          <w:rFonts w:ascii="Arial" w:cs="Arial" w:eastAsia="Arial" w:hAnsi="Arial"/>
          <w:sz w:val="16"/>
          <w:szCs w:val="16"/>
          <w:color w:val="auto"/>
        </w:rPr>
        <w:t>(“ASC 350-40”) to determine which implementation costs to capitalize as an asset related to the service contract and which costs to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Costs to develop or obtain internal-use software that cannot be capitalized under ASC 350-40, such as training costs and certain data conversion costs, also cannot be capitalized for a hosting arrangement that is a service contract. Therefore, an entity in a hosting arrangement that is a service contract determines which project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ASU 2018-15 also requires entities to expense the capitalized implementation costs of a hosting arrangement that is a service contract over the term of the hosting arrangement. ASU 2018-15 was effective for public entities for annual periods beginning after December 15, 2019, including interim periods within those fiscal years. For nonpublic entities, ASU 2018-15 is effective for annual reporting periods beginning after December 15, 2020, and interim periods within annual periods beginning after December 15, 2021. Early adoption is permitted, including adoption in any interim period. ASU 2018-15 is applied either retrospectively or prospectively to all implementation costs incurred after the date of adoption. The Company is currently evaluating the potential impact that the adoption of this standard may have on its consolidated financial statements and related disclosures.</w:t>
      </w:r>
    </w:p>
    <w:p>
      <w:pPr>
        <w:spacing w:after="0" w:line="6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ASU 2019-12 eliminates certain exceptions related to the approach for intraperiod tax allocation, the methodology for calculating income taxes in an interim period and the recognition of deferred tax liabilities for outside basis differences. The update also clarifies and simplifies other aspects of the accounting for income taxes. For public entities, ASU 2019-12 is required to be adopted for annual periods beginning after December 15, 2020, including interim periods within those fiscal years. For nonpublic entities, ASU 2019-12 is effective for annual periods beginning after December 15, 2021, and interim periods within fiscal years beginning after December 15, 2022. Early adoption is permitted, including adoption in any interim period for which financial statements have not yet been issued or made available for issuance. An entity that elects to early adopt the update in an interim period should reflect any adjustments as of the beginning of the annual period that includes that interim period. Additionally, an entity that elects early adoption must adopt all the amendments in the update in the same period. The Company is currently evaluating the potential impact that the adoption of this standard may have on its consolidated financial statements and related disclosures.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 w:name="page11"/>
    <w:bookmarkEnd w:id="10"/>
    <w:p>
      <w:pPr>
        <w:jc w:val="both"/>
        <w:ind w:firstLine="509"/>
        <w:spacing w:after="0" w:line="285"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Hedging—Contracts in Entity’s Own Equity (Subtopic 815-40): Accounting for Convertible Instruments and Contracts in an Entity’s Own Equity </w:t>
      </w:r>
      <w:r>
        <w:rPr>
          <w:rFonts w:ascii="Arial" w:cs="Arial" w:eastAsia="Arial" w:hAnsi="Arial"/>
          <w:sz w:val="17"/>
          <w:szCs w:val="17"/>
          <w:color w:val="auto"/>
        </w:rPr>
        <w:t>(“ASU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2020-06”). ASU 2020-06 was issued to reduce the complexity associated with accounting for certain financial instruments with characteristics of liabilities and equity. ASU 2020-06 reduces the number of accounting models for convertible debt instruments and convertible preferred stock and improves the disclosures for convertible instruments and related earnings per share guidance. ASU 2020-06 also amends the guidance for the derivatives scope exception for contracts in an entity’s own equity and improves and amends the related earnings per share guidance. For public entities that qualify as a filer with the Securities and Exchange Commission, excluding entities eligible to be smaller reporting companies, ASU 2020-06 is effective for fiscal annual periods beginning after December 15, 2021, including interim periods within those fiscal years. For nonpublic entities, ASU 2020-06 is effective for fiscal years beginning after December 15, 2023, including interim periods within those fiscal years. Early adoption is permitted, but no earlier than fiscal years beginning after December 15, 2020, including interim periods within those fiscal years. ASU 2020-06 must be adopted as of the beginning of its annual fiscal year. ASU 2020-06 may be adopted through either a modified retrospective method of transition or a fully retrospective method of transition. The Company is currently evaluating the potential impact that the adoption of this standard may have on its consolidated financial statements and related disclosures.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 w:name="page12"/>
    <w:bookmarkEnd w:id="11"/>
    <w:p>
      <w:pPr>
        <w:ind w:left="520" w:right="8800" w:hanging="512"/>
        <w:spacing w:after="0" w:line="472" w:lineRule="auto"/>
        <w:tabs>
          <w:tab w:leader="none" w:pos="191"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Measurements </w:t>
      </w:r>
      <w:r>
        <w:rPr>
          <w:rFonts w:ascii="Arial" w:cs="Arial" w:eastAsia="Arial" w:hAnsi="Arial"/>
          <w:sz w:val="15"/>
          <w:szCs w:val="15"/>
          <w:b w:val="1"/>
          <w:bCs w:val="1"/>
          <w:i w:val="1"/>
          <w:iCs w:val="1"/>
          <w:color w:val="auto"/>
        </w:rPr>
        <w:t>Fair Value Measurements</w:t>
      </w:r>
    </w:p>
    <w:p>
      <w:pPr>
        <w:spacing w:after="0" w:line="1"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2" w:lineRule="exact"/>
        <w:rPr>
          <w:sz w:val="20"/>
          <w:szCs w:val="20"/>
          <w:color w:val="auto"/>
        </w:rPr>
      </w:pPr>
    </w:p>
    <w:p>
      <w:pPr>
        <w:ind w:left="1040" w:hanging="560"/>
        <w:spacing w:after="0"/>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65" w:lineRule="exact"/>
        <w:rPr>
          <w:rFonts w:ascii="Arial" w:cs="Arial" w:eastAsia="Arial" w:hAnsi="Arial"/>
          <w:sz w:val="18"/>
          <w:szCs w:val="18"/>
          <w:color w:val="auto"/>
        </w:rPr>
      </w:pPr>
    </w:p>
    <w:p>
      <w:pPr>
        <w:jc w:val="both"/>
        <w:ind w:left="1040" w:right="20" w:hanging="560"/>
        <w:spacing w:after="0" w:line="279"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209" w:lineRule="exact"/>
        <w:rPr>
          <w:rFonts w:ascii="Arial" w:cs="Arial" w:eastAsia="Arial" w:hAnsi="Arial"/>
          <w:sz w:val="18"/>
          <w:szCs w:val="18"/>
          <w:color w:val="auto"/>
        </w:rPr>
      </w:pPr>
    </w:p>
    <w:p>
      <w:pPr>
        <w:ind w:left="1040" w:right="20" w:hanging="573"/>
        <w:spacing w:after="0" w:line="29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7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3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5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June 30, 2021:</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5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Money market fund</w:t>
            </w: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316,593</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gridSpan w:val="2"/>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316,593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72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316,593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spacing w:after="0"/>
              <w:rPr>
                <w:sz w:val="21"/>
                <w:szCs w:val="21"/>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316,593</w:t>
            </w:r>
          </w:p>
        </w:tc>
        <w:tc>
          <w:tcPr>
            <w:tcW w:w="100" w:type="dxa"/>
            <w:vAlign w:val="bottom"/>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7"/>
        </w:trPr>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2"/>
        </w:trPr>
        <w:tc>
          <w:tcPr>
            <w:tcW w:w="5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December 31, 2020:</w:t>
            </w: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72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5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Money market fund</w:t>
            </w:r>
          </w:p>
        </w:tc>
        <w:tc>
          <w:tcPr>
            <w:tcW w:w="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39,006</w:t>
            </w:r>
          </w:p>
        </w:tc>
        <w:tc>
          <w:tcPr>
            <w:tcW w:w="20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gridSpan w:val="2"/>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720" w:type="dxa"/>
            <w:vAlign w:val="bottom"/>
          </w:tcPr>
          <w:p>
            <w:pPr>
              <w:spacing w:after="0"/>
              <w:rPr>
                <w:sz w:val="21"/>
                <w:szCs w:val="21"/>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39,006</w:t>
            </w:r>
          </w:p>
        </w:tc>
        <w:tc>
          <w:tcPr>
            <w:tcW w:w="200" w:type="dxa"/>
            <w:vAlign w:val="bottom"/>
          </w:tcPr>
          <w:p>
            <w:pPr>
              <w:spacing w:after="0"/>
              <w:rPr>
                <w:sz w:val="21"/>
                <w:szCs w:val="21"/>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699"/>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39,006</w:t>
            </w:r>
          </w:p>
        </w:tc>
        <w:tc>
          <w:tcPr>
            <w:tcW w:w="100" w:type="dxa"/>
            <w:vAlign w:val="bottom"/>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-1436370</wp:posOffset>
            </wp:positionV>
            <wp:extent cx="14541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-1436370</wp:posOffset>
            </wp:positionV>
            <wp:extent cx="14605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-1436370</wp:posOffset>
            </wp:positionV>
            <wp:extent cx="12890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-1436370</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-193675</wp:posOffset>
            </wp:positionV>
            <wp:extent cx="15430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-193675</wp:posOffset>
            </wp:positionV>
            <wp:extent cx="13716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-193675</wp:posOffset>
            </wp:positionV>
            <wp:extent cx="13716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The money market fund was valued by the Company based on quoted market prices, which represent a Level 1 measurement within the fair value hierarchy. There were no changes to the valuation methods during the three and six months ended June 30, 2021 and for the period from June 3, 2020 (inception) to June 30, 2020. The Company evaluates transfers between levels at the end of each reporting period. There were no transfers into or out of Level 3 fair value measurements during the three and six months ended June 30, 2021 and for the period from June 3, 2020 (inception) to June 30, 2020.</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Prepaid external research, development and manufacturing costs</w:t>
            </w:r>
          </w:p>
        </w:tc>
        <w:tc>
          <w:tcPr>
            <w:tcW w:w="3680" w:type="dxa"/>
            <w:vAlign w:val="bottom"/>
            <w:gridSpan w:val="2"/>
            <w:shd w:val="clear" w:color="auto" w:fill="CFF0FC"/>
          </w:tcPr>
          <w:p>
            <w:pPr>
              <w:jc w:val="right"/>
              <w:ind w:right="94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2,843</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00" w:type="dxa"/>
            <w:vAlign w:val="bottom"/>
          </w:tcPr>
          <w:p>
            <w:pPr>
              <w:ind w:left="20"/>
              <w:spacing w:after="0"/>
              <w:rPr>
                <w:sz w:val="20"/>
                <w:szCs w:val="20"/>
                <w:color w:val="auto"/>
              </w:rPr>
            </w:pPr>
            <w:r>
              <w:rPr>
                <w:rFonts w:ascii="Arial" w:cs="Arial" w:eastAsia="Arial" w:hAnsi="Arial"/>
                <w:sz w:val="18"/>
                <w:szCs w:val="18"/>
                <w:color w:val="auto"/>
              </w:rPr>
              <w:t>Prepaid compensation and related expenses</w:t>
            </w:r>
          </w:p>
        </w:tc>
        <w:tc>
          <w:tcPr>
            <w:tcW w:w="2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3680" w:type="dxa"/>
            <w:vAlign w:val="bottom"/>
            <w:gridSpan w:val="2"/>
          </w:tcPr>
          <w:p>
            <w:pPr>
              <w:jc w:val="right"/>
              <w:ind w:right="94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3,550</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540" w:type="dxa"/>
            <w:vAlign w:val="bottom"/>
            <w:vMerge w:val="restart"/>
          </w:tcPr>
          <w:p>
            <w:pPr>
              <w:jc w:val="right"/>
              <w:ind w:right="1830"/>
              <w:spacing w:after="0"/>
              <w:rPr>
                <w:sz w:val="20"/>
                <w:szCs w:val="20"/>
                <w:color w:val="auto"/>
              </w:rPr>
            </w:pPr>
            <w:r>
              <w:rPr>
                <w:rFonts w:ascii="Arial" w:cs="Arial" w:eastAsia="Arial" w:hAnsi="Arial"/>
                <w:sz w:val="18"/>
                <w:szCs w:val="18"/>
                <w:color w:val="auto"/>
              </w:rPr>
              <w:t>10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-708025</wp:posOffset>
            </wp:positionV>
            <wp:extent cx="1803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-708025</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Accrued Expenses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r>
      <w:tr>
        <w:trPr>
          <w:trHeight w:val="192"/>
        </w:trPr>
        <w:tc>
          <w:tcPr>
            <w:tcW w:w="51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Accrued external research, development and manufacturing costs</w:t>
            </w:r>
          </w:p>
        </w:tc>
        <w:tc>
          <w:tcPr>
            <w:tcW w:w="35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23,643</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100" w:type="dxa"/>
            <w:vAlign w:val="bottom"/>
            <w:shd w:val="clear" w:color="auto" w:fill="CFF0FC"/>
          </w:tcPr>
          <w:p>
            <w:pPr>
              <w:spacing w:after="0"/>
              <w:rPr>
                <w:sz w:val="22"/>
                <w:szCs w:val="22"/>
                <w:color w:val="auto"/>
              </w:rPr>
            </w:pP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Accrued professional and consultant fees</w:t>
            </w:r>
          </w:p>
        </w:tc>
        <w:tc>
          <w:tcPr>
            <w:tcW w:w="2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2,262</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w:t>
            </w:r>
          </w:p>
        </w:tc>
        <w:tc>
          <w:tcPr>
            <w:tcW w:w="25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FF0FC"/>
          </w:tcPr>
          <w:p>
            <w:pPr>
              <w:spacing w:after="0"/>
              <w:rPr>
                <w:sz w:val="22"/>
                <w:szCs w:val="22"/>
                <w:color w:val="auto"/>
              </w:rPr>
            </w:pP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Other</w:t>
            </w:r>
          </w:p>
        </w:tc>
        <w:tc>
          <w:tcPr>
            <w:tcW w:w="25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r>
      <w:tr>
        <w:trPr>
          <w:trHeight w:val="290"/>
        </w:trPr>
        <w:tc>
          <w:tcPr>
            <w:tcW w:w="5140" w:type="dxa"/>
            <w:vAlign w:val="bottom"/>
            <w:shd w:val="clear" w:color="auto" w:fill="CFF0FC"/>
          </w:tcPr>
          <w:p>
            <w:pPr>
              <w:spacing w:after="0"/>
              <w:rPr>
                <w:sz w:val="24"/>
                <w:szCs w:val="24"/>
                <w:color w:val="auto"/>
              </w:rPr>
            </w:pPr>
          </w:p>
        </w:tc>
        <w:tc>
          <w:tcPr>
            <w:tcW w:w="358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27,181</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FF0FC"/>
          </w:tcPr>
          <w:p>
            <w:pPr>
              <w:spacing w:after="0"/>
              <w:rPr>
                <w:sz w:val="24"/>
                <w:szCs w:val="24"/>
                <w:color w:val="auto"/>
              </w:rPr>
            </w:pPr>
          </w:p>
        </w:tc>
      </w:tr>
      <w:tr>
        <w:trPr>
          <w:trHeight w:val="662"/>
        </w:trPr>
        <w:tc>
          <w:tcPr>
            <w:tcW w:w="5140" w:type="dxa"/>
            <w:vAlign w:val="bottom"/>
            <w:tcBorders>
              <w:top w:val="single" w:sz="8" w:color="CFF0FC"/>
            </w:tcBorders>
          </w:tcPr>
          <w:p>
            <w:pPr>
              <w:spacing w:after="0"/>
              <w:rPr>
                <w:sz w:val="24"/>
                <w:szCs w:val="24"/>
                <w:color w:val="auto"/>
              </w:rPr>
            </w:pPr>
          </w:p>
        </w:tc>
        <w:tc>
          <w:tcPr>
            <w:tcW w:w="2500" w:type="dxa"/>
            <w:vAlign w:val="bottom"/>
            <w:tcBorders>
              <w:top w:val="single" w:sz="8" w:color="CFF0FC"/>
            </w:tcBorders>
          </w:tcPr>
          <w:p>
            <w:pPr>
              <w:jc w:val="right"/>
              <w:ind w:right="1830"/>
              <w:spacing w:after="0"/>
              <w:rPr>
                <w:sz w:val="20"/>
                <w:szCs w:val="20"/>
                <w:color w:val="auto"/>
              </w:rPr>
            </w:pPr>
            <w:r>
              <w:rPr>
                <w:rFonts w:ascii="Arial" w:cs="Arial" w:eastAsia="Arial" w:hAnsi="Arial"/>
                <w:sz w:val="18"/>
                <w:szCs w:val="18"/>
                <w:color w:val="auto"/>
              </w:rPr>
              <w:t>11</w:t>
            </w:r>
          </w:p>
        </w:tc>
        <w:tc>
          <w:tcPr>
            <w:tcW w:w="10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-539750</wp:posOffset>
            </wp:positionV>
            <wp:extent cx="1803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-522605</wp:posOffset>
            </wp:positionV>
            <wp:extent cx="1803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-539750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left="520" w:right="8060" w:hanging="512"/>
        <w:spacing w:after="0" w:line="442" w:lineRule="auto"/>
        <w:tabs>
          <w:tab w:leader="none" w:pos="191"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and Collaboration Agreements </w:t>
      </w:r>
      <w:r>
        <w:rPr>
          <w:rFonts w:ascii="Arial" w:cs="Arial" w:eastAsia="Arial" w:hAnsi="Arial"/>
          <w:sz w:val="16"/>
          <w:szCs w:val="16"/>
          <w:b w:val="1"/>
          <w:bCs w:val="1"/>
          <w:i w:val="1"/>
          <w:iCs w:val="1"/>
          <w:color w:val="auto"/>
        </w:rPr>
        <w:t>Adimab Assignment Agreement</w:t>
      </w:r>
    </w:p>
    <w:p>
      <w:pPr>
        <w:spacing w:after="0" w:line="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In July 2020, the Company entered into an Assignment and License Agreement with Adimab (“Adimab Assignment Agreement”). Under the terms of the agreement, Adimab assigned to the Company all rights, title and interest in and to certain of its coronavirus-specific antibodies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70"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 xml:space="preserve">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21,250,000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however, milestone payments do not accrue for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consisting of or containing CoV Antibodies.</w:t>
      </w:r>
    </w:p>
    <w:p>
      <w:pPr>
        <w:spacing w:after="0" w:line="8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February 2021, the Company achieved the first specified milestone under the agreement upon dosing of the first patient in a Phase 1 clinical trial evaluating ADG20, which obligated the Company to make a $1.0 million milestone payment to Adimab. In April 2021, the Company achieved the second specified milestone under the agreement upon dosing of the first patient in a Phase 2 clinical trial evaluating ADG20 for the prevention of COVID-19, which obligated the Company to make a $2.5 million milestone payment. The Company recognized the expense related to the expected achievement of the first milestone in February. The Company recognized the expense related to the expected achievement of the second milestone in early April, when certain Phase 1 clinical trial data was submitted to the FDA for review and the second milestone under the agreement became probable of achievement. In August 2021, the Company dosed the first patient in a Phase 3 clinical trial evaluating ADG20 for the prevention of COVID-19, which resulted in a milestone payment of $4.0 million being due by the Company under the Adimab Assignment Agreement. During the three and six months ended June 30, 2021, the Company recognized $2.5 million and $3.5 million, respectively, as in-process research and development (“IPR&amp;D”) expense in connection with contingent consideration payable under the Adimab Assignment Agreement. For the period from June 3, 2020 (inception) to June 30, 2020 the Company did not recognize any IPR&amp;D expense.</w:t>
      </w:r>
    </w:p>
    <w:p>
      <w:pPr>
        <w:spacing w:after="0" w:line="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 is also obligated to pay Adimab royalties of a mid 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and second milestone payment of $2.5 million, which were paid by the Company to Adimab in March and May 2021, respectively, no other milestone, royalty or other contingent payments had become due to Adimab through June 30, 2021.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both"/>
        <w:ind w:firstLine="509"/>
        <w:spacing w:after="0" w:line="290" w:lineRule="auto"/>
        <w:rPr>
          <w:sz w:val="20"/>
          <w:szCs w:val="20"/>
          <w:color w:val="auto"/>
        </w:rPr>
      </w:pPr>
      <w:r>
        <w:rPr>
          <w:rFonts w:ascii="Arial" w:cs="Arial" w:eastAsia="Arial" w:hAnsi="Arial"/>
          <w:sz w:val="17"/>
          <w:szCs w:val="17"/>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Either party may terminate the agreement in the event of a material breach by the other party that is not cured within specified periods, except that after the initiation of the first clinical trial of a Product,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68"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of $39.9 million was recognized as acquired IPR&amp;D expense in July 2020.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21,250,000 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 date. As of that date and before allocation, the Company determined the fair value of the repurchased common stock was $85,000, based on the results of a third-party valuation, and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7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Amounts paid with respect to services performed by Adimab on the Company’s behalf under the Adimab Assignment Agreement are recognized as research and development expense as such amounts are incurred. For the three and six months ended June 30, 2021, the Company recognized $0.2 million and $0.4 million, respectively, of expense in connection with services provided by Adimab. For the period from June 3, 2020 (inception) to June 30, 2020, the Company did not recognize any expense in connection with services provided to Adimab.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31"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On May 21, 2021, the Company entered into a collaboration agreement with Adimab (the “Adimab Collaboration Agreement”) for the discovery and optimization of proprietary antibodies as potential therapeutic product candidates. Under the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research program.</w:t>
      </w:r>
    </w:p>
    <w:p>
      <w:pPr>
        <w:spacing w:after="0" w:line="6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The Company is obligated to pay Adimab a quarterly fee of $1.3 million, which obligation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w:t>
      </w:r>
    </w:p>
    <w:p>
      <w:pPr>
        <w:spacing w:after="0" w:line="5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 single-digit percentage based on net sales of any product under the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jc w:val="both"/>
        <w:ind w:firstLine="509"/>
        <w:spacing w:after="0" w:line="292" w:lineRule="auto"/>
        <w:rPr>
          <w:sz w:val="20"/>
          <w:szCs w:val="20"/>
          <w:color w:val="auto"/>
        </w:rPr>
      </w:pPr>
      <w:r>
        <w:rPr>
          <w:rFonts w:ascii="Arial" w:cs="Arial" w:eastAsia="Arial" w:hAnsi="Arial"/>
          <w:sz w:val="17"/>
          <w:szCs w:val="17"/>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For the three and six months ended June 30, 2021 and for the period from June 3, 2020 (inception) to June 30, 2020, the Company did not incur significant costs under the Adimab Collaboration Agreement.</w:t>
      </w:r>
    </w:p>
    <w:p>
      <w:pPr>
        <w:spacing w:after="0" w:line="29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concluded that the Adimab Collaboration Agreement represented an asset acquisition of IPR&amp;D with no alternative future use. Therefore, payments made by the Company to Adimab for services performed and milestones achieved will be recognized as acquired IPR&amp;D expense in the related period in which the services are performed or the related milestone is considered probable of achievement. Please refer to Note 14 for additional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WuXi Cell Line License Agreement</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p>
    <w:p>
      <w:pPr>
        <w:spacing w:after="0" w:line="8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 was obligated to pay an upfront fee of $0.2 million to WuXi upon completion of cell bank generation for the first Licensed Cell Line created under the arrangement. Such amount became due in December 2020, was an accrued expense as of December 31, 2020 and remained accrued as of June 30, 2021. The Company is also obligated to pay royalties in the range of 0.3% to 0.5% to WuXi based on net sales of any Licensed Products manufactured by the Company or a third party on its behalf. However, if the Company uses WuXi to manufacture all of its commercial supplies, no royalties would be owed by the Company to WuXi for net sales of Licensed Products. The Company has an option to buy out its royalty obligations on a Licensed Cell Line-by-Licensed Cell Line basis by making a one-time payment of $15.0 million to WuXi. Royalties are due on a Licensed Product-by-Licensed Product basis commencing on the date of the first commercial sale of the applicable product and continue for so long as the Company commercializes Licensed Products or until the Company exercises its option to buy out the royalty obligations. Through June 30, 2021, no royalties had become due to WuXi.</w:t>
      </w:r>
    </w:p>
    <w:p>
      <w:pPr>
        <w:spacing w:after="0" w:line="8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Cell Line License Agreement remains in effect until it is terminated. The Company may terminate the Cell Line License Agreement at any time with notice to WuXi. WuXi may terminate the Cell Line License Agreement in the event the Company fails to make a payment when due under the arrangement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arrangement, provided that the Company continues to pay its royalty obligations, if any.</w:t>
      </w:r>
    </w:p>
    <w:p>
      <w:pPr>
        <w:spacing w:after="0" w:line="5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concluded that the Cell Line License Agreement represented an asset acquisition of IPR&amp;D with no alternative future use. Therefore, the aggregate acquisition cost of $0.2 million, consisting solely of the upfront fee, was recognized as acquired IPR&amp;D expense for the period from June 3, 2020 (inception) to December 31, 2020.</w:t>
      </w:r>
    </w:p>
    <w:p>
      <w:pPr>
        <w:spacing w:after="0" w:line="71" w:lineRule="exact"/>
        <w:rPr>
          <w:sz w:val="20"/>
          <w:szCs w:val="20"/>
          <w:color w:val="auto"/>
        </w:rPr>
      </w:pPr>
    </w:p>
    <w:p>
      <w:pPr>
        <w:ind w:left="520" w:right="8500" w:hanging="512"/>
        <w:spacing w:after="0" w:line="442" w:lineRule="auto"/>
        <w:tabs>
          <w:tab w:leader="none" w:pos="191"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License Agreements</w:t>
      </w:r>
    </w:p>
    <w:p>
      <w:pPr>
        <w:spacing w:after="0" w:line="1"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8"/>
          <w:szCs w:val="18"/>
          <w:color w:val="auto"/>
        </w:rPr>
        <w:t>The Company has entered into license agreements with Adimab and WuXi (see Note 6).</w:t>
      </w:r>
    </w:p>
    <w:p>
      <w:pPr>
        <w:spacing w:after="0" w:line="130"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Manufacturing Agreements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December 2020, the Company entered into a Commercial Manufacturing Services Agreement with WuXi (the “Commercial Manufacturing Agreement”). The Commercial Manufacturing Agreement outlines the terms and conditions under which WuXi will manufacture ADG20 drug substance for commercial use.</w:t>
      </w:r>
    </w:p>
    <w:p>
      <w:pPr>
        <w:spacing w:after="0" w:line="7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Company committed to minimum non-cancelable purchase obligations related to batches of ADG20 drug substance and certain services with respect to the product requirements for 2021 and 2022, the payments for which will extend into 2023. There has been no material change to future minimum payments under non-cancelable purchase obligations associated with the Commercial Manufacturing Agreement. As of June 30, 2021, Company had neither made any payments under the Commercial Manufacturing Agreement nor made any incremental purchases under the Commercial Manufacturing Agreement.</w:t>
      </w:r>
    </w:p>
    <w:p>
      <w:pPr>
        <w:spacing w:after="0" w:line="8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Other Contracts</w:t>
      </w:r>
    </w:p>
    <w:p>
      <w:pPr>
        <w:spacing w:after="0" w:line="13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Company has agreements with third parties that it enters into in the ordinary course of business for various products and services, including those related to research, preclinical and clinical operations, manufacturing and support. These contracts do not contain any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June 30, 2021 and December 31, 2020, the Company was not a party to any material legal proceedings.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31"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135"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Company has issued Series A convertible preferred stock (the “Series A Preferred Stock”), Series B convertible preferred stock (the “Series B Preferred Stock”), and Series C Preferred Stock (the “Series C Preferred Stock”), all of which are collectively referred to as the “Preferred Stock.”</w:t>
      </w:r>
    </w:p>
    <w:p>
      <w:pPr>
        <w:spacing w:after="0" w:line="17"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then having a fair value of $40.0 million, to Adimab as consideration payable pursuant to the Adimab Assignment Agreement (see Note 6).</w:t>
      </w:r>
    </w:p>
    <w:p>
      <w:pPr>
        <w:spacing w:after="0" w:line="5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In October and November 2020, the Company issued and sold 1,410,434 shares of Series B Preferred Stock, at a price of $56.72 per share, for gross proceeds of $80.0 million and incurred $0.2 million of issuance costs. Adimab, a related party, participated in the Series B Preferred Stock financing by purchasing 44,076 shares of Series B Preferred Stock for an aggregate purchase price of $2.5 million.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6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April 2021, the Company issued and sold 4,296,550 shares of its Series C Preferred Stock, at a price of $78.08578 per share, for aggregate gross proceeds of $335.5 million and incurred $0.3 million of issuance costs. Adimab, a related party, participated in the Series C Preferred Stock financing by purchasing 128,064 shares of Series C Preferred Stock for an aggregate purchase price of $10.0 million.</w:t>
      </w:r>
    </w:p>
    <w:p>
      <w:pPr>
        <w:spacing w:after="0" w:line="7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The terms of the Series C Preferred Stock are substantially the same as the terms of the Series A Preferred Stock and Series B Preferred Stock, except that the Original Issue Price per share and the Conversion Price per share of the Series C Preferred Stock is $78.08578.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jc w:val="both"/>
        <w:ind w:firstLine="509"/>
        <w:spacing w:after="0" w:line="279" w:lineRule="auto"/>
        <w:rPr>
          <w:sz w:val="20"/>
          <w:szCs w:val="20"/>
          <w:color w:val="auto"/>
        </w:rPr>
      </w:pPr>
      <w:r>
        <w:rPr>
          <w:rFonts w:ascii="Arial" w:cs="Arial" w:eastAsia="Arial" w:hAnsi="Arial"/>
          <w:sz w:val="18"/>
          <w:szCs w:val="18"/>
          <w:color w:val="auto"/>
        </w:rPr>
        <w:t>Upon issuance of each class of Preferred Stock, the Company assessed the embedded conversion and liquidation features of the shares and determined that such features did not require the Company to separately account for these features. The Company also concluded that no beneficial conversion feature existed on the issuance dates of each class of Preferred Stock.</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the balance sheet dates, Preferred Stock consisted of the following (in thousands, except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0"/>
              </w:rPr>
              <w:t>June 30, 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5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5"/>
                <w:szCs w:val="15"/>
                <w:color w:val="auto"/>
              </w:rPr>
            </w:pPr>
          </w:p>
        </w:tc>
      </w:tr>
      <w:tr>
        <w:trPr>
          <w:trHeight w:val="175"/>
        </w:trPr>
        <w:tc>
          <w:tcPr>
            <w:tcW w:w="5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Liquidation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Issuable Upon</w:t>
            </w:r>
          </w:p>
        </w:tc>
        <w:tc>
          <w:tcPr>
            <w:tcW w:w="100" w:type="dxa"/>
            <w:vAlign w:val="bottom"/>
          </w:tcPr>
          <w:p>
            <w:pPr>
              <w:spacing w:after="0"/>
              <w:rPr>
                <w:sz w:val="15"/>
                <w:szCs w:val="15"/>
                <w:color w:val="auto"/>
              </w:rPr>
            </w:pPr>
          </w:p>
        </w:tc>
      </w:tr>
      <w:tr>
        <w:trPr>
          <w:trHeight w:val="192"/>
        </w:trPr>
        <w:tc>
          <w:tcPr>
            <w:tcW w:w="52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Authorized</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Preference</w:t>
            </w:r>
          </w:p>
        </w:tc>
        <w:tc>
          <w:tcPr>
            <w:tcW w:w="180" w:type="dxa"/>
            <w:vAlign w:val="bottom"/>
            <w:gridSpan w:val="2"/>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Conversion</w:t>
            </w:r>
          </w:p>
        </w:tc>
        <w:tc>
          <w:tcPr>
            <w:tcW w:w="100" w:type="dxa"/>
            <w:vAlign w:val="bottom"/>
          </w:tcPr>
          <w:p>
            <w:pPr>
              <w:spacing w:after="0"/>
              <w:rPr>
                <w:sz w:val="16"/>
                <w:szCs w:val="16"/>
                <w:color w:val="auto"/>
              </w:rPr>
            </w:pPr>
          </w:p>
        </w:tc>
      </w:tr>
      <w:tr>
        <w:trPr>
          <w:trHeight w:val="202"/>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A Preferred Stock</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11,237,500</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11,237,500</w:t>
            </w:r>
          </w:p>
        </w:tc>
        <w:tc>
          <w:tcPr>
            <w:tcW w:w="20" w:type="dxa"/>
            <w:vAlign w:val="bottom"/>
            <w:shd w:val="clear" w:color="auto" w:fill="CFF0FC"/>
          </w:tcPr>
          <w:p>
            <w:pPr>
              <w:spacing w:after="0"/>
              <w:rPr>
                <w:sz w:val="17"/>
                <w:szCs w:val="17"/>
                <w:color w:val="auto"/>
              </w:rPr>
            </w:pP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89,706</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89,900</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56,187,500</w:t>
            </w:r>
          </w:p>
        </w:tc>
        <w:tc>
          <w:tcPr>
            <w:tcW w:w="100" w:type="dxa"/>
            <w:vAlign w:val="bottom"/>
            <w:shd w:val="clear" w:color="auto" w:fill="CFF0FC"/>
          </w:tcPr>
          <w:p>
            <w:pPr>
              <w:spacing w:after="0"/>
              <w:rPr>
                <w:sz w:val="17"/>
                <w:szCs w:val="17"/>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Series B Preferred Stock</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1,410,434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1,410,434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79,842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80,000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7,052,170</w:t>
            </w:r>
          </w:p>
        </w:tc>
        <w:tc>
          <w:tcPr>
            <w:tcW w:w="100" w:type="dxa"/>
            <w:vAlign w:val="bottom"/>
          </w:tcPr>
          <w:p>
            <w:pPr>
              <w:spacing w:after="0"/>
              <w:rPr>
                <w:sz w:val="17"/>
                <w:szCs w:val="17"/>
                <w:color w:val="auto"/>
              </w:rPr>
            </w:pPr>
          </w:p>
        </w:tc>
      </w:tr>
      <w:tr>
        <w:trPr>
          <w:trHeight w:val="203"/>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Series C Preferred Stock</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4,296,550</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4,296,550</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335,163</w:t>
            </w: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335,499</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21,482,750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528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16,944,484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16,944,484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504,711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505,399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84,722,420</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5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5"/>
                <w:szCs w:val="15"/>
                <w:color w:val="auto"/>
              </w:rPr>
            </w:pPr>
          </w:p>
        </w:tc>
      </w:tr>
      <w:tr>
        <w:trPr>
          <w:trHeight w:val="176"/>
        </w:trPr>
        <w:tc>
          <w:tcPr>
            <w:tcW w:w="5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Liquidation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Issuable Upon</w:t>
            </w:r>
          </w:p>
        </w:tc>
        <w:tc>
          <w:tcPr>
            <w:tcW w:w="100" w:type="dxa"/>
            <w:vAlign w:val="bottom"/>
          </w:tcPr>
          <w:p>
            <w:pPr>
              <w:spacing w:after="0"/>
              <w:rPr>
                <w:sz w:val="15"/>
                <w:szCs w:val="15"/>
                <w:color w:val="auto"/>
              </w:rPr>
            </w:pPr>
          </w:p>
        </w:tc>
      </w:tr>
      <w:tr>
        <w:trPr>
          <w:trHeight w:val="192"/>
        </w:trPr>
        <w:tc>
          <w:tcPr>
            <w:tcW w:w="5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Authorized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Conversion</w:t>
            </w:r>
          </w:p>
        </w:tc>
        <w:tc>
          <w:tcPr>
            <w:tcW w:w="100" w:type="dxa"/>
            <w:vAlign w:val="bottom"/>
          </w:tcPr>
          <w:p>
            <w:pPr>
              <w:spacing w:after="0"/>
              <w:rPr>
                <w:sz w:val="16"/>
                <w:szCs w:val="16"/>
                <w:color w:val="auto"/>
              </w:rPr>
            </w:pPr>
          </w:p>
        </w:tc>
      </w:tr>
      <w:tr>
        <w:trPr>
          <w:trHeight w:val="202"/>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A Preferred Stock</w:t>
            </w: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11,237,500</w:t>
            </w:r>
          </w:p>
        </w:tc>
        <w:tc>
          <w:tcPr>
            <w:tcW w:w="18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11,237,500</w:t>
            </w: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89,706</w:t>
            </w:r>
          </w:p>
        </w:tc>
        <w:tc>
          <w:tcPr>
            <w:tcW w:w="16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89,900</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56,187,500</w:t>
            </w:r>
          </w:p>
        </w:tc>
        <w:tc>
          <w:tcPr>
            <w:tcW w:w="100" w:type="dxa"/>
            <w:vAlign w:val="bottom"/>
            <w:shd w:val="clear" w:color="auto" w:fill="CFF0FC"/>
          </w:tcPr>
          <w:p>
            <w:pPr>
              <w:spacing w:after="0"/>
              <w:rPr>
                <w:sz w:val="17"/>
                <w:szCs w:val="17"/>
                <w:color w:val="auto"/>
              </w:rPr>
            </w:pPr>
          </w:p>
        </w:tc>
      </w:tr>
      <w:tr>
        <w:trPr>
          <w:trHeight w:val="196"/>
        </w:trPr>
        <w:tc>
          <w:tcPr>
            <w:tcW w:w="5280" w:type="dxa"/>
            <w:vAlign w:val="bottom"/>
          </w:tcPr>
          <w:p>
            <w:pPr>
              <w:ind w:left="20"/>
              <w:spacing w:after="0"/>
              <w:rPr>
                <w:sz w:val="20"/>
                <w:szCs w:val="20"/>
                <w:color w:val="auto"/>
              </w:rPr>
            </w:pPr>
            <w:r>
              <w:rPr>
                <w:rFonts w:ascii="Arial" w:cs="Arial" w:eastAsia="Arial" w:hAnsi="Arial"/>
                <w:sz w:val="14"/>
                <w:szCs w:val="14"/>
                <w:color w:val="auto"/>
              </w:rPr>
              <w:t>Series B Preferred Stock</w:t>
            </w:r>
          </w:p>
        </w:tc>
        <w:tc>
          <w:tcPr>
            <w:tcW w:w="40" w:type="dxa"/>
            <w:vAlign w:val="bottom"/>
          </w:tcPr>
          <w:p>
            <w:pPr>
              <w:spacing w:after="0"/>
              <w:rPr>
                <w:sz w:val="17"/>
                <w:szCs w:val="17"/>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1,410,434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1,410,434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79,842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80,000</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7,052,170</w:t>
            </w:r>
          </w:p>
        </w:tc>
        <w:tc>
          <w:tcPr>
            <w:tcW w:w="100" w:type="dxa"/>
            <w:vAlign w:val="bottom"/>
          </w:tcPr>
          <w:p>
            <w:pPr>
              <w:spacing w:after="0"/>
              <w:rPr>
                <w:sz w:val="17"/>
                <w:szCs w:val="17"/>
                <w:color w:val="auto"/>
              </w:rPr>
            </w:pPr>
          </w:p>
        </w:tc>
      </w:tr>
      <w:tr>
        <w:trPr>
          <w:trHeight w:val="209"/>
        </w:trPr>
        <w:tc>
          <w:tcPr>
            <w:tcW w:w="52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12,647,934</w:t>
            </w: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12,647,934</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169,548</w:t>
            </w:r>
          </w:p>
        </w:tc>
        <w:tc>
          <w:tcPr>
            <w:tcW w:w="1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169,900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63,239,670</w:t>
            </w:r>
          </w:p>
        </w:tc>
        <w:tc>
          <w:tcPr>
            <w:tcW w:w="10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-1264920</wp:posOffset>
            </wp:positionV>
            <wp:extent cx="13716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-1264920</wp:posOffset>
            </wp:positionV>
            <wp:extent cx="1200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-1264920</wp:posOffset>
            </wp:positionV>
            <wp:extent cx="12001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-1264920</wp:posOffset>
            </wp:positionV>
            <wp:extent cx="1200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-1264920</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Upon the closing of the Company’s IPO in August 2021, all shares of the Company’s convertible preferred stock then outstanding converted into 84,722,420 shares of common stock (see Note 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voting, dividend and liquidation rights of the holders of shares of the Company’s common stock are subject to and qualified by the rights, powers and preferences of the holders of the Preferred Stock set forth above and described in the Company’s final prospectus for the IPO filed with the SEC pursuant to Rule 424(b)(4) under the Securities Act on August 6, 2021.</w:t>
      </w:r>
    </w:p>
    <w:p>
      <w:pPr>
        <w:spacing w:after="0" w:line="7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June 30, 2021 the 21,250,000 shares of common stock repurchased from Adimab were retired and redesignated as authorized but unissued shares of the Company’s common stock. As of December 31, 2020, the 21,250,000 shares of common stock repurchased from Adimab were recorded as treasury stock in the accompanying consolidated balance sheets and consolidated statements of convertible preferred stock and stockholders’ deficit as such shares were not retired. The fair value of the repurchased common stock was $0.004 per share, or $85,000 in the aggregate, as determined based on a third-party valuation (see Note 6).</w:t>
      </w:r>
    </w:p>
    <w:p>
      <w:pPr>
        <w:spacing w:after="0" w:line="7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April 2021, the Company increased the number of shares of common stock authorized for issuance from 19,000,000 to 23,251,555 shares and increased the number of shares of preferred stock authorized for issuance from 12,647,934 to 16,944,484 shares, of which 4,296,550 shares were designated as Series C Preferred Stock.</w:t>
      </w:r>
    </w:p>
    <w:p>
      <w:pPr>
        <w:spacing w:after="0" w:line="7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As of June 30, 2021 and December 31, 2020, the Company had reserved 108,383,970 and 80,466,735 shares of common stock, respectively, for the potential conversion of shares of Preferred Stock into common stock, the exercise of outstanding stock options and the issuance of awards available for grant under the Company’s 2020 Equity Incentive Plan (see Note 10).</w:t>
      </w:r>
    </w:p>
    <w:p>
      <w:pPr>
        <w:spacing w:after="0" w:line="7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Accordingly, all share and per share amounts for all periods presented in the accompanying condensed consolidated financial statements and notes thereto have been adjusted retroactively, where applicable, to reflect this stock split.</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April and May 2021, the Company retired an aggregate of 22,600,000 shares of its common stock held in treasury. Upon retirement, the shares were redesignated as authorized but unissued shares of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left="520" w:right="8700" w:hanging="512"/>
        <w:spacing w:after="0" w:line="442" w:lineRule="auto"/>
        <w:tabs>
          <w:tab w:leader="none" w:pos="28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2020 Equity Incentive Plan</w:t>
      </w:r>
    </w:p>
    <w:p>
      <w:pPr>
        <w:spacing w:after="0" w:line="1"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5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total number of shares of common stock that may be issued under the 2020 Plan was 29,254,790 as of June 30, 2021 and 22,820,305 as of December 31, 2020. As of June 30, 2021 and December 31, 2020, 8,729,920 shares and 14,258,995 shares, respectively, remained available for future issuance under the 2020 Plan. In July 2021, the Company’s board of directors adopted and the stockholders approved the 2021 Equity Incentive Plan, and no further awards will be issued under the 2020 Plan (see Note 15).</w:t>
      </w:r>
    </w:p>
    <w:p>
      <w:pPr>
        <w:spacing w:after="0" w:line="7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7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table presents, on a weighted-average basis, the assumptions used in the Black-Scholes option-pricing model to determine the fair value of stock options granted: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Period from</w:t>
            </w:r>
          </w:p>
        </w:tc>
      </w:tr>
      <w:tr>
        <w:trPr>
          <w:trHeight w:val="175"/>
        </w:trPr>
        <w:tc>
          <w:tcPr>
            <w:tcW w:w="37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June 3, 2020</w:t>
            </w:r>
          </w:p>
        </w:tc>
      </w:tr>
      <w:tr>
        <w:trPr>
          <w:trHeight w:val="175"/>
        </w:trPr>
        <w:tc>
          <w:tcPr>
            <w:tcW w:w="37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5"/>
                <w:szCs w:val="15"/>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5"/>
                <w:szCs w:val="15"/>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(Inception) to</w:t>
            </w:r>
          </w:p>
        </w:tc>
      </w:tr>
      <w:tr>
        <w:trPr>
          <w:trHeight w:val="186"/>
        </w:trPr>
        <w:tc>
          <w:tcPr>
            <w:tcW w:w="37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r>
      <w:tr>
        <w:trPr>
          <w:trHeight w:val="208"/>
        </w:trPr>
        <w:tc>
          <w:tcPr>
            <w:tcW w:w="3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2021</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8"/>
                <w:szCs w:val="18"/>
                <w:color w:val="auto"/>
              </w:rPr>
            </w:pPr>
          </w:p>
        </w:tc>
      </w:tr>
      <w:tr>
        <w:trPr>
          <w:trHeight w:val="25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w:t>
            </w:r>
          </w:p>
        </w:tc>
        <w:tc>
          <w:tcPr>
            <w:tcW w:w="2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4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4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22"/>
                <w:szCs w:val="22"/>
                <w:color w:val="auto"/>
              </w:rPr>
            </w:pP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6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73.3 %</w:t>
            </w: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73.4 %</w:t>
            </w: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71.9 %</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0.9 %</w:t>
            </w:r>
          </w:p>
        </w:tc>
        <w:tc>
          <w:tcPr>
            <w:tcW w:w="1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0.4 %</w:t>
            </w:r>
          </w:p>
        </w:tc>
      </w:tr>
      <w:tr>
        <w:trPr>
          <w:trHeight w:val="26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6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 %</w:t>
            </w:r>
          </w:p>
        </w:tc>
      </w:tr>
      <w:tr>
        <w:trPr>
          <w:trHeight w:val="675"/>
        </w:trPr>
        <w:tc>
          <w:tcPr>
            <w:tcW w:w="3780" w:type="dxa"/>
            <w:vAlign w:val="bottom"/>
          </w:tcPr>
          <w:p>
            <w:pPr>
              <w:spacing w:after="0"/>
              <w:rPr>
                <w:sz w:val="24"/>
                <w:szCs w:val="24"/>
                <w:color w:val="auto"/>
              </w:rPr>
            </w:pPr>
          </w:p>
        </w:tc>
        <w:tc>
          <w:tcPr>
            <w:tcW w:w="2680" w:type="dxa"/>
            <w:vAlign w:val="bottom"/>
          </w:tcPr>
          <w:p>
            <w:pPr>
              <w:jc w:val="right"/>
              <w:ind w:right="65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since 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6"/>
        </w:trPr>
        <w:tc>
          <w:tcPr>
            <w:tcW w:w="578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5"/>
                <w:szCs w:val="15"/>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92"/>
        </w:trPr>
        <w:tc>
          <w:tcPr>
            <w:tcW w:w="578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00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196"/>
        </w:trPr>
        <w:tc>
          <w:tcPr>
            <w:tcW w:w="57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2,968,070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11,362</w:t>
            </w:r>
          </w:p>
        </w:tc>
        <w:tc>
          <w:tcPr>
            <w:tcW w:w="100" w:type="dxa"/>
            <w:vAlign w:val="bottom"/>
            <w:shd w:val="clear" w:color="auto" w:fill="CFF0FC"/>
          </w:tcPr>
          <w:p>
            <w:pPr>
              <w:spacing w:after="0"/>
              <w:rPr>
                <w:sz w:val="22"/>
                <w:szCs w:val="22"/>
                <w:color w:val="auto"/>
              </w:rPr>
            </w:pPr>
          </w:p>
        </w:tc>
      </w:tr>
      <w:tr>
        <w:trPr>
          <w:trHeight w:val="250"/>
        </w:trPr>
        <w:tc>
          <w:tcPr>
            <w:tcW w:w="5780" w:type="dxa"/>
            <w:vAlign w:val="bottom"/>
          </w:tcPr>
          <w:p>
            <w:pPr>
              <w:ind w:left="2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12,078,560</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57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(115,000 )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90"/>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14,931,630</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77,563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Vested and expected to vest at June 30,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14,931,630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77,563</w:t>
            </w:r>
          </w:p>
        </w:tc>
        <w:tc>
          <w:tcPr>
            <w:tcW w:w="100" w:type="dxa"/>
            <w:vAlign w:val="bottom"/>
          </w:tcPr>
          <w:p>
            <w:pPr>
              <w:spacing w:after="0"/>
              <w:rPr>
                <w:sz w:val="20"/>
                <w:szCs w:val="20"/>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exercisable at June 30,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-350520</wp:posOffset>
            </wp:positionV>
            <wp:extent cx="1543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-334010</wp:posOffset>
            </wp:positionV>
            <wp:extent cx="1543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weighted-average grant date fair value of stock options granted during the three and six months ended June 30, 2021 was $6.75 and $5.96, respectively, per option. The weighted-average grant date fair value for the period from June 3, 2020 to June 30, 2020 was less than $0.01 per option.</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Company’s restricted stock activity during the six months ended June 30, 2021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 summary of the Company’s unvested common stock from option early exercises that is subject to repurchase by the Company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80" w:type="dxa"/>
            <w:vAlign w:val="bottom"/>
          </w:tcPr>
          <w:p>
            <w:pPr>
              <w:spacing w:after="0"/>
              <w:rPr>
                <w:sz w:val="15"/>
                <w:szCs w:val="15"/>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Number</w:t>
            </w:r>
          </w:p>
        </w:tc>
      </w:tr>
      <w:tr>
        <w:trPr>
          <w:trHeight w:val="192"/>
        </w:trPr>
        <w:tc>
          <w:tcPr>
            <w:tcW w:w="9280" w:type="dxa"/>
            <w:vAlign w:val="bottom"/>
          </w:tcPr>
          <w:p>
            <w:pPr>
              <w:spacing w:after="0"/>
              <w:rPr>
                <w:sz w:val="16"/>
                <w:szCs w:val="16"/>
                <w:color w:val="auto"/>
              </w:rPr>
            </w:pPr>
          </w:p>
        </w:tc>
        <w:tc>
          <w:tcPr>
            <w:tcW w:w="18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6"/>
                <w:szCs w:val="16"/>
                <w:color w:val="auto"/>
              </w:rPr>
            </w:pPr>
          </w:p>
        </w:tc>
      </w:tr>
      <w:tr>
        <w:trPr>
          <w:trHeight w:val="256"/>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at June 3, 2020 (inception)</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9280" w:type="dxa"/>
            <w:vAlign w:val="bottom"/>
          </w:tcPr>
          <w:p>
            <w:pPr>
              <w:ind w:left="280"/>
              <w:spacing w:after="0"/>
              <w:rPr>
                <w:sz w:val="20"/>
                <w:szCs w:val="20"/>
                <w:color w:val="auto"/>
              </w:rPr>
            </w:pPr>
            <w:r>
              <w:rPr>
                <w:rFonts w:ascii="Arial" w:cs="Arial" w:eastAsia="Arial" w:hAnsi="Arial"/>
                <w:sz w:val="18"/>
                <w:szCs w:val="18"/>
                <w:color w:val="auto"/>
              </w:rPr>
              <w:t>Issued</w:t>
            </w:r>
          </w:p>
        </w:tc>
        <w:tc>
          <w:tcPr>
            <w:tcW w:w="1860" w:type="dxa"/>
            <w:vAlign w:val="bottom"/>
          </w:tcPr>
          <w:p>
            <w:pPr>
              <w:jc w:val="right"/>
              <w:spacing w:after="0"/>
              <w:rPr>
                <w:sz w:val="20"/>
                <w:szCs w:val="20"/>
                <w:color w:val="auto"/>
              </w:rPr>
            </w:pPr>
            <w:r>
              <w:rPr>
                <w:rFonts w:ascii="Arial" w:cs="Arial" w:eastAsia="Arial" w:hAnsi="Arial"/>
                <w:sz w:val="18"/>
                <w:szCs w:val="18"/>
                <w:color w:val="auto"/>
              </w:rPr>
              <w:t>6,943,240</w:t>
            </w:r>
          </w:p>
        </w:tc>
        <w:tc>
          <w:tcPr>
            <w:tcW w:w="100" w:type="dxa"/>
            <w:vAlign w:val="bottom"/>
          </w:tcPr>
          <w:p>
            <w:pPr>
              <w:spacing w:after="0"/>
              <w:rPr>
                <w:sz w:val="21"/>
                <w:szCs w:val="21"/>
                <w:color w:val="auto"/>
              </w:rPr>
            </w:pPr>
          </w:p>
        </w:tc>
      </w:tr>
      <w:tr>
        <w:trPr>
          <w:trHeight w:val="263"/>
        </w:trPr>
        <w:tc>
          <w:tcPr>
            <w:tcW w:w="9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9280" w:type="dxa"/>
            <w:vAlign w:val="bottom"/>
          </w:tcPr>
          <w:p>
            <w:pPr>
              <w:ind w:left="280"/>
              <w:spacing w:after="0"/>
              <w:rPr>
                <w:sz w:val="20"/>
                <w:szCs w:val="20"/>
                <w:color w:val="auto"/>
              </w:rPr>
            </w:pPr>
            <w:r>
              <w:rPr>
                <w:rFonts w:ascii="Arial" w:cs="Arial" w:eastAsia="Arial" w:hAnsi="Arial"/>
                <w:sz w:val="18"/>
                <w:szCs w:val="18"/>
                <w:color w:val="auto"/>
              </w:rPr>
              <w:t>Repurchased</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(1,350,000 )</w:t>
            </w:r>
          </w:p>
        </w:tc>
      </w:tr>
      <w:tr>
        <w:trPr>
          <w:trHeight w:val="257"/>
        </w:trPr>
        <w:tc>
          <w:tcPr>
            <w:tcW w:w="9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at December 31, 2020</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5,593,240</w:t>
            </w:r>
          </w:p>
        </w:tc>
        <w:tc>
          <w:tcPr>
            <w:tcW w:w="100" w:type="dxa"/>
            <w:vAlign w:val="bottom"/>
            <w:shd w:val="clear" w:color="auto" w:fill="CFF0FC"/>
          </w:tcPr>
          <w:p>
            <w:pPr>
              <w:spacing w:after="0"/>
              <w:rPr>
                <w:sz w:val="22"/>
                <w:szCs w:val="22"/>
                <w:color w:val="auto"/>
              </w:rPr>
            </w:pPr>
          </w:p>
        </w:tc>
      </w:tr>
      <w:tr>
        <w:trPr>
          <w:trHeight w:val="250"/>
        </w:trPr>
        <w:tc>
          <w:tcPr>
            <w:tcW w:w="9280" w:type="dxa"/>
            <w:vAlign w:val="bottom"/>
          </w:tcPr>
          <w:p>
            <w:pPr>
              <w:ind w:left="280"/>
              <w:spacing w:after="0"/>
              <w:rPr>
                <w:sz w:val="20"/>
                <w:szCs w:val="20"/>
                <w:color w:val="auto"/>
              </w:rPr>
            </w:pPr>
            <w:r>
              <w:rPr>
                <w:rFonts w:ascii="Arial" w:cs="Arial" w:eastAsia="Arial" w:hAnsi="Arial"/>
                <w:sz w:val="18"/>
                <w:szCs w:val="18"/>
                <w:color w:val="auto"/>
              </w:rPr>
              <w:t>Issued</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92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(1,398,310 )</w:t>
            </w:r>
          </w:p>
        </w:tc>
      </w:tr>
      <w:tr>
        <w:trPr>
          <w:trHeight w:val="250"/>
        </w:trPr>
        <w:tc>
          <w:tcPr>
            <w:tcW w:w="9280" w:type="dxa"/>
            <w:vAlign w:val="bottom"/>
          </w:tcPr>
          <w:p>
            <w:pPr>
              <w:ind w:left="280"/>
              <w:spacing w:after="0"/>
              <w:rPr>
                <w:sz w:val="20"/>
                <w:szCs w:val="20"/>
                <w:color w:val="auto"/>
              </w:rPr>
            </w:pPr>
            <w:r>
              <w:rPr>
                <w:rFonts w:ascii="Arial" w:cs="Arial" w:eastAsia="Arial" w:hAnsi="Arial"/>
                <w:sz w:val="18"/>
                <w:szCs w:val="18"/>
                <w:color w:val="auto"/>
              </w:rPr>
              <w:t>Repurchased</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90"/>
        </w:trPr>
        <w:tc>
          <w:tcPr>
            <w:tcW w:w="9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at June 30, 2021</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4,194,930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7"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June 30, 2021 and December 31, 2020 the liability related to the payments for unvested shares from early-exercised options was less than $0.1 million.</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consolidated statements of operations and comprehensive loss (in thousands):</w:t>
      </w:r>
    </w:p>
    <w:p>
      <w:pPr>
        <w:spacing w:after="0" w:line="26"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center"/>
              <w:ind w:right="201"/>
              <w:spacing w:after="0"/>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5"/>
                <w:szCs w:val="15"/>
                <w:color w:val="auto"/>
              </w:rPr>
            </w:pPr>
          </w:p>
        </w:tc>
      </w:tr>
      <w:tr>
        <w:trPr>
          <w:trHeight w:val="175"/>
        </w:trPr>
        <w:tc>
          <w:tcPr>
            <w:tcW w:w="4640" w:type="dxa"/>
            <w:vAlign w:val="bottom"/>
          </w:tcPr>
          <w:p>
            <w:pPr>
              <w:spacing w:after="0"/>
              <w:rPr>
                <w:sz w:val="15"/>
                <w:szCs w:val="15"/>
                <w:color w:val="auto"/>
              </w:rPr>
            </w:pPr>
          </w:p>
        </w:tc>
        <w:tc>
          <w:tcPr>
            <w:tcW w:w="1360" w:type="dxa"/>
            <w:vAlign w:val="bottom"/>
          </w:tcPr>
          <w:p>
            <w:pPr>
              <w:jc w:val="center"/>
              <w:ind w:left="362"/>
              <w:spacing w:after="0"/>
              <w:rPr>
                <w:sz w:val="20"/>
                <w:szCs w:val="20"/>
                <w:color w:val="auto"/>
              </w:rPr>
            </w:pPr>
            <w:r>
              <w:rPr>
                <w:rFonts w:ascii="Arial" w:cs="Arial" w:eastAsia="Arial" w:hAnsi="Arial"/>
                <w:sz w:val="14"/>
                <w:szCs w:val="14"/>
                <w:b w:val="1"/>
                <w:bCs w:val="1"/>
                <w:color w:val="auto"/>
                <w:w w:val="95"/>
              </w:rPr>
              <w:t>Three Months</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center"/>
              <w:ind w:right="201"/>
              <w:spacing w:after="0"/>
              <w:rPr>
                <w:sz w:val="20"/>
                <w:szCs w:val="20"/>
                <w:color w:val="auto"/>
              </w:rPr>
            </w:pPr>
            <w:r>
              <w:rPr>
                <w:rFonts w:ascii="Arial" w:cs="Arial" w:eastAsia="Arial" w:hAnsi="Arial"/>
                <w:sz w:val="14"/>
                <w:szCs w:val="14"/>
                <w:b w:val="1"/>
                <w:bCs w:val="1"/>
                <w:color w:val="auto"/>
                <w:w w:val="91"/>
              </w:rPr>
              <w:t>June 3, 2020</w:t>
            </w:r>
          </w:p>
        </w:tc>
        <w:tc>
          <w:tcPr>
            <w:tcW w:w="100" w:type="dxa"/>
            <w:vAlign w:val="bottom"/>
          </w:tcPr>
          <w:p>
            <w:pPr>
              <w:spacing w:after="0"/>
              <w:rPr>
                <w:sz w:val="15"/>
                <w:szCs w:val="15"/>
                <w:color w:val="auto"/>
              </w:rPr>
            </w:pPr>
          </w:p>
        </w:tc>
      </w:tr>
      <w:tr>
        <w:trPr>
          <w:trHeight w:val="175"/>
        </w:trPr>
        <w:tc>
          <w:tcPr>
            <w:tcW w:w="4640" w:type="dxa"/>
            <w:vAlign w:val="bottom"/>
          </w:tcPr>
          <w:p>
            <w:pPr>
              <w:spacing w:after="0"/>
              <w:rPr>
                <w:sz w:val="15"/>
                <w:szCs w:val="15"/>
                <w:color w:val="auto"/>
              </w:rPr>
            </w:pPr>
          </w:p>
        </w:tc>
        <w:tc>
          <w:tcPr>
            <w:tcW w:w="1360" w:type="dxa"/>
            <w:vAlign w:val="bottom"/>
          </w:tcPr>
          <w:p>
            <w:pPr>
              <w:jc w:val="center"/>
              <w:ind w:left="402"/>
              <w:spacing w:after="0"/>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center"/>
              <w:ind w:right="201"/>
              <w:spacing w:after="0"/>
              <w:rPr>
                <w:sz w:val="20"/>
                <w:szCs w:val="20"/>
                <w:color w:val="auto"/>
              </w:rPr>
            </w:pPr>
            <w:r>
              <w:rPr>
                <w:rFonts w:ascii="Arial" w:cs="Arial" w:eastAsia="Arial" w:hAnsi="Arial"/>
                <w:sz w:val="14"/>
                <w:szCs w:val="14"/>
                <w:b w:val="1"/>
                <w:bCs w:val="1"/>
                <w:color w:val="auto"/>
                <w:w w:val="94"/>
              </w:rPr>
              <w:t>(Inception) to</w:t>
            </w:r>
          </w:p>
        </w:tc>
        <w:tc>
          <w:tcPr>
            <w:tcW w:w="100" w:type="dxa"/>
            <w:vAlign w:val="bottom"/>
          </w:tcPr>
          <w:p>
            <w:pPr>
              <w:spacing w:after="0"/>
              <w:rPr>
                <w:sz w:val="15"/>
                <w:szCs w:val="15"/>
                <w:color w:val="auto"/>
              </w:rPr>
            </w:pPr>
          </w:p>
        </w:tc>
      </w:tr>
      <w:tr>
        <w:trPr>
          <w:trHeight w:val="186"/>
        </w:trPr>
        <w:tc>
          <w:tcPr>
            <w:tcW w:w="4640" w:type="dxa"/>
            <w:vAlign w:val="bottom"/>
          </w:tcPr>
          <w:p>
            <w:pPr>
              <w:spacing w:after="0"/>
              <w:rPr>
                <w:sz w:val="16"/>
                <w:szCs w:val="16"/>
                <w:color w:val="auto"/>
              </w:rPr>
            </w:pPr>
          </w:p>
        </w:tc>
        <w:tc>
          <w:tcPr>
            <w:tcW w:w="1360" w:type="dxa"/>
            <w:vAlign w:val="bottom"/>
          </w:tcPr>
          <w:p>
            <w:pPr>
              <w:jc w:val="center"/>
              <w:ind w:left="362"/>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center"/>
              <w:ind w:right="201"/>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r>
      <w:tr>
        <w:trPr>
          <w:trHeight w:val="208"/>
        </w:trPr>
        <w:tc>
          <w:tcPr>
            <w:tcW w:w="4640" w:type="dxa"/>
            <w:vAlign w:val="bottom"/>
          </w:tcPr>
          <w:p>
            <w:pPr>
              <w:spacing w:after="0"/>
              <w:rPr>
                <w:sz w:val="18"/>
                <w:szCs w:val="18"/>
                <w:color w:val="auto"/>
              </w:rPr>
            </w:pPr>
          </w:p>
        </w:tc>
        <w:tc>
          <w:tcPr>
            <w:tcW w:w="1360" w:type="dxa"/>
            <w:vAlign w:val="bottom"/>
            <w:tcBorders>
              <w:bottom w:val="single" w:sz="8" w:color="auto"/>
            </w:tcBorders>
          </w:tcPr>
          <w:p>
            <w:pPr>
              <w:jc w:val="center"/>
              <w:ind w:left="362"/>
              <w:spacing w:after="0"/>
              <w:rPr>
                <w:sz w:val="20"/>
                <w:szCs w:val="20"/>
                <w:color w:val="auto"/>
              </w:rPr>
            </w:pPr>
            <w:r>
              <w:rPr>
                <w:rFonts w:ascii="Arial" w:cs="Arial" w:eastAsia="Arial" w:hAnsi="Arial"/>
                <w:sz w:val="14"/>
                <w:szCs w:val="14"/>
                <w:b w:val="1"/>
                <w:bCs w:val="1"/>
                <w:color w:val="auto"/>
                <w:w w:val="89"/>
              </w:rPr>
              <w:t>2021</w:t>
            </w:r>
          </w:p>
        </w:tc>
        <w:tc>
          <w:tcPr>
            <w:tcW w:w="4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8"/>
                <w:szCs w:val="18"/>
                <w:color w:val="auto"/>
              </w:rPr>
            </w:pPr>
          </w:p>
        </w:tc>
      </w:tr>
      <w:tr>
        <w:trPr>
          <w:trHeight w:val="25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FF0FC"/>
          </w:tcPr>
          <w:p>
            <w:pPr>
              <w:jc w:val="right"/>
              <w:ind w:right="116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1,152</w:t>
            </w:r>
          </w:p>
        </w:tc>
        <w:tc>
          <w:tcPr>
            <w:tcW w:w="6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2,190</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3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90"/>
        </w:trPr>
        <w:tc>
          <w:tcPr>
            <w:tcW w:w="46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116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3,342</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1968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1968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1885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1885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0"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As of June 30, 2021, total unrecognized stock-based compensation expense related to unvested stock-based awards was $69.6 million, which is expected to be recognized over a weighted-average period of 3.8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11. Income Taxes</w:t>
      </w:r>
    </w:p>
    <w:p>
      <w:pPr>
        <w:spacing w:after="0" w:line="13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For the three and six months ended June 30, 2021, and for the period from June 3, 2020 (inception) to June 30, 2020, the Company recorded no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Defined Contribution Plan</w:t>
      </w:r>
    </w:p>
    <w:p>
      <w:pPr>
        <w:spacing w:after="0" w:line="1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maintains a 401(k) Plan (the “401(k) Plan”) for the benefit of eligible employees. The 401(k) Plan is a defined contribution plan under Section 401(k) of the Internal Revenue Code of 1986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and six months ended June 30, 2021, the Company contributed $0.1 million and $0.2 million, respectively, to the 401(k) Plan. The Company did not make any contributions for the period from June 3, 2020 (inception) to June 30,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Period from</w:t>
            </w:r>
          </w:p>
        </w:tc>
      </w:tr>
      <w:tr>
        <w:trPr>
          <w:trHeight w:val="175"/>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June 3, 2020</w:t>
            </w:r>
          </w:p>
        </w:tc>
      </w:tr>
      <w:tr>
        <w:trPr>
          <w:trHeight w:val="176"/>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5"/>
                <w:szCs w:val="15"/>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(Inception) to</w:t>
            </w:r>
          </w:p>
        </w:tc>
      </w:tr>
      <w:tr>
        <w:trPr>
          <w:trHeight w:val="186"/>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6"/>
                <w:szCs w:val="16"/>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r>
      <w:tr>
        <w:trPr>
          <w:trHeight w:val="209"/>
        </w:trPr>
        <w:tc>
          <w:tcPr>
            <w:tcW w:w="6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8"/>
                <w:szCs w:val="18"/>
                <w:color w:val="auto"/>
              </w:rPr>
            </w:pPr>
          </w:p>
        </w:tc>
      </w:tr>
      <w:tr>
        <w:trPr>
          <w:trHeight w:val="25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50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(44,673 )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(83,373 )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(98 )</w:t>
            </w: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500" w:type="dxa"/>
            <w:vAlign w:val="bottom"/>
          </w:tcPr>
          <w:p>
            <w:pPr>
              <w:ind w:left="260"/>
              <w:spacing w:after="0"/>
              <w:rPr>
                <w:sz w:val="20"/>
                <w:szCs w:val="20"/>
                <w:color w:val="auto"/>
              </w:rPr>
            </w:pPr>
            <w:r>
              <w:rPr>
                <w:rFonts w:ascii="Arial" w:cs="Arial" w:eastAsia="Arial" w:hAnsi="Arial"/>
                <w:sz w:val="18"/>
                <w:szCs w:val="18"/>
                <w:color w:val="auto"/>
              </w:rPr>
              <w:t>Weighted-average common shares outstanding, basic and diluted</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249,769</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125,574</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21,250,000</w:t>
            </w:r>
          </w:p>
        </w:tc>
        <w:tc>
          <w:tcPr>
            <w:tcW w:w="100" w:type="dxa"/>
            <w:vAlign w:val="bottom"/>
          </w:tcPr>
          <w:p>
            <w:pPr>
              <w:spacing w:after="0"/>
              <w:rPr>
                <w:sz w:val="21"/>
                <w:szCs w:val="21"/>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(0.18 )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(0.66 )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1454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145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543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543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15"/>
                <w:szCs w:val="15"/>
                <w:color w:val="auto"/>
              </w:rPr>
            </w:pPr>
          </w:p>
        </w:tc>
      </w:tr>
      <w:tr>
        <w:trPr>
          <w:trHeight w:val="175"/>
        </w:trPr>
        <w:tc>
          <w:tcPr>
            <w:tcW w:w="7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Three and Six Months</w:t>
            </w:r>
          </w:p>
        </w:tc>
        <w:tc>
          <w:tcPr>
            <w:tcW w:w="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June 3, 2020</w:t>
            </w:r>
          </w:p>
        </w:tc>
        <w:tc>
          <w:tcPr>
            <w:tcW w:w="80" w:type="dxa"/>
            <w:vAlign w:val="bottom"/>
          </w:tcPr>
          <w:p>
            <w:pPr>
              <w:spacing w:after="0"/>
              <w:rPr>
                <w:sz w:val="15"/>
                <w:szCs w:val="15"/>
                <w:color w:val="auto"/>
              </w:rPr>
            </w:pPr>
          </w:p>
        </w:tc>
      </w:tr>
      <w:tr>
        <w:trPr>
          <w:trHeight w:val="175"/>
        </w:trPr>
        <w:tc>
          <w:tcPr>
            <w:tcW w:w="7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(Inception) to</w:t>
            </w:r>
          </w:p>
        </w:tc>
        <w:tc>
          <w:tcPr>
            <w:tcW w:w="80" w:type="dxa"/>
            <w:vAlign w:val="bottom"/>
          </w:tcPr>
          <w:p>
            <w:pPr>
              <w:spacing w:after="0"/>
              <w:rPr>
                <w:sz w:val="15"/>
                <w:szCs w:val="15"/>
                <w:color w:val="auto"/>
              </w:rPr>
            </w:pPr>
          </w:p>
        </w:tc>
      </w:tr>
      <w:tr>
        <w:trPr>
          <w:trHeight w:val="186"/>
        </w:trPr>
        <w:tc>
          <w:tcPr>
            <w:tcW w:w="764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6"/>
                <w:szCs w:val="16"/>
                <w:color w:val="auto"/>
              </w:rPr>
            </w:pPr>
          </w:p>
        </w:tc>
      </w:tr>
      <w:tr>
        <w:trPr>
          <w:trHeight w:val="249"/>
        </w:trPr>
        <w:tc>
          <w:tcPr>
            <w:tcW w:w="764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86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21"/>
                <w:szCs w:val="21"/>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preferred stock (as converted to common stock)</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84,722,420</w:t>
            </w:r>
          </w:p>
        </w:tc>
        <w:tc>
          <w:tcPr>
            <w:tcW w:w="240" w:type="dxa"/>
            <w:vAlign w:val="bottom"/>
            <w:shd w:val="clear" w:color="auto" w:fill="CFF0FC"/>
          </w:tcPr>
          <w:p>
            <w:pPr>
              <w:spacing w:after="0"/>
              <w:rPr>
                <w:sz w:val="22"/>
                <w:szCs w:val="22"/>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660" w:type="dxa"/>
            <w:vAlign w:val="bottom"/>
          </w:tcPr>
          <w:p>
            <w:pPr>
              <w:jc w:val="right"/>
              <w:spacing w:after="0"/>
              <w:rPr>
                <w:sz w:val="20"/>
                <w:szCs w:val="20"/>
                <w:color w:val="auto"/>
              </w:rPr>
            </w:pPr>
            <w:r>
              <w:rPr>
                <w:rFonts w:ascii="Arial" w:cs="Arial" w:eastAsia="Arial" w:hAnsi="Arial"/>
                <w:sz w:val="18"/>
                <w:szCs w:val="18"/>
                <w:color w:val="auto"/>
              </w:rPr>
              <w:t>14,931,630</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common stock</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4,194,930</w:t>
            </w:r>
          </w:p>
        </w:tc>
        <w:tc>
          <w:tcPr>
            <w:tcW w:w="2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5,593,240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103,848,980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5,593,240</w:t>
            </w:r>
          </w:p>
        </w:tc>
        <w:tc>
          <w:tcPr>
            <w:tcW w:w="8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-193675</wp:posOffset>
            </wp:positionV>
            <wp:extent cx="15430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3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6). Adimab participated in the Series B and C Preferred Stock financings by purchasing 44,076 and 128,064 shares of Series B and C Preferred Stock, respectively, for an aggregate purchase price of $2.5 million and $10 million, respectively (see Note 8). Under the Adimab Collaboration Agreement, the Company is obligated to pay Adimab for certain fees, milestone and royalty payments (see Note 6). For the three and six months ended June 30, 2021 and for the period from June 3, 2020 (inception) to June 30, 2020, the Company did not incur significant costs under the Adimab Collaboration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jc w:val="both"/>
        <w:ind w:firstLine="509"/>
        <w:spacing w:after="0" w:line="290" w:lineRule="auto"/>
        <w:rPr>
          <w:sz w:val="20"/>
          <w:szCs w:val="20"/>
          <w:color w:val="auto"/>
        </w:rPr>
      </w:pPr>
      <w:r>
        <w:rPr>
          <w:rFonts w:ascii="Arial" w:cs="Arial" w:eastAsia="Arial" w:hAnsi="Arial"/>
          <w:sz w:val="17"/>
          <w:szCs w:val="17"/>
          <w:color w:val="auto"/>
        </w:rPr>
        <w:t>For the three and six months ended June 30, 2021, the Company recognized $0.2 million and $0.4 million, respectively with respect to services performed by Adimab on the Company’s behalf under the Adimab Assignment Agreement. For the period from June 3, 2020 (inception) to June 30, 2021, the Company did not recognize any costs with respect to services performed by Adimab on the Company’s behalf under the Adimab Assignment Agreement. During the three and six months ended June 30, 2021, the Company recognized $2.5 million and $3.5 million, respectively, as IPR&amp;D expense in connection with contingent consideration payable under the Adimab Assignment Agreement. For the period from June 3, 2020 (inception) to June 30, 2020 the Company did not recognize any IPR&amp;D expense under the Adimab Assignment Agreement.</w:t>
      </w:r>
    </w:p>
    <w:p>
      <w:pPr>
        <w:spacing w:after="0" w:line="6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As of June 30, 2021 and December 31, 2020, $0.2 million and $0.6 million, respectively, was due to Adimab by the Company. As of June 30, 2021 and December 31, 2020, no amounts were due from Adimab to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360"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On July 27, 2021, the Company’s board of directors adopted, and on July 29, 2021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is initially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3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On July 27, 2021, the Company’s board of directors adopted, and on July 29, 2021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this plan.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Split</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On July 30, 2021, the Company effected a five-for-one stock split of its issued and outstanding shares of common stock and a proportional adjustment to the existing conversion ratios of each series of the Company’s preferred stock (see Note 8).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36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On August 10, 2021, the Company completed its IPO, pursuant to which it issued and sold 20,930,000 shares of its common stock, including 2,730,000 shares of its common stock pursuant to the full exercise of the underwriters’ option to purchase additional shares. The aggregate net proceeds received by the Company from the IPO were approximately $330.9 million, after deducting underwriting discounts and commissions, but before deducting estimated offering expenses payable by the Company, which are estimated to be $3.8 million. Upon the closing of the IPO, all of the shares of the Company’s convertible preferred stock then outstanding converted into 84,722,420 shares of common stock. Upon the conversion of the convertible preferred stock, the Company reclassified the carrying value of the convertible preferred stock to common stock (at par value) and additional paid-in capital.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b w:val="1"/>
          <w:bCs w:val="1"/>
          <w:i w:val="1"/>
          <w:iCs w:val="1"/>
          <w:color w:val="auto"/>
        </w:rPr>
        <w:t>Increase in Authorized Number of Shares of Common Stock and Changes in Authorized Preferred Stock</w:t>
      </w:r>
    </w:p>
    <w:p>
      <w:pPr>
        <w:spacing w:after="0" w:line="36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On July 30, 2021, the Company filed an amended and restated certificate of incorporation, which increased the Company’s authority to issue (i) 150,000,000 shares of common stock and (ii) 16,944,484 shares of Preferred Stock. On August 10, 2021, in connection with the closing of the IPO, the Company filed a restated certificate of incorporation, which amended and restated the Company’s certificate of incorporation to, among other things: (i) increase the number of authorized shares of common stock from 19,000,000 shares to 1,000,000,000 shares, (ii) eliminate all references to the previously existing series of convertible preferred stock, and (iii) authorize 10,000,000 shares of undesignated preferred stock that may be issued from time to time by the Company’s board of directors in one or more series.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Collaboration and License Agreement with The Scripps Research Institute</w:t>
      </w:r>
    </w:p>
    <w:p>
      <w:pPr>
        <w:spacing w:after="0" w:line="1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In August 2021, the Company entered into a Research Collaboration and License Agreement (the “Research Agreement”) with The Scripps Research Institute (“TSRI”). Under the terms of the Research Agreement, TSRI will perform research activities (the “Research Program”) to identify vaccine candidates for the prevention, diagnosis or treatment of influenza or beta coronaviruses (the “Field”). Unless otherwise mutually agreed by the parties, the Research Program will be completed by August 2023. Activities initiated under the Research Agreement for targets or indications pursued under the arrangement will be conducted in accordance with a research plan to be agreed upon by the parties (each, a “Research Plan”). The Company is obligated to provide the research funding necessary to carry out the Research Program pursuant to the budget outlined in each Research Plan. As of June 30, 2021, the Company paid TSRI $1.5 million in pre-paid funding, which will be credited against any research funding payable by the Company under the Research Agreement. Additionally, the Company is obligated to make specified payments to TSRI to the extent that TSRI complies with certain exclusivity covenants.</w:t>
      </w:r>
    </w:p>
    <w:p>
      <w:pPr>
        <w:spacing w:after="0" w:line="86"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Pursuant to the terms of the Research Agreement, the Company was granted an exclusive option (the Option) to acquire an exclusive, worldwide, sublicensable license under TSRI’s rights in certain patent rights and know-how for the exploitation of any vaccine product containing, comprised of, or derived from, any vaccine candidate identified or developed under the Research Program (each, a “TSRI Licensed Product”) in the Specified Field. Any licenses granted under the arrangement are subject to certain exceptions, conditions and reserved rights. The Company’s option is exercisable for a predefined period of time as outlined in the arrangement. Upon exercise of the Option, the Company is required to reimburse certain patent costs previously incurred by TSRI and bear all future related patent costs. Following the exercise of the Option, the Company has the sole right and responsibility for the further development and potential commercialization of the associated Licensed Product, at its sole cost and expense.</w:t>
      </w:r>
    </w:p>
    <w:p>
      <w:pPr>
        <w:spacing w:after="0" w:line="5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To the extent any Licensed Product covered by the Research Agreement is commercialized, the Company is obligated to pay TSRI royalties of a low single-digit percentage on a Licensed Product-by-Licensed Product and country-by-country basis based on a percentage of net sales, subject to reduction and floor. The Research Agreement will expire (i) when no further royalties are due to TSRI or (ii) twelve years from the first commercial sale of the Licensed Product, whichever is longer. The Company may terminate the Research Agreement at any time upon advance written notice to TSRI. In addition, TSRI may terminate the Research Agreement in the event of a material breach. Following expiration or termination, all licenses will terminate and revert to TSRI, all sublicenses granted by the Company will automatically terminate, and any then-existing sublicensees will have the right to obtain a direct license from TSRI.</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Milestone Achievements under the Adimab Assignment Agreement</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August 2021, the Company dosed the first patient in a Phase 3 global clinical trial evaluating ADG20 for the prevention of COVID-19, which resulted in a milestone payment of $4.0 million being due by the Company under the Adimab Assignment Agreement. The $4.0 million milestone will be expensed in the third quarter of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elsewhere in this Quarterly Report on Form 10-Q and our final prospectus for our initial public offering filed pursuant to Rule 424(b)(4) under the Securities Act of 1933, as amended, or the Securities Act, with the Securities and Exchange Commission, or SEC, on August 6, 2021 (the “Prospectus”). Unless the context requires otherwise, references in this Quarterly Report on Form 10-Q to “we,” “us,” and “our” refer to Adagio Therapeutics, Inc. together with its consolidated subsidiaries.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3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i w:val="1"/>
          <w:iCs w:val="1"/>
          <w:color w:val="auto"/>
        </w:rPr>
        <w:t>The information contained in this discussion and analysis or set forth elsewhere in this Quarterly Report on Form 10-Q, including information with respect to our plans and strategy for our business and related financing, includes forward-looking statements and information within the meaning of Section 27A of the Securities Act, and Section 21E of the Securities Exchange Act of 1934, as amended,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risks set forth in the “Risk Factors” section of this Quarterly Report on Form 10-Q and in our other filings with the SEC. These forward-looking statements are applicable only as of the date on which they are made and we do not assume any obligation to update any forward-looking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Adagio Therapeutics, Inc. is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w:t>
      </w:r>
    </w:p>
    <w:p>
      <w:pPr>
        <w:spacing w:after="0" w:line="70"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an ability in non-clinical studies to neutralize SARS-CoV-2, including variants of concern, as well as a broad range of SARS-like viruses with neutralization potency at IC</w:t>
      </w:r>
      <w:r>
        <w:rPr>
          <w:rFonts w:ascii="Arial" w:cs="Arial" w:eastAsia="Arial" w:hAnsi="Arial"/>
          <w:sz w:val="9"/>
          <w:szCs w:val="9"/>
          <w:color w:val="auto"/>
        </w:rPr>
        <w:t>50</w:t>
      </w:r>
      <w:r>
        <w:rPr>
          <w:rFonts w:ascii="Arial" w:cs="Arial" w:eastAsia="Arial" w:hAnsi="Arial"/>
          <w:sz w:val="17"/>
          <w:szCs w:val="17"/>
          <w:color w:val="auto"/>
        </w:rPr>
        <w:t xml:space="preserve"> (half maximal inhibitory concentrations) of approximately 0.01 mcg/mL or less in live-virus cellular assays. We believe this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neutralization activity will translate into a low-clinical dose which, in turn, may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the day following administration of ADG20 were similar to or exceeded peak serum neutralizing antibody titers generated after two doses of mRNA or adenovirus-based COVID-19 vaccines.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74"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We were formed in June 2020. In July 2020, we entered into an assignment and license agreement, or the Adimab Assignment Agreement, with Adimab, pursuant to which we acquired certain rights to Adimab’s antibodies relating to COVID-19 and severe acute respiratory syndrome, or SARS, as well as related provisional patent applications, know-how and data generated with respect to the associated antibodies. In addition, Adimab granted to us a non-exclusive, worldwide license to certain of Adimab’s platform patents and technology for use in research and development. In connection with the rights and license acquired, we issued 5,000,000 shares of our Series A preferred stock to Adimab.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jc w:val="both"/>
        <w:ind w:firstLine="509"/>
        <w:spacing w:after="0" w:line="304" w:lineRule="auto"/>
        <w:rPr>
          <w:sz w:val="20"/>
          <w:szCs w:val="20"/>
          <w:color w:val="auto"/>
        </w:rPr>
      </w:pPr>
      <w:r>
        <w:rPr>
          <w:rFonts w:ascii="Arial" w:cs="Arial" w:eastAsia="Arial" w:hAnsi="Arial"/>
          <w:sz w:val="16"/>
          <w:szCs w:val="16"/>
          <w:color w:val="auto"/>
        </w:rPr>
        <w:t>Since our inception, we have devoted substantially all of our resources to organizing and staffing, building an intellectual property portfolio, business planning, conducting research and development, establishing arrangements with third parties for the manufacture of our product candidates and raising capital. We rely heavily on external consultants and contract research organizations, or CROs, to conduct our non-clinical, preclinical and clinical activities. Additionally, we are currently dependent on WuXi Biologics (Hong Kong) Limited, or WuXi, a contract development and manufacturing organization, or CDMO, for the manufacture of our product candidates for clinical and commercial use. We expect to continue to rely on third parties for clinical trials and the manufacture and testing of our product candidates. Since our inception, we have financed our operations with proceeds from sales of our preferred stock, and most recently, with proceeds from our completed initial public offering, or IPO. Through June 30, 2021, we had received net proceeds of $464.7 million from the sales of our preferred stock. To date, we have not generated any revenue from any sources, including product sales. In February 2021, we advanced ADG20 into a Phase 1 clinical trial. We have not yet commenced significant development activities with respect to other product candidates. Our ability to generate product revenue sufficient to achieve profitability will depend heavily on the successful development and eventual commercialization of one or more of our product candidates, if approved. In August 2021, we completed our IPO pursuant to which we issued and sold 20,930,000 shares of our common stock, including 2,730,000 shares of common stock pursuant to the full exercise of the underwriters’ option to purchase additional shares. We received aggregate net proceeds from our IPO of approximately $330.9 million, after deducting underwriting discounts and commissions, but before deducting estimated offering expenses payable by the Company, which are estimated to be $3.8 million.</w:t>
      </w:r>
    </w:p>
    <w:p>
      <w:pPr>
        <w:spacing w:after="0" w:line="5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Since our inception, we have incurred significant losses, including net losses of $65.3 million for the period from June 3, 2020 (inception) to December 31, 2020 and of $83.4 million for six months ended June 30, 2021. As of June 30, 2021, we had an accumulated deficit of $148.7 million. We expect to continue to incur significant expenses and recognize substantial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We anticipate that our expenses will increase significantly in connection with our ongoing activities, as we:</w:t>
      </w:r>
    </w:p>
    <w:p>
      <w:pPr>
        <w:spacing w:after="0" w:line="84" w:lineRule="exact"/>
        <w:rPr>
          <w:sz w:val="20"/>
          <w:szCs w:val="20"/>
          <w:color w:val="auto"/>
        </w:rPr>
      </w:pPr>
    </w:p>
    <w:p>
      <w:pPr>
        <w:ind w:left="1080"/>
        <w:spacing w:after="0" w:line="359" w:lineRule="auto"/>
        <w:rPr>
          <w:sz w:val="20"/>
          <w:szCs w:val="20"/>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seek regulatory approval for any product candidates that successfully complete clinical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pursue marketing approvals or EUA and reimbursement for our product candidates;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acquire or in-license other product candidates, intellectual property and/or technologies;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 establish and validate our commercial-scale current good manufacturing practices, or cGMP, manufacturing process;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manufacture material under cGMP, for clinical trials and potential EUA and commercial sales at our contracted manufacturing facilities;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maintain, expand, enforce, defend and protect our intellectual property portfolio;</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comply with regulatory requirements established by the applicable regulatory authorities;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incur additional legal, accounting and other expenses in operating as a public company.</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jc w:val="both"/>
        <w:ind w:firstLine="509"/>
        <w:spacing w:after="0" w:line="271"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83"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48"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We believe that our existing cash and cash equivalents, including the net proceeds from our IPO received in August 2021, will enable us to fund our operating expenses and capital expenditure requirements into the first quarter of 2023. We have based this estimate on assumptions that may prove to be wrong, and we could exhaust our available capital resources sooner than we expect. See “—Liquidity and Capital Resources.”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 continued emergence of variants of concern (such as the widespread Delta variant), the availability, administration and acceptance of vaccines, monoclonal antibodies and other treatment modalities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83"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the outbreak and its impact on our clinical trial design and enrollment, trial sites, CROs, CDMOs and other third parties with which we do business, as well as its impact on regulatory authorities and our key scientific and management personnel. To date, we have experienced some delays and disruptions in our development activities as a result of the COVID-19 pandemic. In the future, we anticipate there could be additional or even significant disruptions, delays or uncertainties in our development activities as a result of the COVID-19 pandemic as the outbreak progresses and some of our CROs, CDMOs and other service providers continue to be impacted. We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 Research and development expenses represent costs incurred by us for:</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non-clinical and preclinical development of our product candidates, including our discovery efforts;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procurement of our product candidates from third-party manufacturers;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global clinical development of our product candidates.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costs consist of:</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expenses incurred under agreements with third parties, such as consultants, contractors and CROs, that conduct the non-clinical and preclinical studies and clinical trials of our product candidates and research programs;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costs of procuring manufactured product candidates for use in non-clinical studies, preclinical studies and clinical trials from third-party CDMOs;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costs of outside consultants and advisors, including their fees and stock-based compensation;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payments made under third-party licensing agreements;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 expenses incurred as a result of research and development activities.</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5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primary focus since inception has been the development of ADG20.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83"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ADG20 through clinical development on a global basis, pursue regulatory approval of ADG20, continue to discover and develop additional product candidates and incur expenses associated with hiring additional personnel to support our research and development efforts, including the associated manufacturing activities.</w:t>
      </w:r>
    </w:p>
    <w:p>
      <w:pPr>
        <w:spacing w:after="0" w:line="52"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timing and progress of preclinical and clinical development activities;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number and scope of preclinical and clinical programs we decide to pursue;</w:t>
      </w:r>
    </w:p>
    <w:p>
      <w:pPr>
        <w:spacing w:after="0" w:line="131"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auto"/>
        </w:rPr>
        <w:t>filing acceptable investigational new drug applications with the U.S. Food and Drug Administration or comparable foreign applications that allow commencement of our planned clinical trials or future clinical trials for our product candidates;</w:t>
      </w:r>
    </w:p>
    <w:p>
      <w:pPr>
        <w:spacing w:after="0" w:line="62"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jc w:val="both"/>
        <w:ind w:left="1080"/>
        <w:spacing w:after="0" w:line="293" w:lineRule="auto"/>
        <w:rPr>
          <w:sz w:val="20"/>
          <w:szCs w:val="20"/>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prevalence and severity of adverse events experienced with ADG20 or any other product candidates;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receipt of timely marketing approvals from applicable regulatory authorities;</w:t>
      </w:r>
    </w:p>
    <w:p>
      <w:pPr>
        <w:spacing w:after="0" w:line="131"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potential significant and changing government regulation, regulatory guidance and requirements and evolving treatment guidelines; and</w:t>
      </w:r>
    </w:p>
    <w:p>
      <w:pPr>
        <w:spacing w:after="0" w:line="154"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6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In addition, we may never succeed in obtaining regulatory approval or EUA for any of our product candidates.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Acquired in-process research and development, or IPR&amp;D, expenses consist primarily of the upfront costs we incurred in July 2020, as well as any costs of contingent milestone payments and royalties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we become obligated to make contingent milestone and royalty payments to Adimab under the terms of the agreement by which we acquired the IPR&amp;D assets.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6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We anticipate that our selling, general and administrative expenses will increase significantly in the future as our business expands and we increase our headcount to support the expected growth in our research and development activities and the potential commercialization of our product candidates. In particular, we expect to incur additional commercialization expenses prior to any regulatory approval or EUA of our product candidates as we continue to expand our commercial function to support potential future product launches. We also anticipate that we will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Through June 30, 2021, we have operated as a virtual company. Therefore, we do not incur material operating expenses for the rent, maintenance and insurance of facilities or for depreciation of fixed assets.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Interest income consists of interest earned from our cash and cash equivalents. We expect our interest income will increase slightly as we invest the cash received from our sales of Series C preferred stock in April 2021 and the net proceeds from our IPO.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For the three and six months ended June 30, 2021, and for the period from June 3, 2020 (inception) to June 30, 2020, the Company recorded no income tax benefits for the net operating losses incurred or for the research and development tax credits generated in each period, due to its uncertainty of realizing a benefit from those items.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2021 to the period from June 3, 2020 (inception) to June 30,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results of operations for the three months ended June 30, 2021 and for the period from June 3, 2020 (inception)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June 30, 2020:</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Period from</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June 3, 2020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(Inception) to</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5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5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35,067</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35,019</w:t>
            </w:r>
          </w:p>
        </w:tc>
        <w:tc>
          <w:tcPr>
            <w:tcW w:w="100" w:type="dxa"/>
            <w:vAlign w:val="bottom"/>
          </w:tcPr>
          <w:p>
            <w:pPr>
              <w:spacing w:after="0"/>
              <w:rPr>
                <w:sz w:val="21"/>
                <w:szCs w:val="21"/>
                <w:color w:val="auto"/>
              </w:rPr>
            </w:pPr>
          </w:p>
        </w:tc>
      </w:tr>
      <w:tr>
        <w:trPr>
          <w:trHeight w:val="263"/>
        </w:trPr>
        <w:tc>
          <w:tcPr>
            <w:tcW w:w="6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Acquired in-process research and development</w:t>
            </w: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22"/>
                <w:szCs w:val="22"/>
                <w:color w:val="auto"/>
              </w:rPr>
            </w:pPr>
          </w:p>
        </w:tc>
      </w:tr>
      <w:tr>
        <w:trPr>
          <w:trHeight w:val="250"/>
        </w:trPr>
        <w:tc>
          <w:tcPr>
            <w:tcW w:w="65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1"/>
                <w:szCs w:val="21"/>
                <w:color w:val="auto"/>
              </w:rPr>
            </w:pPr>
          </w:p>
        </w:tc>
      </w:tr>
      <w:tr>
        <w:trPr>
          <w:trHeight w:val="250"/>
        </w:trPr>
        <w:tc>
          <w:tcPr>
            <w:tcW w:w="65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(44,691 )</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(98 )</w:t>
            </w: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(44,593 )</w:t>
            </w:r>
          </w:p>
        </w:tc>
      </w:tr>
      <w:tr>
        <w:trPr>
          <w:trHeight w:val="256"/>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5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r>
      <w:tr>
        <w:trPr>
          <w:trHeight w:val="257"/>
        </w:trPr>
        <w:tc>
          <w:tcPr>
            <w:tcW w:w="6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(5 )</w:t>
            </w: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r>
      <w:tr>
        <w:trPr>
          <w:trHeight w:val="250"/>
        </w:trPr>
        <w:tc>
          <w:tcPr>
            <w:tcW w:w="654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tcPr>
          <w:p>
            <w:pPr>
              <w:spacing w:after="0"/>
              <w:rPr>
                <w:sz w:val="21"/>
                <w:szCs w:val="21"/>
                <w:color w:val="auto"/>
              </w:rPr>
            </w:pPr>
          </w:p>
        </w:tc>
      </w:tr>
      <w:tr>
        <w:trPr>
          <w:trHeight w:val="27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(44,673 )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(44,575 )</w:t>
            </w: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-1033780</wp:posOffset>
            </wp:positionV>
            <wp:extent cx="17145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-1033780</wp:posOffset>
            </wp:positionV>
            <wp:extent cx="15430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-1033780</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-365125</wp:posOffset>
            </wp:positionV>
            <wp:extent cx="17145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-365125</wp:posOffset>
            </wp:positionV>
            <wp:extent cx="1543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1714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1714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1543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1543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discussion presents the components of our expenses for the periods presented: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Period from</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June 3, 2020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(Inception) to</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6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r>
      <w:tr>
        <w:trPr>
          <w:trHeight w:val="25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research and development expenses by program:</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520" w:type="dxa"/>
            <w:vAlign w:val="bottom"/>
          </w:tcPr>
          <w:p>
            <w:pPr>
              <w:ind w:left="280"/>
              <w:spacing w:after="0"/>
              <w:rPr>
                <w:sz w:val="20"/>
                <w:szCs w:val="20"/>
                <w:color w:val="auto"/>
              </w:rPr>
            </w:pPr>
            <w:r>
              <w:rPr>
                <w:rFonts w:ascii="Arial" w:cs="Arial" w:eastAsia="Arial" w:hAnsi="Arial"/>
                <w:sz w:val="18"/>
                <w:szCs w:val="18"/>
                <w:color w:val="auto"/>
              </w:rPr>
              <w:t>ADG20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28,031</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28,031</w:t>
            </w:r>
          </w:p>
        </w:tc>
        <w:tc>
          <w:tcPr>
            <w:tcW w:w="100" w:type="dxa"/>
            <w:vAlign w:val="bottom"/>
          </w:tcPr>
          <w:p>
            <w:pPr>
              <w:spacing w:after="0"/>
              <w:rPr>
                <w:sz w:val="21"/>
                <w:szCs w:val="21"/>
                <w:color w:val="auto"/>
              </w:rPr>
            </w:pPr>
          </w:p>
        </w:tc>
      </w:tr>
      <w:tr>
        <w:trPr>
          <w:trHeight w:val="263"/>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520" w:type="dxa"/>
            <w:vAlign w:val="bottom"/>
          </w:tcPr>
          <w:p>
            <w:pPr>
              <w:ind w:left="280"/>
              <w:spacing w:after="0"/>
              <w:rPr>
                <w:sz w:val="20"/>
                <w:szCs w:val="20"/>
                <w:color w:val="auto"/>
              </w:rPr>
            </w:pPr>
            <w:r>
              <w:rPr>
                <w:rFonts w:ascii="Arial" w:cs="Arial" w:eastAsia="Arial" w:hAnsi="Arial"/>
                <w:sz w:val="18"/>
                <w:szCs w:val="18"/>
                <w:color w:val="auto"/>
              </w:rPr>
              <w:t>Personnel-related costs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5,340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89"/>
              </w:rPr>
              <w:t>48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r>
      <w:tr>
        <w:trPr>
          <w:trHeight w:val="257"/>
        </w:trPr>
        <w:tc>
          <w:tcPr>
            <w:tcW w:w="65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External discovery-related and other costs</w:t>
            </w:r>
          </w:p>
        </w:tc>
        <w:tc>
          <w:tcPr>
            <w:tcW w:w="1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20" w:type="dxa"/>
            <w:vAlign w:val="bottom"/>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35,067</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ind w:left="980"/>
              <w:spacing w:after="0"/>
              <w:rPr>
                <w:sz w:val="20"/>
                <w:szCs w:val="20"/>
                <w:color w:val="auto"/>
              </w:rPr>
            </w:pPr>
            <w:r>
              <w:rPr>
                <w:rFonts w:ascii="Arial" w:cs="Arial" w:eastAsia="Arial" w:hAnsi="Arial"/>
                <w:sz w:val="18"/>
                <w:szCs w:val="18"/>
                <w:color w:val="auto"/>
                <w:w w:val="89"/>
              </w:rPr>
              <w:t>48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35,019</w:t>
            </w:r>
          </w:p>
        </w:tc>
        <w:tc>
          <w:tcPr>
            <w:tcW w:w="100" w:type="dxa"/>
            <w:vAlign w:val="bottom"/>
          </w:tcPr>
          <w:p>
            <w:pPr>
              <w:spacing w:after="0"/>
              <w:rPr>
                <w:sz w:val="21"/>
                <w:szCs w:val="2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-193675</wp:posOffset>
            </wp:positionV>
            <wp:extent cx="17145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wp:posOffset>
            </wp:positionV>
            <wp:extent cx="15430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4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Research and development expenses were $35.1 million for the three months ended June 30, 2021, compared to less than $0.1 million for the period from June 3, 2020 (inception) to June 30, 2020. The increase of $28.0 million in direct costs related to our ADG20 program was primarily due to overall increases in our clinical study costs and manufacturing expenses, for which there were no costs incurred during the period from June 3, 2020 (inception) to June 30, 2020.</w:t>
      </w:r>
    </w:p>
    <w:p>
      <w:pPr>
        <w:spacing w:after="0" w:line="30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Personnel-related costs, including salaries, bonuses, benefits and other compensation-related costs, were $4.1 million and stock-based compensation expense was $1.2 million for the three months ended June 30, 2021, compared to personnel-related costs of less than $0.1 million for the period from June 3, 2020 (inception) to June 30, 2020. The overall increase in personnel-related costs is attributable to the hiring of individuals to support the development of ADG20. The increase in external discovery related costs and other of $1.7 million was primarily driven by $1.2 million in professional services and consulting costs and $0.5 million of other research and development related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3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Acquired IPR&amp;D expenses of $2.5 million for three months ended June 30, 2021 consisted of the cost we incurred in the period under the Adimab Assignment Agreement for a milestone payment that became due to Adimab in April 2021 upon the dosing of the first patient in a Phase 2 clinical trial evaluating ADG20. The amount of this contingent payment was recognized as an IPR&amp;D expense based on the nature of the associated assets acquired from Adimab on the date of the milestone achievement. We expensed the cost of the IPR&amp;D assets because they had no alternative future use as of the acquisition date. The Company did not incur any IPR&amp;D expense for the period from June 3, 2020 (inception) to June 30, 2020.</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Three Months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June 3, 2020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(Inception) to</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r>
      <w:tr>
        <w:trPr>
          <w:trHeight w:val="25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FF0FC"/>
          </w:tcPr>
          <w:p>
            <w:pPr>
              <w:spacing w:after="0"/>
              <w:rPr>
                <w:sz w:val="21"/>
                <w:szCs w:val="21"/>
                <w:color w:val="auto"/>
              </w:rPr>
            </w:pP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Professional and consultant fees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r>
      <w:tr>
        <w:trPr>
          <w:trHeight w:val="257"/>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40" w:type="dxa"/>
            <w:vAlign w:val="bottom"/>
          </w:tcPr>
          <w:p>
            <w:pPr>
              <w:ind w:left="280"/>
              <w:spacing w:after="0"/>
              <w:rPr>
                <w:sz w:val="20"/>
                <w:szCs w:val="20"/>
                <w:color w:val="auto"/>
              </w:rPr>
            </w:pPr>
            <w:r>
              <w:rPr>
                <w:rFonts w:ascii="Arial" w:cs="Arial" w:eastAsia="Arial" w:hAnsi="Arial"/>
                <w:sz w:val="18"/>
                <w:szCs w:val="18"/>
                <w:color w:val="auto"/>
              </w:rPr>
              <w:t>Total selling, general and 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7,124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-193675</wp:posOffset>
            </wp:positionV>
            <wp:extent cx="17145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wp:posOffset>
            </wp:positionV>
            <wp:extent cx="15430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Selling, general and administrative expenses for the three months ended June 30, 2021 were $7.1 million, compared to $0.1 million for the period from June 3, 2020 (inception) to June 30, 2020. Personnel-related costs increased by $4.0 million due to increased hiring to support general and administrative functions. Personnel-related costs included salaries and wages and stock-based compensation expense of $1.9 million and $2.2 million, respectively, for the three months ended June 30, 2021, compared to $0 for the period from June 3, 2020 (inception) to June 30, 2020. The increase of $2.9 million in professional services and consultant fees and $0.1 million of other expenses is attributable to costs incurred as we prepared to become a public company.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Other income was less than $0.1 million for the three months ended June 30, 2021 and $0 for the period from June 3, 2020 (inception) to June 30, 2020, consisting primarily of interest earned on invested cash balances.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2021 to the period from June 3, 2020 (inception) to June 30, 2020</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summarizes our results of operations for the six months ended June 30, 2021 and for the period from June 3, 2020 (inception) to June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Period from</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Six Months</w:t>
            </w:r>
          </w:p>
        </w:tc>
        <w:tc>
          <w:tcPr>
            <w:tcW w:w="18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June 3, 2020</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6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5"/>
                <w:szCs w:val="15"/>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(Inception) to</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4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6"/>
                <w:szCs w:val="16"/>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r>
      <w:tr>
        <w:trPr>
          <w:trHeight w:val="25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9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6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69,204</w:t>
            </w:r>
          </w:p>
        </w:tc>
        <w:tc>
          <w:tcPr>
            <w:tcW w:w="2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69,156</w:t>
            </w:r>
          </w:p>
        </w:tc>
        <w:tc>
          <w:tcPr>
            <w:tcW w:w="100" w:type="dxa"/>
            <w:vAlign w:val="bottom"/>
          </w:tcPr>
          <w:p>
            <w:pPr>
              <w:spacing w:after="0"/>
              <w:rPr>
                <w:sz w:val="21"/>
                <w:szCs w:val="21"/>
                <w:color w:val="auto"/>
              </w:rPr>
            </w:pPr>
          </w:p>
        </w:tc>
      </w:tr>
      <w:tr>
        <w:trPr>
          <w:trHeight w:val="263"/>
        </w:trPr>
        <w:tc>
          <w:tcPr>
            <w:tcW w:w="4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Acquired in-process research and development</w:t>
            </w:r>
          </w:p>
        </w:tc>
        <w:tc>
          <w:tcPr>
            <w:tcW w:w="1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FF0FC"/>
          </w:tcPr>
          <w:p>
            <w:pPr>
              <w:spacing w:after="0"/>
              <w:rPr>
                <w:sz w:val="22"/>
                <w:szCs w:val="22"/>
                <w:color w:val="auto"/>
              </w:rPr>
            </w:pPr>
          </w:p>
        </w:tc>
      </w:tr>
      <w:tr>
        <w:trPr>
          <w:trHeight w:val="250"/>
        </w:trPr>
        <w:tc>
          <w:tcPr>
            <w:tcW w:w="460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9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tcPr>
          <w:p>
            <w:pPr>
              <w:spacing w:after="0"/>
              <w:rPr>
                <w:sz w:val="21"/>
                <w:szCs w:val="21"/>
                <w:color w:val="auto"/>
              </w:rPr>
            </w:pPr>
          </w:p>
        </w:tc>
      </w:tr>
      <w:tr>
        <w:trPr>
          <w:trHeight w:val="250"/>
        </w:trPr>
        <w:tc>
          <w:tcPr>
            <w:tcW w:w="46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19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83,399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4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(83,399 )</w:t>
            </w:r>
          </w:p>
        </w:tc>
        <w:tc>
          <w:tcPr>
            <w:tcW w:w="18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(98 )</w:t>
            </w: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(83,301 )</w:t>
            </w:r>
          </w:p>
        </w:tc>
      </w:tr>
      <w:tr>
        <w:trPr>
          <w:trHeight w:val="25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94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16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6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r>
      <w:tr>
        <w:trPr>
          <w:trHeight w:val="257"/>
        </w:trPr>
        <w:tc>
          <w:tcPr>
            <w:tcW w:w="4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w:t>
            </w:r>
          </w:p>
        </w:tc>
        <w:tc>
          <w:tcPr>
            <w:tcW w:w="19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(6 )</w:t>
            </w:r>
          </w:p>
        </w:tc>
        <w:tc>
          <w:tcPr>
            <w:tcW w:w="18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(6 )</w:t>
            </w:r>
          </w:p>
        </w:tc>
      </w:tr>
      <w:tr>
        <w:trPr>
          <w:trHeight w:val="250"/>
        </w:trPr>
        <w:tc>
          <w:tcPr>
            <w:tcW w:w="460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other income (expense), net</w:t>
            </w:r>
          </w:p>
        </w:tc>
        <w:tc>
          <w:tcPr>
            <w:tcW w:w="194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FF0FC"/>
            </w:tcBorders>
          </w:tcPr>
          <w:p>
            <w:pPr>
              <w:spacing w:after="0"/>
              <w:rPr>
                <w:sz w:val="21"/>
                <w:szCs w:val="21"/>
                <w:color w:val="auto"/>
              </w:rPr>
            </w:pPr>
          </w:p>
        </w:tc>
      </w:tr>
      <w:tr>
        <w:trPr>
          <w:trHeight w:val="290"/>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2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(83,373 )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(83,275 )</w:t>
            </w:r>
          </w:p>
        </w:tc>
      </w:tr>
      <w:tr>
        <w:trPr>
          <w:trHeight w:val="662"/>
        </w:trPr>
        <w:tc>
          <w:tcPr>
            <w:tcW w:w="4600" w:type="dxa"/>
            <w:vAlign w:val="bottom"/>
            <w:tcBorders>
              <w:top w:val="single" w:sz="8" w:color="CFF0FC"/>
            </w:tcBorders>
          </w:tcPr>
          <w:p>
            <w:pPr>
              <w:spacing w:after="0"/>
              <w:rPr>
                <w:sz w:val="24"/>
                <w:szCs w:val="24"/>
                <w:color w:val="auto"/>
              </w:rPr>
            </w:pPr>
          </w:p>
        </w:tc>
        <w:tc>
          <w:tcPr>
            <w:tcW w:w="1940" w:type="dxa"/>
            <w:vAlign w:val="bottom"/>
            <w:tcBorders>
              <w:top w:val="single" w:sz="8" w:color="CFF0FC"/>
            </w:tcBorders>
          </w:tcPr>
          <w:p>
            <w:pPr>
              <w:jc w:val="right"/>
              <w:ind w:right="730"/>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-1548130</wp:posOffset>
            </wp:positionV>
            <wp:extent cx="17145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-1548130</wp:posOffset>
            </wp:positionV>
            <wp:extent cx="15430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-1548130</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-879475</wp:posOffset>
            </wp:positionV>
            <wp:extent cx="17145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-879475</wp:posOffset>
            </wp:positionV>
            <wp:extent cx="15430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-879475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-539750</wp:posOffset>
            </wp:positionV>
            <wp:extent cx="1714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-522605</wp:posOffset>
            </wp:positionV>
            <wp:extent cx="1714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-539750</wp:posOffset>
            </wp:positionV>
            <wp:extent cx="1543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-522605</wp:posOffset>
            </wp:positionV>
            <wp:extent cx="1543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-539750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Six Months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June 3, 2020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(Inception) to</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r>
      <w:tr>
        <w:trPr>
          <w:trHeight w:val="25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research and development expenses by program:</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540" w:type="dxa"/>
            <w:vAlign w:val="bottom"/>
          </w:tcPr>
          <w:p>
            <w:pPr>
              <w:ind w:left="280"/>
              <w:spacing w:after="0"/>
              <w:rPr>
                <w:sz w:val="20"/>
                <w:szCs w:val="20"/>
                <w:color w:val="auto"/>
              </w:rPr>
            </w:pPr>
            <w:r>
              <w:rPr>
                <w:rFonts w:ascii="Arial" w:cs="Arial" w:eastAsia="Arial" w:hAnsi="Arial"/>
                <w:sz w:val="18"/>
                <w:szCs w:val="18"/>
                <w:color w:val="auto"/>
              </w:rPr>
              <w:t>ADG20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58,683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ind w:left="10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58,683</w:t>
            </w:r>
          </w:p>
        </w:tc>
        <w:tc>
          <w:tcPr>
            <w:tcW w:w="100" w:type="dxa"/>
            <w:vAlign w:val="bottom"/>
          </w:tcPr>
          <w:p>
            <w:pPr>
              <w:spacing w:after="0"/>
              <w:rPr>
                <w:sz w:val="21"/>
                <w:szCs w:val="21"/>
                <w:color w:val="auto"/>
              </w:rPr>
            </w:pPr>
          </w:p>
        </w:tc>
      </w:tr>
      <w:tr>
        <w:trPr>
          <w:trHeight w:val="26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540" w:type="dxa"/>
            <w:vAlign w:val="bottom"/>
          </w:tcPr>
          <w:p>
            <w:pPr>
              <w:ind w:left="280"/>
              <w:spacing w:after="0"/>
              <w:rPr>
                <w:sz w:val="20"/>
                <w:szCs w:val="20"/>
                <w:color w:val="auto"/>
              </w:rPr>
            </w:pPr>
            <w:r>
              <w:rPr>
                <w:rFonts w:ascii="Arial" w:cs="Arial" w:eastAsia="Arial" w:hAnsi="Arial"/>
                <w:sz w:val="18"/>
                <w:szCs w:val="18"/>
                <w:color w:val="auto"/>
              </w:rPr>
              <w:t>Personnel-related costs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ind w:left="1000"/>
              <w:spacing w:after="0"/>
              <w:rPr>
                <w:sz w:val="20"/>
                <w:szCs w:val="20"/>
                <w:color w:val="auto"/>
              </w:rPr>
            </w:pPr>
            <w:r>
              <w:rPr>
                <w:rFonts w:ascii="Arial" w:cs="Arial" w:eastAsia="Arial" w:hAnsi="Arial"/>
                <w:sz w:val="18"/>
                <w:szCs w:val="18"/>
                <w:color w:val="auto"/>
                <w:w w:val="89"/>
              </w:rPr>
              <w:t>48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21"/>
                <w:szCs w:val="21"/>
                <w:color w:val="auto"/>
              </w:rPr>
            </w:pPr>
          </w:p>
        </w:tc>
      </w:tr>
      <w:tr>
        <w:trPr>
          <w:trHeight w:val="257"/>
        </w:trPr>
        <w:tc>
          <w:tcPr>
            <w:tcW w:w="65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External discovery-related and other costs</w:t>
            </w:r>
          </w:p>
        </w:tc>
        <w:tc>
          <w:tcPr>
            <w:tcW w:w="2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40" w:type="dxa"/>
            <w:vAlign w:val="bottom"/>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69,204</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ind w:left="1000"/>
              <w:spacing w:after="0"/>
              <w:rPr>
                <w:sz w:val="20"/>
                <w:szCs w:val="20"/>
                <w:color w:val="auto"/>
              </w:rPr>
            </w:pPr>
            <w:r>
              <w:rPr>
                <w:rFonts w:ascii="Arial" w:cs="Arial" w:eastAsia="Arial" w:hAnsi="Arial"/>
                <w:sz w:val="18"/>
                <w:szCs w:val="18"/>
                <w:color w:val="auto"/>
                <w:w w:val="89"/>
              </w:rPr>
              <w:t>48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69,156</w:t>
            </w:r>
          </w:p>
        </w:tc>
        <w:tc>
          <w:tcPr>
            <w:tcW w:w="100" w:type="dxa"/>
            <w:vAlign w:val="bottom"/>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-193675</wp:posOffset>
            </wp:positionV>
            <wp:extent cx="17145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wp:posOffset>
            </wp:positionV>
            <wp:extent cx="15430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4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Research and development expenses were $69.2 million for the six months ended June 30, 2021, compared to less than $0.1 million for the period from June 3, 2020 (inception) to June 30, 2020. The increase of $58.7 million in direct costs related to our ADG20 program was primarily due to overall increases in our clinical study costs and manufacturing expenses, for which there were no costs incurred for the period from June 3, 2020 (inception) to June 30, 2020.</w:t>
      </w:r>
    </w:p>
    <w:p>
      <w:pPr>
        <w:spacing w:after="0" w:line="307"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Personnel-related costs, including salaries, bonuses, benefits and other compensation-related costs, were $6.2 million and stock-based compensation expense was $1.4 million for the six months ended June 30, 2021, compared to personnel-related costs of less than $0.1 million for the period from June 3, 2020 (inception) to June 30, 2020. The overall increase in personnel-related costs is attributable to the hiring of more individuals to support the development of ADG20. The increase in external discovery-related and other costs and other of $2.9 million was primarily driven by $2.1 million in professional services and consulting services and $0.8 million of other research and development related costs.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3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Acquired IPR&amp;D expenses of $3.5 million for the six months ended June 30, 2021 consisted of the costs we incurred in the period under the Adimab Assignment Agreement for a $1.0 million milestone payment that became due to Adimab in February 2021 upon the dosing of the first patient in a Phase 1 clinical trial evaluating ADG20 and a $2.5 million milestone payment that became due to Adimab in April 2021 upon the dosing of the first patient in the first Phase 3 clinical trial of a product licensed under the agreement. The amounts of these contingent payments were recognized as an IPR&amp;D expense based on the nature of the associated assets acquired from Adimab on the date of the milestone achievement. We expensed the cost of the IPR&amp;D assets because they had no alternative future use as of the acquisition date. The Company did not incur any IPR&amp;D expense for the period from June 3, 2020 (inception) to June 30, 2020.</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Six Months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June 3, 2020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(Inception) to</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8"/>
                <w:szCs w:val="18"/>
                <w:color w:val="auto"/>
              </w:rPr>
            </w:pPr>
          </w:p>
        </w:tc>
      </w:tr>
      <w:tr>
        <w:trPr>
          <w:trHeight w:val="250"/>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5,549</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5,501</w:t>
            </w:r>
          </w:p>
        </w:tc>
        <w:tc>
          <w:tcPr>
            <w:tcW w:w="100" w:type="dxa"/>
            <w:vAlign w:val="bottom"/>
            <w:shd w:val="clear" w:color="auto" w:fill="CFF0FC"/>
          </w:tcPr>
          <w:p>
            <w:pPr>
              <w:spacing w:after="0"/>
              <w:rPr>
                <w:sz w:val="21"/>
                <w:szCs w:val="21"/>
                <w:color w:val="auto"/>
              </w:rPr>
            </w:pPr>
          </w:p>
        </w:tc>
      </w:tr>
      <w:tr>
        <w:trPr>
          <w:trHeight w:val="250"/>
        </w:trPr>
        <w:tc>
          <w:tcPr>
            <w:tcW w:w="6540" w:type="dxa"/>
            <w:vAlign w:val="bottom"/>
          </w:tcPr>
          <w:p>
            <w:pPr>
              <w:ind w:left="20"/>
              <w:spacing w:after="0"/>
              <w:rPr>
                <w:sz w:val="20"/>
                <w:szCs w:val="20"/>
                <w:color w:val="auto"/>
              </w:rPr>
            </w:pPr>
            <w:r>
              <w:rPr>
                <w:rFonts w:ascii="Arial" w:cs="Arial" w:eastAsia="Arial" w:hAnsi="Arial"/>
                <w:sz w:val="18"/>
                <w:szCs w:val="18"/>
                <w:color w:val="auto"/>
              </w:rPr>
              <w:t>Professional and consultant fees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1"/>
                <w:szCs w:val="21"/>
                <w:color w:val="auto"/>
              </w:rPr>
            </w:pPr>
          </w:p>
        </w:tc>
      </w:tr>
      <w:tr>
        <w:trPr>
          <w:trHeight w:val="257"/>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540" w:type="dxa"/>
            <w:vAlign w:val="bottom"/>
          </w:tcPr>
          <w:p>
            <w:pPr>
              <w:ind w:left="280"/>
              <w:spacing w:after="0"/>
              <w:rPr>
                <w:sz w:val="20"/>
                <w:szCs w:val="20"/>
                <w:color w:val="auto"/>
              </w:rPr>
            </w:pPr>
            <w:r>
              <w:rPr>
                <w:rFonts w:ascii="Arial" w:cs="Arial" w:eastAsia="Arial" w:hAnsi="Arial"/>
                <w:sz w:val="18"/>
                <w:szCs w:val="18"/>
                <w:color w:val="auto"/>
              </w:rPr>
              <w:t>Total selling, general and administrative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10,695</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-193675</wp:posOffset>
            </wp:positionV>
            <wp:extent cx="17145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-193675</wp:posOffset>
            </wp:positionV>
            <wp:extent cx="15430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Selling, general and administrative expenses for the six months ended June 30, 2021 were $10.7 million, compared to $0.1 million for the period from June 3, 2020 (inception) to June 30, 2020. Personnel-related costs increased by $5.5 million due to increased hiring to support general and administrative functions. Personnel-related costs included salaries and wages and stock-based compensation expense of $3.0 million and $2.5 million, respectively, for the six months ended June 30, 2021, compared to $0 for the period from June 3, 2020 (inception) to June 30, 2020. The increase of $4.9 million in professional services and consultant fees and $0.2 million in other expenses is attributable to costs incurred as we prepared to operate as a public company.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Other income was less than $0.1 million for the six months ended June 30, 2021 and $0 for the period from June 3, 2020 (inception) to June 30, 2020, consisting of primarily of interest earned on invested cash balances.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jc w:val="center"/>
        <w:ind w:right="8740"/>
        <w:spacing w:after="0"/>
        <w:rPr>
          <w:sz w:val="20"/>
          <w:szCs w:val="20"/>
          <w:color w:val="auto"/>
        </w:rPr>
      </w:pPr>
      <w:r>
        <w:rPr>
          <w:rFonts w:ascii="Arial" w:cs="Arial" w:eastAsia="Arial" w:hAnsi="Arial"/>
          <w:sz w:val="16"/>
          <w:szCs w:val="16"/>
          <w:b w:val="1"/>
          <w:bCs w:val="1"/>
          <w:color w:val="auto"/>
        </w:rPr>
        <w:t>Liquidity and Capital Resources</w:t>
      </w:r>
    </w:p>
    <w:p>
      <w:pPr>
        <w:spacing w:after="0" w:line="158" w:lineRule="exact"/>
        <w:rPr>
          <w:sz w:val="20"/>
          <w:szCs w:val="20"/>
          <w:color w:val="auto"/>
        </w:rPr>
      </w:pPr>
    </w:p>
    <w:p>
      <w:pPr>
        <w:jc w:val="center"/>
        <w:ind w:right="87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Since our inception in June 2020, we have not generated any revenue from any sources, including from product sales, and have incurred significant operating losses and negative cash flows from operations. We expect to incur significant expenses and operating losses for the foreseeable future as we advance the clinical development of our product candidates. To date, we have funded our operations with proceeds from sales of our preferred stock, and most recently, with proceeds from our IPO completed in August 2021. Through June 30, 2021, we had received net proceeds of $464.7 million from sales of our preferred stock. As of June 30, 2021, we had cash and cash equivalents of $392.5 million.</w:t>
      </w:r>
    </w:p>
    <w:p>
      <w:pPr>
        <w:spacing w:after="0" w:line="66" w:lineRule="exact"/>
        <w:rPr>
          <w:sz w:val="20"/>
          <w:szCs w:val="20"/>
          <w:color w:val="auto"/>
        </w:rPr>
      </w:pPr>
    </w:p>
    <w:p>
      <w:pPr>
        <w:jc w:val="both"/>
        <w:ind w:firstLine="560"/>
        <w:spacing w:after="0" w:line="275" w:lineRule="auto"/>
        <w:rPr>
          <w:sz w:val="20"/>
          <w:szCs w:val="20"/>
          <w:color w:val="auto"/>
        </w:rPr>
      </w:pPr>
      <w:r>
        <w:rPr>
          <w:rFonts w:ascii="Arial" w:cs="Arial" w:eastAsia="Arial" w:hAnsi="Arial"/>
          <w:sz w:val="18"/>
          <w:szCs w:val="18"/>
          <w:color w:val="auto"/>
        </w:rPr>
        <w:t>In August 2021, we completed our IPO pursuant to which we issued and sold 20,930,000 shares of our common stock, including 2,730,000 shares of common stock pursuant to the full exercise of the underwriters’ option to purchase additional shares. We received aggregate net proceeds from our IPO of approximately $330.9 million, after deducting underwriting discounts and commissions, but before deducting estimated offering expenses payable by the Company, which are estimated to be $3.8 million.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81"/>
              <w:spacing w:after="0"/>
              <w:rPr>
                <w:sz w:val="20"/>
                <w:szCs w:val="20"/>
                <w:color w:val="auto"/>
              </w:rPr>
            </w:pPr>
            <w:r>
              <w:rPr>
                <w:rFonts w:ascii="Arial" w:cs="Arial" w:eastAsia="Arial" w:hAnsi="Arial"/>
                <w:sz w:val="14"/>
                <w:szCs w:val="14"/>
                <w:b w:val="1"/>
                <w:bCs w:val="1"/>
                <w:color w:val="auto"/>
                <w:w w:val="94"/>
              </w:rPr>
              <w:t>Period from</w:t>
            </w:r>
          </w:p>
        </w:tc>
        <w:tc>
          <w:tcPr>
            <w:tcW w:w="100" w:type="dxa"/>
            <w:vAlign w:val="bottom"/>
          </w:tcPr>
          <w:p>
            <w:pPr>
              <w:spacing w:after="0"/>
              <w:rPr>
                <w:sz w:val="15"/>
                <w:szCs w:val="15"/>
                <w:color w:val="auto"/>
              </w:rPr>
            </w:pPr>
          </w:p>
        </w:tc>
      </w:tr>
      <w:tr>
        <w:trPr>
          <w:trHeight w:val="175"/>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Six Months</w:t>
            </w:r>
          </w:p>
        </w:tc>
        <w:tc>
          <w:tcPr>
            <w:tcW w:w="240" w:type="dxa"/>
            <w:vAlign w:val="bottom"/>
          </w:tcPr>
          <w:p>
            <w:pPr>
              <w:spacing w:after="0"/>
              <w:rPr>
                <w:sz w:val="15"/>
                <w:szCs w:val="15"/>
                <w:color w:val="auto"/>
              </w:rPr>
            </w:pPr>
          </w:p>
        </w:tc>
        <w:tc>
          <w:tcPr>
            <w:tcW w:w="136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June 3, 2020</w:t>
            </w:r>
          </w:p>
        </w:tc>
        <w:tc>
          <w:tcPr>
            <w:tcW w:w="100" w:type="dxa"/>
            <w:vAlign w:val="bottom"/>
          </w:tcPr>
          <w:p>
            <w:pPr>
              <w:spacing w:after="0"/>
              <w:rPr>
                <w:sz w:val="15"/>
                <w:szCs w:val="15"/>
                <w:color w:val="auto"/>
              </w:rPr>
            </w:pPr>
          </w:p>
        </w:tc>
      </w:tr>
      <w:tr>
        <w:trPr>
          <w:trHeight w:val="176"/>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5"/>
                <w:szCs w:val="15"/>
                <w:color w:val="auto"/>
              </w:rPr>
            </w:pPr>
          </w:p>
        </w:tc>
        <w:tc>
          <w:tcPr>
            <w:tcW w:w="1360" w:type="dxa"/>
            <w:vAlign w:val="bottom"/>
          </w:tcPr>
          <w:p>
            <w:pPr>
              <w:jc w:val="center"/>
              <w:ind w:right="201"/>
              <w:spacing w:after="0"/>
              <w:rPr>
                <w:sz w:val="20"/>
                <w:szCs w:val="20"/>
                <w:color w:val="auto"/>
              </w:rPr>
            </w:pPr>
            <w:r>
              <w:rPr>
                <w:rFonts w:ascii="Arial" w:cs="Arial" w:eastAsia="Arial" w:hAnsi="Arial"/>
                <w:sz w:val="14"/>
                <w:szCs w:val="14"/>
                <w:b w:val="1"/>
                <w:bCs w:val="1"/>
                <w:color w:val="auto"/>
                <w:w w:val="94"/>
              </w:rPr>
              <w:t>(Inception) to</w:t>
            </w:r>
          </w:p>
        </w:tc>
        <w:tc>
          <w:tcPr>
            <w:tcW w:w="100" w:type="dxa"/>
            <w:vAlign w:val="bottom"/>
          </w:tcPr>
          <w:p>
            <w:pPr>
              <w:spacing w:after="0"/>
              <w:rPr>
                <w:sz w:val="15"/>
                <w:szCs w:val="15"/>
                <w:color w:val="auto"/>
              </w:rPr>
            </w:pPr>
          </w:p>
        </w:tc>
      </w:tr>
      <w:tr>
        <w:trPr>
          <w:trHeight w:val="186"/>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6"/>
                <w:szCs w:val="16"/>
                <w:color w:val="auto"/>
              </w:rPr>
            </w:pPr>
          </w:p>
        </w:tc>
        <w:tc>
          <w:tcPr>
            <w:tcW w:w="136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8"/>
                <w:szCs w:val="18"/>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(57,311 )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ind w:left="11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334,832</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90"/>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277,521</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1714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714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During the six months ended June 30, 2021, operating activities used $57.3 million of cash, primarily due to our net loss of $83.4 million, partially offset by non-cash stock-based compensation expense of $3.9 million and net cash provided by changes in our operating assets and liabilities of $22.1 million. Net cash provided by changes in our operating assets and liabilities consisted of a $2.2 million increase in accounts payable and a $21.1 million increase in accrued expenses, both partially offset by a $1.2 million increase in prepaid expenses and other 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was primarily due to prepayments for external research and development activities. We had no cash used in or provided by operating activities for the period from June 3, 2020 (inception) to June 30, 2020.</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had no cash used in or provided by investing activities for six months ended June 30, 2021 or for the period from June 3, 2020 (inception) to June 30, 2020.</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During the six months ended June 30, 2021 net cash provided by financing activities was $335.3 million, which is primarily related to net proceeds from the issuance of our Series C preferred stock in April 2021. We had no cash used in or provided by financing activities for the period from June 3, 2020 (inception) to June 30,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non-clinical and preclinical studies and the current and future clinical trials of our product candidates. Our funding requirements and timing and amount of our operating expenditures will depend on many factors, including:</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rate of progress in the development of AGD20 and our other product candidates;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1"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75" w:lineRule="exact"/>
        <w:rPr>
          <w:sz w:val="20"/>
          <w:szCs w:val="20"/>
          <w:color w:val="auto"/>
        </w:rPr>
      </w:pPr>
    </w:p>
    <w:p>
      <w:pPr>
        <w:ind w:left="1080" w:right="4000"/>
        <w:spacing w:after="0" w:line="440" w:lineRule="auto"/>
        <w:rPr>
          <w:sz w:val="20"/>
          <w:szCs w:val="20"/>
          <w:color w:val="auto"/>
        </w:rPr>
      </w:pPr>
      <w:r>
        <w:rPr>
          <w:rFonts w:ascii="Arial" w:cs="Arial" w:eastAsia="Arial" w:hAnsi="Arial"/>
          <w:sz w:val="16"/>
          <w:szCs w:val="16"/>
          <w:color w:val="auto"/>
        </w:rPr>
        <w:t>the number and development requirements of product candidates that we may pursue; the costs, timing and outcome of regulatory review of our product candidates;</w:t>
      </w:r>
    </w:p>
    <w:p>
      <w:pPr>
        <w:jc w:val="both"/>
        <w:ind w:left="1080"/>
        <w:spacing w:after="0" w:line="293" w:lineRule="auto"/>
        <w:rPr>
          <w:sz w:val="20"/>
          <w:szCs w:val="20"/>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jc w:val="both"/>
        <w:ind w:left="1080"/>
        <w:spacing w:after="0" w:line="293" w:lineRule="auto"/>
        <w:rPr>
          <w:sz w:val="20"/>
          <w:szCs w:val="20"/>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costs we incur in maintaining business operations;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to implement additional internal systems and infrastructure;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effect of competing technological, product and market developments;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costs of operating as a public company; and</w:t>
      </w:r>
    </w:p>
    <w:p>
      <w:pPr>
        <w:spacing w:after="0" w:line="131" w:lineRule="exact"/>
        <w:rPr>
          <w:sz w:val="20"/>
          <w:szCs w:val="20"/>
          <w:color w:val="auto"/>
        </w:rPr>
      </w:pPr>
    </w:p>
    <w:p>
      <w:pPr>
        <w:jc w:val="both"/>
        <w:ind w:left="1080" w:right="20"/>
        <w:spacing w:after="0" w:line="279" w:lineRule="auto"/>
        <w:rPr>
          <w:sz w:val="20"/>
          <w:szCs w:val="20"/>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7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As of September 20, 2021, we believe that our existing cash, cash equivalents and short-term investments, including the net proceeds from our IPO, will enable us to fund our operating expenses and capital expenditure requirements into the first quarter of 2023. We have based this estimate on assumptions that may prove to be wrong, and we could exhaust our available capital resources sooner than we expect.</w:t>
      </w:r>
    </w:p>
    <w:p>
      <w:pPr>
        <w:spacing w:after="0" w:line="5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ownership interest will be diluted, and the terms of such securities may include liquidation or other preferences and anti-dilution protections that adversely affect as a common stockholders’ rights.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35" w:lineRule="exact"/>
        <w:rPr>
          <w:sz w:val="20"/>
          <w:szCs w:val="20"/>
          <w:color w:val="auto"/>
        </w:rPr>
      </w:pPr>
    </w:p>
    <w:p>
      <w:pPr>
        <w:ind w:right="220" w:firstLine="509"/>
        <w:spacing w:after="0" w:line="293" w:lineRule="auto"/>
        <w:rPr>
          <w:sz w:val="20"/>
          <w:szCs w:val="20"/>
          <w:color w:val="auto"/>
        </w:rPr>
      </w:pPr>
      <w:r>
        <w:rPr>
          <w:rFonts w:ascii="Arial" w:cs="Arial" w:eastAsia="Arial" w:hAnsi="Arial"/>
          <w:sz w:val="18"/>
          <w:szCs w:val="18"/>
          <w:color w:val="auto"/>
        </w:rPr>
        <w:t>There have been no material changes to our contractual obligations from those described in the Prospectus. For additional information, see Note 7 to our consolidated financial statements appearing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Significant Judgments and Estimates” in our Prospectus.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the Prospectus.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and cash flows is disclosed in Note 2 to our consolidated financial statements appearing elsewhere in this Quarterly Report on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identified a material weakness in our internal control over financial reporting that existed as of June 30, 2021. See Item 4, Controls and Procedures.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As of June 30, 2021, we had cash and cash equivalents of $392.5 million, which consisted of cash and a money market fund. Interest income is sensitive to changes in the general level of interest rates; however, due to the nature of these investments, an immediate 10% change in interest rates would not have a material impact on the fair value of our investment portfolio. As of June 30, 2021, we had no debt outstanding. Therefore, we are not exposed to interest rate risk with respect to debt.</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Our operations may be subject to fluctuations in foreign currency exchange rates in the future.</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(our principal executive officer and principal financial officer, respectively), evaluated the effectiveness of our disclosure controls and procedures as of June 30, 2021.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2021, our Chief Executive Officer and Chief Financial Officer concluded that, as a result of the material weaknesses in our internal control over financial reporting described below, our disclosure controls and procedures were not effective as of June 30, 2021.</w:t>
      </w:r>
    </w:p>
    <w:p>
      <w:pPr>
        <w:spacing w:after="0" w:line="6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Notwithstanding the material weakness described below, management concluded that the unaudited condensed consolidated financial statements contained in this Quarterly Report on Form 10-Q fairly present, in all material respects, our financial condition, results of operations and cash flows for the periods presented in conformity with accounting principles generally accepted in the United States of America.</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135"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We identified a material weakness in our internal control over financial reporting that existed as of March 31, 2021 and continued to exist as of June 30, 2021.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4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consolidated financial statements. Additionally, this material weakness could result in misstatements of the aforementioned account balances or disclosures that would result in a material misstatement of our annual or interim consolidated financial statements that would not be prevented or detected.</w:t>
      </w:r>
    </w:p>
    <w:p>
      <w:pPr>
        <w:spacing w:after="0" w:line="6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order to remediate this material weakness, we are in the process of designing and implementing controls related to the completeness and accuracy of the contract manufacturing agreements.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are not currently party to any material legal proceedings. From time to time, we may become involved in other litigation or legal proceedings relating to claims arising from the ordinary course of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35" w:lineRule="exact"/>
        <w:rPr>
          <w:sz w:val="20"/>
          <w:szCs w:val="20"/>
          <w:color w:val="auto"/>
        </w:rPr>
      </w:pPr>
    </w:p>
    <w:p>
      <w:pPr>
        <w:ind w:right="120" w:firstLine="509"/>
        <w:spacing w:after="0" w:line="293"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62" w:lineRule="exact"/>
        <w:rPr>
          <w:sz w:val="20"/>
          <w:szCs w:val="20"/>
          <w:color w:val="auto"/>
        </w:rPr>
      </w:pPr>
    </w:p>
    <w:p>
      <w:pPr>
        <w:ind w:left="960" w:right="560"/>
        <w:spacing w:after="0" w:line="293" w:lineRule="auto"/>
        <w:rPr>
          <w:sz w:val="20"/>
          <w:szCs w:val="20"/>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left="960" w:right="260"/>
        <w:spacing w:after="0" w:line="293" w:lineRule="auto"/>
        <w:rPr>
          <w:sz w:val="20"/>
          <w:szCs w:val="20"/>
          <w:color w:val="auto"/>
        </w:rPr>
      </w:pPr>
      <w:r>
        <w:rPr>
          <w:rFonts w:ascii="Arial" w:cs="Arial" w:eastAsia="Arial" w:hAnsi="Arial"/>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ind w:left="960" w:right="220"/>
        <w:spacing w:after="0" w:line="324" w:lineRule="auto"/>
        <w:rPr>
          <w:sz w:val="20"/>
          <w:szCs w:val="20"/>
          <w:color w:val="auto"/>
        </w:rPr>
      </w:pPr>
      <w:r>
        <w:rPr>
          <w:rFonts w:ascii="Arial" w:cs="Arial" w:eastAsia="Arial" w:hAnsi="Arial"/>
          <w:sz w:val="17"/>
          <w:szCs w:val="17"/>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recurring losses from operations and financial condition could raise substantial doubt about our ability to continue as a going concern.</w:t>
      </w:r>
    </w:p>
    <w:p>
      <w:pPr>
        <w:spacing w:after="0" w:line="154" w:lineRule="exact"/>
        <w:rPr>
          <w:sz w:val="20"/>
          <w:szCs w:val="20"/>
          <w:color w:val="auto"/>
        </w:rPr>
      </w:pPr>
    </w:p>
    <w:p>
      <w:pPr>
        <w:ind w:left="960"/>
        <w:spacing w:after="0" w:line="279" w:lineRule="auto"/>
        <w:rPr>
          <w:sz w:val="20"/>
          <w:szCs w:val="20"/>
          <w:color w:val="auto"/>
        </w:rPr>
      </w:pPr>
      <w:r>
        <w:rPr>
          <w:rFonts w:ascii="Arial" w:cs="Arial" w:eastAsia="Arial" w:hAnsi="Arial"/>
          <w:sz w:val="18"/>
          <w:szCs w:val="18"/>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75" w:lineRule="exact"/>
        <w:rPr>
          <w:sz w:val="20"/>
          <w:szCs w:val="20"/>
          <w:color w:val="auto"/>
        </w:rPr>
      </w:pPr>
    </w:p>
    <w:p>
      <w:pPr>
        <w:ind w:left="960" w:right="460"/>
        <w:spacing w:after="0" w:line="359" w:lineRule="auto"/>
        <w:rPr>
          <w:sz w:val="20"/>
          <w:szCs w:val="20"/>
          <w:color w:val="auto"/>
        </w:rPr>
      </w:pPr>
      <w:r>
        <w:rPr>
          <w:rFonts w:ascii="Arial" w:cs="Arial" w:eastAsia="Arial" w:hAnsi="Arial"/>
          <w:sz w:val="16"/>
          <w:szCs w:val="16"/>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17" w:lineRule="exact"/>
        <w:rPr>
          <w:sz w:val="20"/>
          <w:szCs w:val="20"/>
          <w:color w:val="auto"/>
        </w:rPr>
      </w:pPr>
    </w:p>
    <w:p>
      <w:pPr>
        <w:ind w:left="960" w:right="140"/>
        <w:spacing w:after="0" w:line="271" w:lineRule="auto"/>
        <w:rPr>
          <w:sz w:val="20"/>
          <w:szCs w:val="20"/>
          <w:color w:val="auto"/>
        </w:rPr>
      </w:pPr>
      <w:r>
        <w:rPr>
          <w:rFonts w:ascii="Arial" w:cs="Arial" w:eastAsia="Arial" w:hAnsi="Arial"/>
          <w:sz w:val="18"/>
          <w:szCs w:val="18"/>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83" w:lineRule="exact"/>
        <w:rPr>
          <w:sz w:val="20"/>
          <w:szCs w:val="20"/>
          <w:color w:val="auto"/>
        </w:rPr>
      </w:pPr>
    </w:p>
    <w:p>
      <w:pPr>
        <w:ind w:left="960" w:right="160"/>
        <w:spacing w:after="0" w:line="293" w:lineRule="auto"/>
        <w:rPr>
          <w:sz w:val="20"/>
          <w:szCs w:val="20"/>
          <w:color w:val="auto"/>
        </w:rPr>
      </w:pPr>
      <w:r>
        <w:rPr>
          <w:rFonts w:ascii="Arial" w:cs="Arial" w:eastAsia="Arial" w:hAnsi="Arial"/>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62" w:lineRule="exact"/>
        <w:rPr>
          <w:sz w:val="20"/>
          <w:szCs w:val="20"/>
          <w:color w:val="auto"/>
        </w:rPr>
      </w:pPr>
    </w:p>
    <w:p>
      <w:pPr>
        <w:ind w:left="960" w:right="340"/>
        <w:spacing w:after="0" w:line="279" w:lineRule="auto"/>
        <w:rPr>
          <w:sz w:val="20"/>
          <w:szCs w:val="20"/>
          <w:color w:val="auto"/>
        </w:rPr>
      </w:pPr>
      <w:r>
        <w:rPr>
          <w:rFonts w:ascii="Arial" w:cs="Arial" w:eastAsia="Arial" w:hAnsi="Arial"/>
          <w:sz w:val="18"/>
          <w:szCs w:val="18"/>
          <w:color w:val="auto"/>
        </w:rPr>
        <w:t>Lack of awareness or negative public opinion of monoclonal antibody therapies and increased regulatory scrutiny of monoclonal antibody therapies to treat or prevent COVID-19 may adversely impact the development or commercial success of our current and future product candidates.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may not be successful in our efforts to build a pipeline of additional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31" w:lineRule="exact"/>
        <w:rPr>
          <w:sz w:val="20"/>
          <w:szCs w:val="20"/>
          <w:color w:val="auto"/>
        </w:rPr>
      </w:pPr>
    </w:p>
    <w:p>
      <w:pPr>
        <w:ind w:left="960" w:right="140"/>
        <w:spacing w:after="0" w:line="279" w:lineRule="auto"/>
        <w:rPr>
          <w:sz w:val="20"/>
          <w:szCs w:val="20"/>
          <w:color w:val="auto"/>
        </w:rPr>
      </w:pPr>
      <w:r>
        <w:rPr>
          <w:rFonts w:ascii="Arial" w:cs="Arial" w:eastAsia="Arial" w:hAnsi="Arial"/>
          <w:sz w:val="18"/>
          <w:szCs w:val="18"/>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9" w:name="page40"/>
    <w:bookmarkEnd w:id="39"/>
    <w:p>
      <w:pPr>
        <w:jc w:val="both"/>
        <w:ind w:left="960" w:right="40"/>
        <w:spacing w:after="0" w:line="359" w:lineRule="auto"/>
        <w:rPr>
          <w:sz w:val="20"/>
          <w:szCs w:val="20"/>
          <w:color w:val="auto"/>
        </w:rPr>
      </w:pPr>
      <w:r>
        <w:rPr>
          <w:rFonts w:ascii="Arial" w:cs="Arial" w:eastAsia="Arial" w:hAnsi="Arial"/>
          <w:sz w:val="16"/>
          <w:szCs w:val="16"/>
          <w:color w:val="auto"/>
        </w:rPr>
        <w:t>The affected populations for our lead monoclonal antibody product candidate or our other product candidates may be smaller than we or third parties currently project, which may affect our ability to enroll our clinical trials as well as the addressable markets for our product candidates.</w:t>
      </w:r>
    </w:p>
    <w:p>
      <w:pPr>
        <w:spacing w:after="0" w:line="17" w:lineRule="exact"/>
        <w:rPr>
          <w:sz w:val="20"/>
          <w:szCs w:val="20"/>
          <w:color w:val="auto"/>
        </w:rPr>
      </w:pPr>
    </w:p>
    <w:p>
      <w:pPr>
        <w:ind w:left="960" w:right="500"/>
        <w:spacing w:after="0" w:line="293" w:lineRule="auto"/>
        <w:rPr>
          <w:sz w:val="20"/>
          <w:szCs w:val="20"/>
          <w:color w:val="auto"/>
        </w:rPr>
      </w:pPr>
      <w:r>
        <w:rPr>
          <w:rFonts w:ascii="Arial" w:cs="Arial" w:eastAsia="Arial" w:hAnsi="Arial"/>
          <w:sz w:val="18"/>
          <w:szCs w:val="18"/>
          <w:color w:val="auto"/>
        </w:rPr>
        <w:t>ADG20 and our other monoclonal antibody product candidates may face significant competition from vaccines and other treatments for COVID-19 that are currently available or in development.</w:t>
      </w:r>
    </w:p>
    <w:p>
      <w:pPr>
        <w:spacing w:after="0" w:line="62" w:lineRule="exact"/>
        <w:rPr>
          <w:sz w:val="20"/>
          <w:szCs w:val="20"/>
          <w:color w:val="auto"/>
        </w:rPr>
      </w:pPr>
    </w:p>
    <w:p>
      <w:pPr>
        <w:ind w:left="960" w:right="240"/>
        <w:spacing w:after="0" w:line="329" w:lineRule="auto"/>
        <w:rPr>
          <w:sz w:val="20"/>
          <w:szCs w:val="20"/>
          <w:color w:val="auto"/>
        </w:rPr>
      </w:pPr>
      <w:r>
        <w:rPr>
          <w:rFonts w:ascii="Arial" w:cs="Arial" w:eastAsia="Arial" w:hAnsi="Arial"/>
          <w:sz w:val="16"/>
          <w:szCs w:val="16"/>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40" w:lineRule="exact"/>
        <w:rPr>
          <w:sz w:val="20"/>
          <w:szCs w:val="20"/>
          <w:color w:val="auto"/>
        </w:rPr>
      </w:pPr>
    </w:p>
    <w:p>
      <w:pPr>
        <w:ind w:left="960" w:right="100"/>
        <w:spacing w:after="0" w:line="293" w:lineRule="auto"/>
        <w:rPr>
          <w:sz w:val="20"/>
          <w:szCs w:val="20"/>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ind w:left="960" w:right="400"/>
        <w:spacing w:after="0" w:line="279" w:lineRule="auto"/>
        <w:rPr>
          <w:sz w:val="20"/>
          <w:szCs w:val="20"/>
          <w:color w:val="auto"/>
        </w:rPr>
      </w:pPr>
      <w:r>
        <w:rPr>
          <w:rFonts w:ascii="Arial" w:cs="Arial" w:eastAsia="Arial" w:hAnsi="Arial"/>
          <w:sz w:val="18"/>
          <w:szCs w:val="18"/>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75" w:lineRule="exact"/>
        <w:rPr>
          <w:sz w:val="20"/>
          <w:szCs w:val="20"/>
          <w:color w:val="auto"/>
        </w:rPr>
      </w:pPr>
    </w:p>
    <w:p>
      <w:pPr>
        <w:jc w:val="both"/>
        <w:ind w:left="960" w:right="160"/>
        <w:spacing w:after="0" w:line="329" w:lineRule="auto"/>
        <w:rPr>
          <w:sz w:val="20"/>
          <w:szCs w:val="20"/>
          <w:color w:val="auto"/>
        </w:rPr>
      </w:pPr>
      <w:r>
        <w:rPr>
          <w:rFonts w:ascii="Arial" w:cs="Arial" w:eastAsia="Arial" w:hAnsi="Arial"/>
          <w:sz w:val="16"/>
          <w:szCs w:val="16"/>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Since our inception, we have incurred significant losses, and we expect to continue to incur significant expenses and operating losses for the foreseeable future. Our net losses were $44.7 million and $83.4 million for the three and six months ended June 30, 2021, respectively, and $65.3 million for the period from June 3, 2020 (inception) to December 31, 2020. As of June 30, 2021, we had an accumulated deficit of $148.7 million. Since our inception, we have financed our operations with net proceeds of $464.7 million raised in our private placements of preferred stock, including the sale of our Series C preferred stock in April 2021, and approximately $327.1 million of net proceeds (after deducting underwriting discounts and estimated offering expenses) from our initial public offering in August 2021. We have no products approved for commercialization and have never generated any revenue from product sales.</w:t>
      </w:r>
    </w:p>
    <w:p>
      <w:pPr>
        <w:spacing w:after="0" w:line="8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All of our product candidates are still in clinical and preclinical testing.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75" w:lineRule="exact"/>
        <w:rPr>
          <w:sz w:val="20"/>
          <w:szCs w:val="20"/>
          <w:color w:val="auto"/>
        </w:rPr>
      </w:pPr>
    </w:p>
    <w:p>
      <w:pPr>
        <w:ind w:left="1080"/>
        <w:spacing w:after="0" w:line="359" w:lineRule="auto"/>
        <w:rPr>
          <w:sz w:val="20"/>
          <w:szCs w:val="20"/>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seek regulatory approval for any product candidates that successfully complete clinical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pursue marketing approvals or Emergency Use Authorization, or EUA, and reimbursement for our product candidates;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acquire or in-license other product candidates, intellectual property and/or technologies;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 establish and validate our commercial-scale cGMP manufacturing process;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manufacture material under current good manufacturing practices, or cGMP, for clinical trials and potential commercial sales at our contracted manufacturing facilities;</w:t>
      </w:r>
    </w:p>
    <w:p>
      <w:pPr>
        <w:spacing w:after="0" w:line="62" w:lineRule="exact"/>
        <w:rPr>
          <w:sz w:val="20"/>
          <w:szCs w:val="20"/>
          <w:color w:val="auto"/>
        </w:rPr>
      </w:pPr>
    </w:p>
    <w:p>
      <w:pPr>
        <w:ind w:left="1080" w:right="3740"/>
        <w:spacing w:after="0" w:line="440" w:lineRule="auto"/>
        <w:rPr>
          <w:sz w:val="20"/>
          <w:szCs w:val="20"/>
          <w:color w:val="auto"/>
        </w:rPr>
      </w:pPr>
      <w:r>
        <w:rPr>
          <w:rFonts w:ascii="Arial" w:cs="Arial" w:eastAsia="Arial" w:hAnsi="Arial"/>
          <w:sz w:val="16"/>
          <w:szCs w:val="16"/>
          <w:color w:val="auto"/>
        </w:rPr>
        <w:t>maintain, expand, enforce, defend and protect our intellectual property portfolio; comply with regulatory requirements established by the applicable regulatory authorities; develop, establish and validate our commercial-scale cGMP manufacturing process;</w:t>
      </w:r>
    </w:p>
    <w:p>
      <w:pPr>
        <w:spacing w:after="0" w:line="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ind w:left="1080" w:right="20"/>
        <w:spacing w:after="0" w:line="293" w:lineRule="auto"/>
        <w:rPr>
          <w:sz w:val="20"/>
          <w:szCs w:val="20"/>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incur additional legal, accounting and other expenses in operating as a public company.</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7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77"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developing our manufacturing capabilities and developing our clinical and preclinical product candidates, including undertaking preclinical studies and conducting clinical trials. To date, we have not yet demonstrated our ability to successfully complete pivotal clinical trials, obtain regulatory approvals or EUA, manufacture a product on a commercial scale, or conduct sales and marketing activities necessary for successful commercialization, and we may not be successful in doing so. Consequently, any predictions you make about our future success or viability may not be as accurate as they could be if we had a longer operating history or a history of successfully developing and commercializing products.</w:t>
      </w:r>
    </w:p>
    <w:p>
      <w:pPr>
        <w:spacing w:after="0" w:line="5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7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Our operations have consumed substantial amounts of cash since inception, and we expect to continue to incur significant expenses and operating losses over the next several years as we continue to develop our product candidate pipeline and build out our manufacturing capabilities for our product candidates, which, if approved, may not achieve commercial success. Our revenue, if any, will be derived from sales of products that may not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jc w:val="both"/>
        <w:ind w:firstLine="509"/>
        <w:spacing w:after="0" w:line="269" w:lineRule="auto"/>
        <w:rPr>
          <w:sz w:val="20"/>
          <w:szCs w:val="20"/>
          <w:color w:val="auto"/>
        </w:rPr>
      </w:pPr>
      <w:r>
        <w:rPr>
          <w:rFonts w:ascii="Arial" w:cs="Arial" w:eastAsia="Arial" w:hAnsi="Arial"/>
          <w:sz w:val="18"/>
          <w:szCs w:val="18"/>
          <w:color w:val="auto"/>
        </w:rPr>
        <w:t>As of June 30, 2021, we had cash and cash equivalents of $392.5 million. In addition, in August 2021, we received net proceeds of approximately $327.1 million from our initial public offering, after deducting underwriting discounts and estimated offering expenses. As of September 20, 2021, we believe that our existing cash, cash equivalents, and short-term investments will be sufficient to fund our operating expenses and capital expenditure requirements into the first quarter of 2023. This estimate is based on assumptions that may prove to be wrong, and we could exhaust our available capital resources sooner than we expect. We plan to use our cash and cash equivalents to fund clinical development, manufacturing supply and initial commercialization costs for ADG20, and for working capital and other general corporate purposes, including development of additional programs in our pipeline. Our existing cash and cash equivalents may not be sufficient to fund any of our product candidates through regulatory approval.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rate of progress in the development of AGD20 and our other product candidates;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1"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75" w:lineRule="exact"/>
        <w:rPr>
          <w:sz w:val="20"/>
          <w:szCs w:val="20"/>
          <w:color w:val="auto"/>
        </w:rPr>
      </w:pPr>
    </w:p>
    <w:p>
      <w:pPr>
        <w:ind w:left="1080" w:right="4000"/>
        <w:spacing w:after="0" w:line="440" w:lineRule="auto"/>
        <w:rPr>
          <w:sz w:val="20"/>
          <w:szCs w:val="20"/>
          <w:color w:val="auto"/>
        </w:rPr>
      </w:pPr>
      <w:r>
        <w:rPr>
          <w:rFonts w:ascii="Arial" w:cs="Arial" w:eastAsia="Arial" w:hAnsi="Arial"/>
          <w:sz w:val="16"/>
          <w:szCs w:val="16"/>
          <w:color w:val="auto"/>
        </w:rPr>
        <w:t>the number and development requirements of product candidates that we may pursue; the costs, timing and outcome of regulatory review of our product candidates;</w:t>
      </w:r>
    </w:p>
    <w:p>
      <w:pPr>
        <w:jc w:val="both"/>
        <w:ind w:left="1080"/>
        <w:spacing w:after="0" w:line="293" w:lineRule="auto"/>
        <w:rPr>
          <w:sz w:val="20"/>
          <w:szCs w:val="20"/>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costs we incur in maintaining business operations;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to implement additional internal systems and infrastructure;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effect of competing technological, product and market developments;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costs of operating as a public company; and</w:t>
      </w:r>
    </w:p>
    <w:p>
      <w:pPr>
        <w:spacing w:after="0" w:line="131" w:lineRule="exact"/>
        <w:rPr>
          <w:sz w:val="20"/>
          <w:szCs w:val="20"/>
          <w:color w:val="auto"/>
        </w:rPr>
      </w:pPr>
    </w:p>
    <w:p>
      <w:pPr>
        <w:jc w:val="both"/>
        <w:ind w:left="1080" w:right="20"/>
        <w:spacing w:after="0" w:line="279" w:lineRule="auto"/>
        <w:rPr>
          <w:sz w:val="20"/>
          <w:szCs w:val="20"/>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7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recurring losses from operations and financial condition could raise substantial doubt about our ability to continue as a going concern.</w:t>
      </w:r>
    </w:p>
    <w:p>
      <w:pPr>
        <w:spacing w:after="0" w:line="154"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In our financial statements for the period from June 3, 2020 (inception) to December 31, 2020, we concluded that our recurring losses from operations and need for additional financing to fund future operations raise substantial doubt about our ability to continue as a going concern. Similarly, our independent registered public accounting firm included an explanatory paragraph in its report on our financial statements for the period from June 3, 2020 (inception) to December 31, 2020 with respect to this uncertainty. As of September 20, 2021, we believe that with our existing cash, cash equivalents and short-term investments, including the proceeds of the initial public offering received in August 2021, we are able to fund our expenses and capital expenditure requirements beyond twelve months from the issuance of these financial statements and into the first quarter of 2023. Our ability to continue as a going concern beyond this point will require us to obtain additional funding. If we are unable to obtain sufficient funding, our business, prospects, financial condition and results of operations will be materially and adversely affected, and we may be unable to continue as a going concern. If we are unable to raise capital when needed or on acceptable terms, we would be forced to delay, limit, reduce or terminate our product development or future commercialization efforts of one or more of our product candidates, or may be forced to reduce or terminate our operations. If we are unable to continue as a going concern, we may have to liquidate our assets and may receive less than the value at which those assets are carried on our audited financial statements, and it is likely that investors will lose all or a part of their investment. In our own future required quarterly assessments, we may again conclude that there is substantial doubt about our ability to continue as a going concern, and future reports from our independent registered public accounting firm may also contain statements expressing substantial doubt about our ability to continue as a going concern. If we seek additional financing to fund our business activities in the future and there exists substantial doubt about our ability to continue as a going concern, investors or other financing sources may be unwilling to provide additional funding to us on commercially reasonable terms, if at all.</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75"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We currently have no products approved for commercial sale, and all of our product candidates are currently in clinical and preclinical development. In February 2021, we initiated a Phase 1 clinical trial evaluating ADG20, our lead monoclonal antibody product candidate. We have also advanced ADG20 into global pivotal trials for the treatment and prevention of COVID-19. We have initiated conduct of our first prospective, randomized, multi-center clinical trials, have not previously conducted any later stage or pivotal clinical trials, have limited experience in preparing, submitting and prosecuting regulatory filings and have not previously submitted a biologics license application, or BLA, for any product candidate.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jc w:val="both"/>
        <w:ind w:firstLine="509"/>
        <w:spacing w:after="0" w:line="275" w:lineRule="auto"/>
        <w:rPr>
          <w:sz w:val="20"/>
          <w:szCs w:val="20"/>
          <w:color w:val="auto"/>
        </w:rPr>
      </w:pPr>
      <w:r>
        <w:rPr>
          <w:rFonts w:ascii="Arial" w:cs="Arial" w:eastAsia="Arial" w:hAnsi="Arial"/>
          <w:sz w:val="18"/>
          <w:szCs w:val="18"/>
          <w:color w:val="auto"/>
        </w:rPr>
        <w:t>Our ability to generate revenue from our product candidates, which may not occur for several years, if ever, will depend heavily on the successful development, regulatory approval or granting of EUA, obtaining of manufacturing supply, capacity and expertise and eventual commercialization of our product candidates. In the absence of a public health emergency, we will not be able to receive an EUA. The success of ADG20 or any other product candidates that we develop or otherwise may acquire will depend on several factors, including:</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timing and progress of preclinical and clinical development activities;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number and scope of preclinical and clinical programs we decide to pursue;</w:t>
      </w:r>
    </w:p>
    <w:p>
      <w:pPr>
        <w:spacing w:after="0" w:line="131" w:lineRule="exact"/>
        <w:rPr>
          <w:sz w:val="20"/>
          <w:szCs w:val="20"/>
          <w:color w:val="auto"/>
        </w:rPr>
      </w:pPr>
    </w:p>
    <w:p>
      <w:pPr>
        <w:jc w:val="both"/>
        <w:ind w:left="1080" w:right="20"/>
        <w:spacing w:after="0" w:line="359" w:lineRule="auto"/>
        <w:rPr>
          <w:sz w:val="20"/>
          <w:szCs w:val="20"/>
          <w:color w:val="auto"/>
        </w:rPr>
      </w:pPr>
      <w:r>
        <w:rPr>
          <w:rFonts w:ascii="Arial" w:cs="Arial" w:eastAsia="Arial" w:hAnsi="Arial"/>
          <w:sz w:val="16"/>
          <w:szCs w:val="16"/>
          <w:color w:val="auto"/>
        </w:rPr>
        <w:t>filing acceptable investigational new drug applications, or INDs, with the U.S. Food and Drug Administration, or the FDA, or comparable foreign applications that allow commencement of our planned clinical trials or future clinical trials for our product candidates;</w:t>
      </w:r>
    </w:p>
    <w:p>
      <w:pPr>
        <w:spacing w:after="0" w:line="17"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4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receipt of timely marketing approvals from applicable regulatory authorities;</w:t>
      </w:r>
    </w:p>
    <w:p>
      <w:pPr>
        <w:spacing w:after="0" w:line="131"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developing and expanding sales, marketing and distribution capabilities and launching commercial sales of products, if approved, whether alone or in collaboration with others;</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prevalence and severity of adverse events experienced with ADG20 or any other product candidates;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availability, perceived advantages, cost, safety and efficacy of alternative therapies for any product candidate that we develop;</w:t>
      </w:r>
    </w:p>
    <w:p>
      <w:pPr>
        <w:spacing w:after="0" w:line="142" w:lineRule="exact"/>
        <w:rPr>
          <w:sz w:val="20"/>
          <w:szCs w:val="20"/>
          <w:color w:val="auto"/>
        </w:rPr>
      </w:pPr>
    </w:p>
    <w:p>
      <w:pPr>
        <w:jc w:val="both"/>
        <w:ind w:left="1080"/>
        <w:spacing w:after="0" w:line="324" w:lineRule="auto"/>
        <w:rPr>
          <w:sz w:val="20"/>
          <w:szCs w:val="20"/>
          <w:color w:val="auto"/>
        </w:rPr>
      </w:pPr>
      <w:r>
        <w:rPr>
          <w:rFonts w:ascii="Arial" w:cs="Arial" w:eastAsia="Arial" w:hAnsi="Arial"/>
          <w:sz w:val="17"/>
          <w:szCs w:val="17"/>
          <w:color w:val="auto"/>
        </w:rPr>
        <w:t>the continuing need for therapies for the treatment and prevention of COVID-19, including due to the continuation of the pandemic, the development of SARS-CoV-2 into an endemic disease or the inability of other available therapies to address COVID-19;</w:t>
      </w:r>
    </w:p>
    <w:p>
      <w:pPr>
        <w:spacing w:after="0" w:line="39"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potential significant and changing government regulation, regulatory guidance and requirements and evolving treatment guidelines;</w:t>
      </w:r>
    </w:p>
    <w:p>
      <w:pPr>
        <w:spacing w:after="0" w:line="14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maintain a continued acceptable safety, tolerability and efficacy profile of the products following approval; and</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jc w:val="both"/>
        <w:ind w:firstLine="509"/>
        <w:spacing w:after="0" w:line="279"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75"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b w:val="1"/>
          <w:bCs w:val="1"/>
          <w:i w:val="1"/>
          <w:iCs w:val="1"/>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COVID-19 is a new disease, the treatment and prevention of which is not yet well understood. Although monoclonal antibody products have been used in the treatment of many indications, to date, the FDA has not yet approved the use of any monoclonal antibodies to treat COVID-19, although the FDA has issued an EUA for several monoclonal antibody products for the treatment of COVID-19 in patients at high risk of disease progression, including bamlanivimab, casirivimab/imdevimab, bamlanvimab/etesevimab and sotrovimab. In addition, the FDA has issued an EUA for casirivimab/imdevimab for post-exposure prophylaxis of COVID-19 in individuals who are at high risk for disease progression and not fully vaccinated or not expected to mount an immune response to vaccine and who have been exposed to an individual with SARS-CoV-2.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trials, the number of patients the FDA will require to be enrolled in the trials in order to establish the safety, efficacy, purity and potency of antibody products or that the design of or data generated in these trials will be acceptable to the FDA to support marketing approval.</w:t>
      </w:r>
    </w:p>
    <w:p>
      <w:pPr>
        <w:spacing w:after="0" w:line="74"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In addition, the FDA may take longer than usual to come to a decision on any BLA that we submit and may ultimately determine that there is insufficient data, information or experience with our product candidates to support an approval decision. The FDA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6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treatment or prevention of symptomatic COVID-19. Even if we are able to identify and develop such antibodies, we cannot ensure that such product candidates will achieve marketing approval to safely and effectively treat or prevent symptomatic COVID-19 or other future coronavirus diseases.</w:t>
      </w:r>
    </w:p>
    <w:p>
      <w:pPr>
        <w:spacing w:after="0" w:line="62"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40"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jc w:val="both"/>
        <w:ind w:firstLine="509"/>
        <w:spacing w:after="0" w:line="359" w:lineRule="auto"/>
        <w:rPr>
          <w:sz w:val="20"/>
          <w:szCs w:val="20"/>
          <w:color w:val="auto"/>
        </w:rPr>
      </w:pPr>
      <w:r>
        <w:rPr>
          <w:rFonts w:ascii="Arial" w:cs="Arial" w:eastAsia="Arial" w:hAnsi="Arial"/>
          <w:sz w:val="15"/>
          <w:szCs w:val="15"/>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 we will not be able to commercialize our product candidates, and our ability to generate product revenue will be adversely affected.</w:t>
      </w:r>
    </w:p>
    <w:p>
      <w:pPr>
        <w:spacing w:after="0" w:line="22"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All of our product candidates are in clinical and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5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5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In addition, even if such trials are successfully completed, we cannot guarantee that the FDA, the European Medicines Agency, or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8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or NDA,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8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77"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b w:val="1"/>
          <w:bCs w:val="1"/>
          <w:i w:val="1"/>
          <w:iCs w:val="1"/>
          <w:color w:val="auto"/>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may experience delays in conducting any clinical trials, and we do not know whether our clinical trials will begin on time, need to be redesigned, recruit and enroll patients on time or be completed on schedule, or at all. We may experience numerous unforeseen events before, during or as a result of clinical trials that could delay or prevent our ability to complete such trials or receive marketing approval for or commercialize our product candidates, or that could significantly increase the cost of such trials, including:</w:t>
      </w:r>
    </w:p>
    <w:p>
      <w:pPr>
        <w:spacing w:after="0" w:line="77" w:lineRule="exact"/>
        <w:rPr>
          <w:sz w:val="20"/>
          <w:szCs w:val="20"/>
          <w:color w:val="auto"/>
        </w:rPr>
      </w:pPr>
    </w:p>
    <w:p>
      <w:pPr>
        <w:ind w:left="1080" w:right="1120"/>
        <w:spacing w:after="0" w:line="470" w:lineRule="auto"/>
        <w:rPr>
          <w:sz w:val="20"/>
          <w:szCs w:val="20"/>
          <w:color w:val="auto"/>
        </w:rPr>
      </w:pPr>
      <w:r>
        <w:rPr>
          <w:rFonts w:ascii="Arial" w:cs="Arial" w:eastAsia="Arial" w:hAnsi="Arial"/>
          <w:sz w:val="16"/>
          <w:szCs w:val="16"/>
          <w:color w:val="auto"/>
        </w:rPr>
        <w:t xml:space="preserve">inability to generate sufficient preclinical,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of clinical trials; delays in sufficiently developing, characterizing or controlling a manufacturing process suitable for advanced clinical trials; delays in developing suitable assays for screening patients for eligibility for trials with respect to certain product candidates;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ind w:right="300"/>
        <w:spacing w:after="0" w:line="391" w:lineRule="auto"/>
        <w:rPr>
          <w:sz w:val="20"/>
          <w:szCs w:val="20"/>
          <w:color w:val="auto"/>
        </w:rPr>
      </w:pPr>
      <w:r>
        <w:rPr>
          <w:rFonts w:ascii="Arial" w:cs="Arial" w:eastAsia="Arial" w:hAnsi="Arial"/>
          <w:sz w:val="18"/>
          <w:szCs w:val="18"/>
          <w:color w:val="auto"/>
        </w:rPr>
        <w:t>delays in reaching agreement with the FDA, EMA or other regulatory authorities as to the design or implementation of our clinical trials; delays in obtaining regulatory authorization to commence a clinical trial;</w:t>
      </w:r>
    </w:p>
    <w:p>
      <w:pPr>
        <w:spacing w:after="0" w:line="1"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challenges in 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delays in obtaining institutional review board, or IRB, approval at each trial site;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challenges in recruiting suitable patients to participate in a clinical trial;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having patients complete a clinical trial or return for post-treatment follow-up;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inspections of clinical trial sites or operations by applicable regulatory authorities, or the imposition of a clinical hold;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clinical sites, CROs or other third parties deviating from trial protocol or dropping out of a trial;</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failure to perform in accordance with the applicable regulatory requirements, including the FDA’s regulations and GCP requirements, or applicable regulatory requirements in other countries;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having an insufficient number of clinical trial sites;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difficulties in manufacturing sufficient quantities of product candidate for use in clinical trials;</w:t>
      </w:r>
    </w:p>
    <w:p>
      <w:pPr>
        <w:spacing w:after="0" w:line="131"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suspensions or terminations by IRBs of the institutions at which such trials are being conducted, by the independent Data Monitoring Committee for such trial or by the FDA or other regulatory authorities due to a number of factors, including those described above;</w:t>
      </w:r>
    </w:p>
    <w:p>
      <w:pPr>
        <w:spacing w:after="0" w:line="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changes in regulatory requirements or guidance, or feedback from regulatory authorities that requires us to modify the design or conduct of our clinical trials; for example, in April 2021, the FDA informed us that it had changed its view on allowing high risk patients to be randomized to placebo in the United States in our STAMP treatment trial, which has resulted in modification of the design and conduct of this trial exclusively outside of the United States;</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number of patients required for clinical trials of our product candidates may be larger than we anticipate, especially if regulatory bodies require the completion of non-inferiority trials, enrollment in these clinical trials may be slower than we anticipate or participants may drop out of these clinical trials at a higher rate than we anticipate;</w:t>
      </w:r>
    </w:p>
    <w:p>
      <w:pPr>
        <w:spacing w:after="0" w:line="7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intend to conduct our STAMP treatment trial at sites outside of the United States, and the applicable foreign regulatory authorities may determine that a placebo-controlled trial would expose patients to unacceptable health risks (for example, if alternative effective therapies become available in these regions during the conduct of the trial), which could delay enrollment of our trial and the authorization or approval of ADG20;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4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1400" w:top="476" w:right="339" w:bottom="1440" w:gutter="0" w:footer="0" w:header="0"/>
        </w:sectPr>
      </w:pPr>
    </w:p>
    <w:bookmarkStart w:id="47" w:name="page48"/>
    <w:bookmarkEnd w:id="47"/>
    <w:p>
      <w:pPr>
        <w:jc w:val="both"/>
        <w:ind w:firstLine="509"/>
        <w:spacing w:after="0" w:line="27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incur unplanned costs;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marketing approval in some countries and not in others;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REMS;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 subject to additional post-marketing testing requirements;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be subject to changes in the way the product is administered; or</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have regulatory authorities withdraw or suspend their approval of the product or to impose restrictions on its distribution after obtaining marketing approval.</w:t>
      </w:r>
    </w:p>
    <w:p>
      <w:pPr>
        <w:spacing w:after="0" w:line="62"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5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6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jc w:val="both"/>
        <w:ind w:firstLine="509"/>
        <w:spacing w:after="0" w:line="302" w:lineRule="auto"/>
        <w:rPr>
          <w:sz w:val="20"/>
          <w:szCs w:val="20"/>
          <w:color w:val="auto"/>
        </w:rPr>
      </w:pPr>
      <w:r>
        <w:rPr>
          <w:rFonts w:ascii="Arial" w:cs="Arial" w:eastAsia="Arial" w:hAnsi="Arial"/>
          <w:sz w:val="16"/>
          <w:szCs w:val="16"/>
          <w:color w:val="auto"/>
        </w:rPr>
        <w:t>We may seek an EUA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 There is no guarantee that we will apply for an EUA or other similar authorization or, if we do apply, that we will be able to obtain such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or HHS. The FDA may also terminate an EUA if safety issues or other concerns about our product arise or if we fail to comply with the conditions of authorization. 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and the Medicines and Healthcare products Regulatory Agency regarding clinical development programs or regulatory approval for any product candidate within the United States and United Kingdom, respectively. In addition, we have had no discussions with other comparable foreign authorities regarding clinical development programs or regulatory approval for any product candidate outside of those jurisdictions.</w:t>
      </w:r>
    </w:p>
    <w:p>
      <w:pPr>
        <w:spacing w:after="0" w:line="29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we may be unable to collect sufficient data from clinical trials of our product candidates to support the submission and filing of a BLA with the FDA, MAA with the EMA or other submission;</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and testing laboratories with which we contract for clinical and commercial supplies; and</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approval policies or regulations of the FDA or comparable foreign authorities may significantly change in a manner rendering our clinical data insufficient for approval.</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7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83"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3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8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8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may fail to demonstrate with substantial evidence from adequate and well-controlled trials, and to the satisfaction of the FDA or comparable foreign regulatory authorities, that our product candidates are safe and potent for their intended uses. In addition, the FDA or comparable foreign regulatory authorities may determine that antibody monotherapy products are not sufficient and that combination antibody therapies should become the standard of care.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jc w:val="both"/>
        <w:ind w:firstLine="509"/>
        <w:spacing w:after="0" w:line="290" w:lineRule="auto"/>
        <w:rPr>
          <w:sz w:val="20"/>
          <w:szCs w:val="20"/>
          <w:color w:val="auto"/>
        </w:rPr>
      </w:pPr>
      <w:r>
        <w:rPr>
          <w:rFonts w:ascii="Arial" w:cs="Arial" w:eastAsia="Arial" w:hAnsi="Arial"/>
          <w:sz w:val="17"/>
          <w:szCs w:val="17"/>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These side effects may not be appropriately recognized or managed by the treating medical staff, as toxicities resulting from monoclonal antibody therapy, as with our ADG20 product candidate, are not normally encountered in the general patient population and by medical personnel.</w:t>
      </w:r>
    </w:p>
    <w:p>
      <w:pPr>
        <w:spacing w:after="0" w:line="6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regulatory authorities may suspend, withdraw or limit approvals of such product, or seek an injunction against its manufacture or distribution;</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regulatory authorities may require additional warnings on the label;</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be required to change the way a product is administered or conduct additional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could be sued and held liable for harm caused to patients;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decide to remove the product from the market;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not be able to achieve or maintain third-party payor coverage and adequate reimbursement;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be subject to fines, injunctions or the imposition of civil or criminal penalties;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reputation and physician or patient acceptance of our products may suffer.</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56"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b w:val="1"/>
          <w:bCs w:val="1"/>
          <w:i w:val="1"/>
          <w:iCs w:val="1"/>
          <w:color w:val="auto"/>
        </w:rPr>
        <w:t>Lack of awareness or negative public opinion of monoclonal antibody therapies and increased regulatory scrutiny of monoclonal antibody therapies to treat or prevent COVID-19 may adversely impact the development or commercial success of our current and future product candidates.</w:t>
      </w:r>
    </w:p>
    <w:p>
      <w:pPr>
        <w:spacing w:after="0" w:line="1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The clinical and commercial success of our monoclonal antibody therapies will depend in part on public acceptance of the use of monoclonal antibody therapies to treat or prevent COVID-19. To date, the FDA has not yet approved any monoclonal antibodies to treat or prevent COVID-19, although the FDA has issued an EUA for several monoclonal antibody products for the treatment of COVID-19 in patients at high risk of disease progression, including bamlanivimab, casirivimab/imdevimab, bamlanvimab/etesevimab and sotrovimab. In addition, the FDA has issued an EUA for casirivimab/imdevimab for post-exposure prophylaxis of COVID-19 in individuals who are at high risk for disease progression and not fully vaccinated or not expected to mount an immune response to vaccine and who have been exposed to an individual with SARS-CoV-2.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jc w:val="both"/>
        <w:ind w:firstLine="509"/>
        <w:spacing w:after="0" w:line="271"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experience delays or difficulties in the enrollment and/or retention of patients in clinical trials, which could delay or prevent our receipt of necessary regulatory approvals.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severity and difficulty of diagnosing the disease under investigation;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contraction of the public health crisis caused by COVID-19;</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eligibility and exclusion criteria for the trial in question;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size of the patient population and process for identifying patients;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recruit clinical trial investigators with the appropriate competencies and experience;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design of the trial protocol, including but not limited to the use of a placebo control or active comparator;</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perceived risks and benefits of the product candidate in the trial, including relating to monoclonal antibody and/or vaccine approaches;</w:t>
      </w:r>
    </w:p>
    <w:p>
      <w:pPr>
        <w:spacing w:after="0" w:line="154"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the availability of competing commercially available therapies and other competing therapeutic candidates’ clinical trials for the disease or condition under investigation;</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willingness of patients to be enrolled in our clinical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efforts to facilitate timely enrollment in clinical trials;</w:t>
      </w:r>
    </w:p>
    <w:p>
      <w:pPr>
        <w:spacing w:after="0" w:line="131" w:lineRule="exact"/>
        <w:rPr>
          <w:sz w:val="20"/>
          <w:szCs w:val="20"/>
          <w:color w:val="auto"/>
        </w:rPr>
      </w:pPr>
    </w:p>
    <w:p>
      <w:pPr>
        <w:jc w:val="both"/>
        <w:ind w:left="1080"/>
        <w:spacing w:after="0" w:line="303" w:lineRule="auto"/>
        <w:rPr>
          <w:sz w:val="20"/>
          <w:szCs w:val="20"/>
          <w:color w:val="auto"/>
        </w:rPr>
      </w:pPr>
      <w:r>
        <w:rPr>
          <w:rFonts w:ascii="Arial" w:cs="Arial" w:eastAsia="Arial" w:hAnsi="Arial"/>
          <w:sz w:val="17"/>
          <w:szCs w:val="17"/>
          <w:color w:val="auto"/>
        </w:rPr>
        <w:t>potential disruptions caused by the COVID-19 pandemic, including difficulties in initiating clinical sites, enrolling and retaining participants, diversion of healthcare resources away from clinical trials, vaccine mandate policies, travel or quarantine policies that may be implemented, our ability to import and export clinical trial supplies, raw materials and commercial supply and other factors;</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patient referral practices of physicians;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ability to monitor patients adequately during and after treatment;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proximity and availability of clinical trial sites for prospective patients.</w:t>
      </w:r>
    </w:p>
    <w:p>
      <w:pPr>
        <w:spacing w:after="0" w:line="131"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Our inability to enroll, or maintain the enrollment of,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6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Because we have limited financial and management resources, we must focus on development programs and product candidates that we identify for specific indications. As such, we are currently primarily focused on the development of ADG20 for the treatment and prevention of symptomatic COVID-</w:t>
      </w:r>
    </w:p>
    <w:p>
      <w:pPr>
        <w:spacing w:after="0" w:line="1" w:lineRule="exact"/>
        <w:rPr>
          <w:sz w:val="20"/>
          <w:szCs w:val="20"/>
          <w:color w:val="auto"/>
        </w:rPr>
      </w:pPr>
    </w:p>
    <w:p>
      <w:pPr>
        <w:jc w:val="both"/>
        <w:ind w:firstLine="8"/>
        <w:spacing w:after="0" w:line="290" w:lineRule="auto"/>
        <w:tabs>
          <w:tab w:leader="none" w:pos="2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67"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39"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We intend to conduct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ind w:left="520"/>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3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The evolving and constantly changing impact of COVID-19, which was declared a global pandemic by the World Health Organization, or WHO, will directly affect the potential commercial prospects of our lead product candidate for the treatment and prevention of COVID-19. The severity of the global pandemic, the availability, administration and acceptance of vaccines, monoclonal antibodies and oral therapies, potential vaccine mandate policies,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66"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6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To date, we have experienced some delays in our development activities as a result of the COVID-19 pandemic. In the future, we anticipate there could be additional or even significant disruptions, delays or uncertainties in our development activities as a result of the COVID-19 pandemic as the outbreak progresses and some of our CROs, CDMOs and other service providers continue to be impacted. In December 2020 shipment of ADG20 clinical supply by WuXi Biologics (Hong Kong) Limited, or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55"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interruptions in our ability to manufacture and deliver drug supply for trials due to capacity constraints or lack of raw materials;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changes in local regulations (including potential vaccine mandates) as part of a response to the COVID-19 outbreak that may require us to change the ways in which our clinical trials are conducted, which may result in unexpected costs, or to discontinue the clinical trials altogether;</w:t>
      </w:r>
    </w:p>
    <w:p>
      <w:pPr>
        <w:spacing w:after="0" w:line="75"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62"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refusal of the FDA to accept data from clinical trials in these affected geographies.</w:t>
      </w:r>
    </w:p>
    <w:p>
      <w:pPr>
        <w:spacing w:after="0" w:line="13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4" w:name="page55"/>
    <w:bookmarkEnd w:id="54"/>
    <w:p>
      <w:pPr>
        <w:jc w:val="both"/>
        <w:ind w:firstLine="509"/>
        <w:spacing w:after="0" w:line="269" w:lineRule="auto"/>
        <w:rPr>
          <w:sz w:val="20"/>
          <w:szCs w:val="20"/>
          <w:color w:val="auto"/>
        </w:rPr>
      </w:pPr>
      <w:r>
        <w:rPr>
          <w:rFonts w:ascii="Arial" w:cs="Arial" w:eastAsia="Arial" w:hAnsi="Arial"/>
          <w:sz w:val="18"/>
          <w:szCs w:val="18"/>
          <w:color w:val="auto"/>
        </w:rPr>
        <w:t>The global COVID-19 pandemic continues to rapidly evolve, particularly with regard to the rapid spread of the Delta variant. The extent to which the COVID-19 pandemic impacts our business and operations, including our clinical development and regulatory efforts, will depend on future developments that are highly uncertain and cannot be predicted with confidence as of the date of this Quarterly Report,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88"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6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5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Newly emerging SARS-CoV-2 variants could reduce the activity and effectiveness of ADG20 as a potential treatment for or prevention of symptomatic COVID-19.</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Multiple variants of the virus that causes COVID-19 have been documented in the United States and globally during this pandemic, including the highly transmissible Delta variant. Although we have shown in pre-clinical studies that ADG20 has the potential to broadly neutralize SARS-CoV-2 and the predominantly circulating variants, new SARS-CoV-2 variants could be less impacted by ADG20 and its mechanism of action, or the results shown in pre-clinical studies may not be replicated in clinical studies. This would significantly and adversely affect our ability to obtain authorization or approval of and to commercialize ADG20.</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develop ADG20 and future product candidates for use in combination with other therapies or third-party product candidates, which exposes us to additional regulatory risks.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may develop ADG20 and future product candidates for use in combination with one or more currently authorized or approved therapies to treat or prevent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ADG20 as a monotherapy treatment.</w:t>
      </w:r>
    </w:p>
    <w:p>
      <w:pPr>
        <w:spacing w:after="0" w:line="8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may also evaluate ADG20 or any future product candidate in combination with one or more other third-party product candidates that have not yet been approved for marketing by the FDA, EMA or comparable foreign regulatory authorities. If so, we will not be able to market and sell ADG20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ADG20 or any product candidate we develop, we may be unable to obtain approval of or market any such product candidate.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or the Transition Period, during which European Union rules continued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8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Since a significant proportion of the regulatory framework in the United Kingdom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7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The manufacture of monoclonal antibody therapies is technically complex and necessitates substantial expertise and capital investment. Production difficulties caused by unforeseen events may delay the availability of material for our clinical studies or commercialization efforts.</w:t>
      </w:r>
    </w:p>
    <w:p>
      <w:pPr>
        <w:spacing w:after="0" w:line="3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8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Biological products are inherently difficult and time-consuming to manufacture. Our program materials are manufactured using technically complex processes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manufacturing, may lead to an inability to manufacture our product candidate, resulting in delays in clinical development or commercialization plans. Any changes in the manufacturing of components of the raw materials we use could result in unanticipated or unfavorable effects in our manufacturing processes or product quality, resulting in delays.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6" w:name="page57"/>
    <w:bookmarkEnd w:id="56"/>
    <w:p>
      <w:pPr>
        <w:ind w:right="20" w:firstLine="509"/>
        <w:spacing w:after="0" w:line="293" w:lineRule="auto"/>
        <w:rPr>
          <w:sz w:val="20"/>
          <w:szCs w:val="20"/>
          <w:color w:val="auto"/>
        </w:rPr>
      </w:pPr>
      <w:r>
        <w:rPr>
          <w:rFonts w:ascii="Arial" w:cs="Arial" w:eastAsia="Arial" w:hAnsi="Arial"/>
          <w:sz w:val="18"/>
          <w:szCs w:val="18"/>
          <w:color w:val="auto"/>
        </w:rPr>
        <w:t>Any delay, failure or inability to manufacture on a timely basis can impact the timelines for our clinical trials or our commercialization plans. Such delay, failure or inability to manufacture can result from:</w:t>
      </w:r>
    </w:p>
    <w:p>
      <w:pPr>
        <w:spacing w:after="0" w:line="62" w:lineRule="exact"/>
        <w:rPr>
          <w:sz w:val="20"/>
          <w:szCs w:val="20"/>
          <w:color w:val="auto"/>
        </w:rPr>
      </w:pPr>
    </w:p>
    <w:p>
      <w:pPr>
        <w:jc w:val="both"/>
        <w:ind w:left="1080"/>
        <w:spacing w:after="0" w:line="275" w:lineRule="auto"/>
        <w:rPr>
          <w:sz w:val="20"/>
          <w:szCs w:val="20"/>
          <w:color w:val="auto"/>
        </w:rPr>
      </w:pPr>
      <w:r>
        <w:rPr>
          <w:rFonts w:ascii="Arial" w:cs="Arial" w:eastAsia="Arial" w:hAnsi="Arial"/>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77" w:lineRule="exact"/>
        <w:rPr>
          <w:sz w:val="20"/>
          <w:szCs w:val="20"/>
          <w:color w:val="auto"/>
        </w:rPr>
      </w:pPr>
    </w:p>
    <w:p>
      <w:pPr>
        <w:jc w:val="both"/>
        <w:ind w:left="1080"/>
        <w:spacing w:after="0" w:line="303" w:lineRule="auto"/>
        <w:rPr>
          <w:sz w:val="20"/>
          <w:szCs w:val="20"/>
          <w:color w:val="auto"/>
        </w:rPr>
      </w:pPr>
      <w:r>
        <w:rPr>
          <w:rFonts w:ascii="Arial" w:cs="Arial" w:eastAsia="Arial" w:hAnsi="Arial"/>
          <w:sz w:val="17"/>
          <w:szCs w:val="17"/>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56"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inability to obtain manufacturing slots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inability to procure raw materials and reagents;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loss, depletion or performance degradation of the cell line starting material; and</w:t>
      </w:r>
    </w:p>
    <w:p>
      <w:pPr>
        <w:spacing w:after="0" w:line="131"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loss of or close-down of any manufacturing facility used in the manufacture of our product candidates, or the inability to find alternative manufacturing capability in a timely fashion.</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77"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All entities involved in the preparation of therapeutics for clinical trials or commercial sale, including our existing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any of our CDMOs do not pass such audit or inspections. Certain of our CDMO’s facilities are or may be under construction and have not completed installation of equipment for and establishment of routine manufacturing and testing operations and have not yet been inspected by regulatory authorities. If any of our CDMO’s facilities do not pass a pre-approval plant inspection, FDA or EMA approval of the products will not be granted.</w:t>
      </w:r>
    </w:p>
    <w:p>
      <w:pPr>
        <w:spacing w:after="0" w:line="71"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The regulatory authorities also may, at any time following approval of a product for sale, inspect or audit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jc w:val="both"/>
        <w:ind w:firstLine="509"/>
        <w:spacing w:after="0" w:line="319" w:lineRule="auto"/>
        <w:rPr>
          <w:sz w:val="20"/>
          <w:szCs w:val="20"/>
          <w:color w:val="auto"/>
        </w:rPr>
      </w:pPr>
      <w:r>
        <w:rPr>
          <w:rFonts w:ascii="Arial" w:cs="Arial" w:eastAsia="Arial" w:hAnsi="Arial"/>
          <w:sz w:val="16"/>
          <w:szCs w:val="16"/>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intend to rely on third parties to produce clinical and commercial supplies of our product candidates.</w:t>
      </w:r>
    </w:p>
    <w:p>
      <w:pPr>
        <w:spacing w:after="0" w:line="1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We are currently manufacturing material for our product candidates in partnership with a CDMO. We do not own or operate any facilities for product manufacturing, storage and distribution or testing. We are dependent on third parties to manufacture the clinical and commercial supplies of our current and any future product candidates. We have established a relationship with WuXi to produce material to support our clinical development program and our initial commercial supply for our products, if approved. We have not yet fully manufactured our product candidates on a commercial scale, and we do not yet have sufficient information to reliably estimate the cost of the commercial manufacturing of our product candidates.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73"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The facilities used by our contract manufacturers and contract testing labs to manufacture and test our product candidates must be approved by the FDA pursuant to inspections that will be conducted after we submit our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also intend to rely on third-party manufacturers to supply us with sufficient quantities of our product candidates to be used, if approved, for commercialization. If we are not able to meet market demand for any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7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engaged WuXi for development and generation of the production cell line starting material for ADG20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7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In addition, we currently rely on WuXi, a CDMO in China, for clinical supply of ADG20 and will rely on WuXi for commercial supply of ADG20.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5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In July 2021, we entered into a license agreement with Biocon Biologics Limited, or Biocon, to combat the ongoing COVID-19 crisis in southern Asia. Under the license agreement, we will provide Biocon materials and know-how to manufacture and commercialize an antibody treatment based on ADG20 in India and select emerging markets. Biocon’s ability to successfully manufacture in those territories may be restricted by foreign regulatory requirements.</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Further, our reliance on third-party manufacturers entails risks to which we would not be subject if we manufactured product candidates ourselves, including:</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inability to access sufficient manufacturing capacity;</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inability of our third-party manufacturers to execute our manufacturing procedures and other logistical support requirements appropriately;</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inability to negotiate additional manufacturing agreements with third parties under commercially reasonable terms, if at all;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breach, termination or nonrenewal of manufacturing agreements with third parties in a manner or at a time that is costly or damaging to us;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8" w:name="page59"/>
    <w:bookmarkEnd w:id="58"/>
    <w:p>
      <w:pPr>
        <w:ind w:left="1080"/>
        <w:spacing w:after="0" w:line="293" w:lineRule="auto"/>
        <w:rPr>
          <w:sz w:val="20"/>
          <w:szCs w:val="20"/>
          <w:color w:val="auto"/>
        </w:rPr>
      </w:pPr>
      <w:r>
        <w:rPr>
          <w:rFonts w:ascii="Arial" w:cs="Arial" w:eastAsia="Arial" w:hAnsi="Arial"/>
          <w:sz w:val="18"/>
          <w:szCs w:val="18"/>
          <w:color w:val="auto"/>
        </w:rPr>
        <w:t>lack of ownership of the intellectual property rights in any improvements made by our third-party manufacturers in the manufacturing process for our product candidates; and</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disruptions to operations of our third-party manufacturers or suppliers by conditions unrelated to our business or operations, including the bankruptcy of the manufacturer or supplier.</w:t>
      </w:r>
    </w:p>
    <w:p>
      <w:pPr>
        <w:spacing w:after="0" w:line="6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We cannot be sure that single-source suppliers for our manufacturing raw materials will remain in business or that they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adversely impact our business, financial condition and results of operations.</w:t>
      </w:r>
    </w:p>
    <w:p>
      <w:pPr>
        <w:spacing w:after="0" w:line="6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our current or any future product candidates, if approved. Some of these events could be the basis for FDA action, including injunction, request for recall, seizure or total or partial suspension of production.</w:t>
      </w:r>
    </w:p>
    <w:p>
      <w:pPr>
        <w:spacing w:after="0" w:line="75"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b w:val="1"/>
          <w:bCs w:val="1"/>
          <w:i w:val="1"/>
          <w:iCs w:val="1"/>
          <w:color w:val="auto"/>
        </w:rPr>
        <w:t>We depend on sole-source third-party suppliers for materials that are necessary for the conduct of preclinical studies and manufacture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4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Manufacturing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For example, we are reliant on WuXi as the sole procurer of the raw materials used in the manufacture of our product candidates, including certain purification resins and cell culture media, which increases the risk of delays in production. In addition, to date, we have relied on WuXi as our only CDMO. The loss of this CDMO or its failure to supply us with material to support our clinical development program on a timely basis could impair our ability to develop our product candidates or otherwise delay the development process, which could adversely affect our business, financial condition and results of operations.</w:t>
      </w:r>
    </w:p>
    <w:p>
      <w:pPr>
        <w:spacing w:after="0" w:line="7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Some of our CDMO’s raw material suppliers may not have the capacity to support clinical trials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9" w:name="page60"/>
    <w:bookmarkEnd w:id="59"/>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The third parties upon whom we depend may be adversely affected by earthquakes, wildfires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Any unplanned event, such as flood, fire, explosion, earthquake, extreme weather condition, medical epidemics or pandemics, power shortage, telecommunication failure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6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Given the nature of monoclonal antibody manufacturing, there is a risk of contamination, including in the manufacture of raw materials and in the manufacturing of our product candidates, or in the manufacturing facility itself.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efficacy, safety and potential advantages compared to alternative treatments, including oral options;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offer our products for sale at competitive prices;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convenience and ease of administration compared to alternative treatments;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ind w:left="1080" w:right="1800"/>
        <w:spacing w:after="0" w:line="391" w:lineRule="auto"/>
        <w:rPr>
          <w:sz w:val="20"/>
          <w:szCs w:val="20"/>
          <w:color w:val="auto"/>
        </w:rPr>
      </w:pPr>
      <w:r>
        <w:rPr>
          <w:rFonts w:ascii="Arial" w:cs="Arial" w:eastAsia="Arial" w:hAnsi="Arial"/>
          <w:sz w:val="18"/>
          <w:szCs w:val="18"/>
          <w:color w:val="auto"/>
        </w:rPr>
        <w:t>the willingness of the target patient population to try new treatments and of physicians to prescribe these treatments; our ability to hire and retain a sales force in the United States; the strength of marketing and distribution support;</w:t>
      </w:r>
    </w:p>
    <w:p>
      <w:pPr>
        <w:spacing w:after="0" w:line="1" w:lineRule="exact"/>
        <w:rPr>
          <w:sz w:val="20"/>
          <w:szCs w:val="20"/>
          <w:color w:val="auto"/>
        </w:rPr>
      </w:pPr>
    </w:p>
    <w:p>
      <w:pPr>
        <w:ind w:left="1080" w:right="780"/>
        <w:spacing w:after="0" w:line="391" w:lineRule="auto"/>
        <w:rPr>
          <w:sz w:val="20"/>
          <w:szCs w:val="20"/>
          <w:color w:val="auto"/>
        </w:rPr>
      </w:pPr>
      <w:r>
        <w:rPr>
          <w:rFonts w:ascii="Arial" w:cs="Arial" w:eastAsia="Arial" w:hAnsi="Arial"/>
          <w:sz w:val="18"/>
          <w:szCs w:val="18"/>
          <w:color w:val="auto"/>
        </w:rPr>
        <w:t>the availability of third-party coverage and adequate reimbursement for ADG20 and any other product candidates, once approved; the prevalence and severity of any side effects;</w:t>
      </w:r>
    </w:p>
    <w:p>
      <w:pPr>
        <w:spacing w:after="0" w:line="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any restrictions on the use of our products together with other medications or requirements that our products be used in combination with other products;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ability to be effective against emerging variants as a monotherapy.</w:t>
      </w:r>
    </w:p>
    <w:p>
      <w:pPr>
        <w:spacing w:after="0" w:line="13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for ADG20 or any other product candidate that may receive regulatory approval, we may not be successful in commercializing those product candidates if and when they are approved.</w:t>
      </w:r>
    </w:p>
    <w:p>
      <w:pPr>
        <w:spacing w:after="0" w:line="39"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We are currently establishing our commercial infrastructure to support the anticipated marketing and distribution of our product candidates, which we will need to achieve commercial success for ADG20 or any other product candidate for which we may obtain marketing approval. We are currently in the process of building a sales, marketing and market access infrastructure to market our product candidates in the United States and Europe,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inability of sales personnel to obtain access to physicians in order to educate physicians about our product candidates, once approved;</w:t>
      </w:r>
    </w:p>
    <w:p>
      <w:pPr>
        <w:spacing w:after="0" w:line="154"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unforeseen costs and expenses associated with creating independent sales, marketing and market access organizations.</w:t>
      </w:r>
    </w:p>
    <w:p>
      <w:pPr>
        <w:spacing w:after="0" w:line="1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68"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Our projections of the number of people who are candidates to receive COVID-19 treatments and preventatives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85"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A decline, or a widespread perception of a decline, in the spread or severity of the ongoing COVID-19 pandemic, including disease due to variants with relative or absolute resistance to other products, or an increase in available alternative treatments for or widespread immunity to COVID-19, could reduce the total addressable market for our lead product candidate for the treatment and prevention of COVID-19. Similarly, if new SARS-CoV-2 variants are less impacted by ADG20 and its mechanism of action than expected and such variants become more prevalent in the ongoing pandemic, the number of patients that we will be able to successfully treat with ADG20, if approved, will be decreased.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1" w:name="page62"/>
    <w:bookmarkEnd w:id="61"/>
    <w:p>
      <w:pPr>
        <w:jc w:val="both"/>
        <w:ind w:firstLine="509"/>
        <w:spacing w:after="0" w:line="287" w:lineRule="auto"/>
        <w:rPr>
          <w:sz w:val="20"/>
          <w:szCs w:val="20"/>
          <w:color w:val="auto"/>
        </w:rPr>
      </w:pPr>
      <w:r>
        <w:rPr>
          <w:rFonts w:ascii="Arial" w:cs="Arial" w:eastAsia="Arial" w:hAnsi="Arial"/>
          <w:sz w:val="17"/>
          <w:szCs w:val="17"/>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third-party to model the future populations susceptible to and immune from SARS-CoV-2, based on assumptions such as vaccine adoption, efficacy, duration of effect, viral infectiousness and other factors we cannot control. Accordingly, these estimates included in this filing may turn out to be inaccurate. Further, the data and statistical information used in this Quarterly Report, and in our other filings with the SEC, including estimates derived from them, may differ from information and estimates made by our competitors or from current or future studies conducted by independent sources.</w:t>
      </w:r>
    </w:p>
    <w:p>
      <w:pPr>
        <w:spacing w:after="0" w:line="70"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7"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5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U.S. Federal Trade Commission, the Department of Justice, or the DOJ, the Office of Inspector General of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8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ADG20 and our other monoclonal antibody product candidates may face significant competition from vaccines and other treatments for COVID-19 that are currently available or in development.</w:t>
      </w:r>
    </w:p>
    <w:p>
      <w:pPr>
        <w:spacing w:after="0" w:line="6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therapeutics and vaccines for the treatment or prevention of COVID-19 developed or marketed by other companies, many of which are large, established biotechnology and pharmaceutical companies. Additional vaccines and therapeutics are in development by other pharmaceutical and biopharmaceutical companies. Given the products currently approved or authorized for use as well as those in development by others, any treatment we may develop could face significant competition. If any other company develops treatments more rapidly or effectively than we do, develops a treatment that becomes the standard of care, develops a treatment at a lower cost or is more successful at commercializing an approved therapeutic, we may not be able to successfully commercialize ADG20 for the treatment and prevention of symptomatic COVID-19, even if approved, or compete with other treatments or vaccines, which could adversely impact our business and operations.</w:t>
      </w:r>
    </w:p>
    <w:p>
      <w:pPr>
        <w:spacing w:after="0" w:line="62"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Mergers and acquisitions in the pharmaceutical and biotechnology industries could result in even more resources being concentrated among a small number of our competitors.</w:t>
      </w:r>
    </w:p>
    <w:p>
      <w:pPr>
        <w:spacing w:after="0" w:line="5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 and commercialize drugs that are differentiated from products in the market;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attract qualified scientific, product development and commercial personnel;</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2" w:name="page63"/>
    <w:bookmarkEnd w:id="62"/>
    <w:p>
      <w:pPr>
        <w:ind w:left="1080"/>
        <w:spacing w:after="0"/>
        <w:rPr>
          <w:sz w:val="20"/>
          <w:szCs w:val="20"/>
          <w:color w:val="auto"/>
        </w:rPr>
      </w:pPr>
      <w:r>
        <w:rPr>
          <w:rFonts w:ascii="Arial" w:cs="Arial" w:eastAsia="Arial" w:hAnsi="Arial"/>
          <w:sz w:val="18"/>
          <w:szCs w:val="18"/>
          <w:color w:val="auto"/>
        </w:rPr>
        <w:t>obtain patent or other proprietary protection for our medicines;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required regulatory approvals;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obtain placement in COVID-19 treatment and prevention guidelines from organizations such as the CDC, WHO and the Infectious Diseases Society of America, or IDSA, and equivalent European guidelines;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successfully collaborate with pharmaceutical companies in the discovery, development and commercialization of new medicines.</w:t>
      </w:r>
    </w:p>
    <w:p>
      <w:pPr>
        <w:spacing w:after="0" w:line="14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Government entities, such as the Centers for Disease Control and Prevention, or CDC, the WHO and non-government professional societies, such as the IDSA and the European Society of Clinical Microbiology and Infectious Diseases, or ESCMID, may produce treatment and/or prevention guidelines for COVID-19, including the use of monoclonal antibodies for these indications. If ADG20 fails to be added to these guidelines, or if it receives poor positioning within those guidelines, payors and other customers may be less inclined to add ADG20 to their formularies, significantly reducing demand for ADG20, if approved.</w:t>
      </w:r>
    </w:p>
    <w:p>
      <w:pPr>
        <w:spacing w:after="0" w:line="83"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Any product candidates for which we intend to seek approval as biologic products may face biosimilar competition sooner than anticipated.</w:t>
      </w:r>
    </w:p>
    <w:p>
      <w:pPr>
        <w:spacing w:after="0" w:line="154"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6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3" w:name="page64"/>
    <w:bookmarkEnd w:id="63"/>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believe our success depends on obtaining and maintaining coverage and adequate reimbursement for our product candidates, including ADG20 for the treatment and prevention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7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7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IDSA and ESCMID, may produce treatment and/or prevention guidelines for the treatment and prevention of COVID-19, including guidance regarding the use of monoclonal antibodies in these indications. If ADG20 fails to be added to these guidelines, or if it receives poor positioning within these guidelines, payors and other customers may be less inclined to add ADG20 to their formularies, significantly reducing demand for ADG20, if approved.</w:t>
      </w:r>
    </w:p>
    <w:p>
      <w:pPr>
        <w:spacing w:after="0" w:line="85"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5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7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There can be no assurance that ADG20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4" w:name="page65"/>
    <w:bookmarkEnd w:id="64"/>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decreased demand for any product candidates or drugs that we may develop;</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injury to our reputation and significant negative media attention;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withdrawal of clinical trial participants;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significant costs to defend the related litigation;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substantial monetary awards paid to trial participants or patients;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loss of revenue;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exhaustion of any available insurance and our capital resources;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reduced resources of our management to pursue our business strategy;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inability to commercialize any products that we may develop.</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6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on which we rely, are vulnerable to damage from, among other things, computer viruses, malware, natural disasters, terrorism, war, telecommunication and electrical failures, system malfunctions, cyberattacks or cyber-intrusions over the Internet, attachments to emails, phishing attacks,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w:t>
      </w:r>
    </w:p>
    <w:p>
      <w:pPr>
        <w:spacing w:after="0" w:line="5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jc w:val="both"/>
        <w:ind w:firstLine="509"/>
        <w:spacing w:after="0" w:line="286" w:lineRule="auto"/>
        <w:rPr>
          <w:sz w:val="20"/>
          <w:szCs w:val="20"/>
          <w:color w:val="auto"/>
        </w:rPr>
      </w:pPr>
      <w:r>
        <w:rPr>
          <w:rFonts w:ascii="Arial" w:cs="Arial" w:eastAsia="Arial" w:hAnsi="Arial"/>
          <w:sz w:val="17"/>
          <w:szCs w:val="17"/>
          <w:color w:val="auto"/>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applicable state, federal and foreign privacy and security laws, rules, regulations and standards.</w:t>
      </w:r>
    </w:p>
    <w:p>
      <w:pPr>
        <w:spacing w:after="0" w:line="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62"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or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62"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6"/>
          <w:szCs w:val="16"/>
          <w:color w:val="auto"/>
        </w:rPr>
        <w:t>In Europe, the General Data Protection Regulation, or the GDPR, took effect in May 2018. The GDPR governs the collection, use, disclosure, transfer or other processing of personal data of individuals within the European Economic Area, or the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consolidated annual worldwide gross revenue), and confers a private right of action on data subjects and consumer associations to lodge complaints with supervisory authorities, seek judicial remedies and obtain compensation for damages resulting from violations of the GDPR.</w:t>
      </w:r>
    </w:p>
    <w:p>
      <w:pPr>
        <w:spacing w:after="0" w:line="61"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 which exposes us to further compliance risk. Pursuant to the EU-UK Trade and Cooperation Agreement of December 24, 2020, transfers of personal data from the European Union to the United Kingdom may continue to take place without a need for additional safeguards during a further transition period, which expires on the earlier of (i) the date on which an adequacy decision with respect to the United Kingdom is adopted by the European Commission; or (ii) the expiry of four months, which shall be extended by a further two months unless either the European Union or the United Kingdom objects. On February 19, 2021 the European Commission published its draft decision finding the United Kingdom to be adequate under the GDPR, though it remains unclear whether the European Commission will formally adopt an adequacy decision with respect to the United Kingdom. In the absence of such decision, after the expiry of the additional transition period we may need to put in place additional safeguards for transfers of personal data from the European Union to the United Kingdom, such as standard contractual clauses approved by the European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6" w:name="page67"/>
    <w:bookmarkEnd w:id="66"/>
    <w:p>
      <w:pPr>
        <w:jc w:val="both"/>
        <w:ind w:firstLine="509"/>
        <w:spacing w:after="0" w:line="284" w:lineRule="auto"/>
        <w:rPr>
          <w:sz w:val="20"/>
          <w:szCs w:val="20"/>
          <w:color w:val="auto"/>
        </w:rPr>
      </w:pPr>
      <w:r>
        <w:rPr>
          <w:rFonts w:ascii="Arial" w:cs="Arial" w:eastAsia="Arial" w:hAnsi="Arial"/>
          <w:sz w:val="17"/>
          <w:szCs w:val="17"/>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the California Privacy Rights Act, or the CPRA, recently passed in California and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w:t>
      </w:r>
    </w:p>
    <w:p>
      <w:pPr>
        <w:spacing w:after="0" w:line="75"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With the GDPR, CCPA, CPRA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5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6"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35"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48"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have engaged CROs and other third parties to conduct our planned preclinical studies or clinical trials, including our ongoing clinical trials of ADG20,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7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73"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57" w:lineRule="exact"/>
        <w:rPr>
          <w:sz w:val="20"/>
          <w:szCs w:val="20"/>
          <w:color w:val="auto"/>
        </w:rPr>
      </w:pPr>
    </w:p>
    <w:p>
      <w:pPr>
        <w:jc w:val="both"/>
        <w:ind w:right="20" w:firstLine="509"/>
        <w:spacing w:after="0" w:line="359" w:lineRule="auto"/>
        <w:rPr>
          <w:sz w:val="20"/>
          <w:szCs w:val="20"/>
          <w:color w:val="auto"/>
        </w:rPr>
      </w:pPr>
      <w:r>
        <w:rPr>
          <w:rFonts w:ascii="Arial" w:cs="Arial" w:eastAsia="Arial" w:hAnsi="Arial"/>
          <w:sz w:val="16"/>
          <w:szCs w:val="16"/>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ADG20 or any other product candidates.</w:t>
      </w:r>
    </w:p>
    <w:p>
      <w:pPr>
        <w:spacing w:after="0" w:line="8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8" w:name="page69"/>
    <w:bookmarkEnd w:id="68"/>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31" w:lineRule="exact"/>
        <w:rPr>
          <w:sz w:val="20"/>
          <w:szCs w:val="20"/>
          <w:color w:val="auto"/>
        </w:rPr>
      </w:pPr>
    </w:p>
    <w:p>
      <w:pPr>
        <w:ind w:left="1080" w:right="1220"/>
        <w:spacing w:after="0" w:line="391" w:lineRule="auto"/>
        <w:rPr>
          <w:sz w:val="20"/>
          <w:szCs w:val="20"/>
          <w:color w:val="auto"/>
        </w:rPr>
      </w:pPr>
      <w:r>
        <w:rPr>
          <w:rFonts w:ascii="Arial" w:cs="Arial" w:eastAsia="Arial" w:hAnsi="Arial"/>
          <w:sz w:val="18"/>
          <w:szCs w:val="18"/>
          <w:color w:val="auto"/>
        </w:rPr>
        <w:t>collaborators have significant discretion in determining the efforts and resources that they will apply to these collaborations; collaborators may not perform their obligations as expected;</w:t>
      </w:r>
    </w:p>
    <w:p>
      <w:pPr>
        <w:spacing w:after="0" w:line="1" w:lineRule="exact"/>
        <w:rPr>
          <w:sz w:val="20"/>
          <w:szCs w:val="20"/>
          <w:color w:val="auto"/>
        </w:rPr>
      </w:pPr>
    </w:p>
    <w:p>
      <w:pPr>
        <w:jc w:val="both"/>
        <w:ind w:left="1080"/>
        <w:spacing w:after="0" w:line="303" w:lineRule="auto"/>
        <w:rPr>
          <w:sz w:val="20"/>
          <w:szCs w:val="20"/>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6"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1" w:lineRule="exact"/>
        <w:rPr>
          <w:sz w:val="20"/>
          <w:szCs w:val="20"/>
          <w:color w:val="auto"/>
        </w:rPr>
      </w:pPr>
    </w:p>
    <w:p>
      <w:pPr>
        <w:jc w:val="both"/>
        <w:ind w:left="1080" w:right="20"/>
        <w:spacing w:after="0" w:line="324" w:lineRule="auto"/>
        <w:rPr>
          <w:sz w:val="20"/>
          <w:szCs w:val="20"/>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39"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62" w:lineRule="exact"/>
        <w:rPr>
          <w:sz w:val="20"/>
          <w:szCs w:val="20"/>
          <w:color w:val="auto"/>
        </w:rPr>
      </w:pPr>
    </w:p>
    <w:p>
      <w:pPr>
        <w:jc w:val="both"/>
        <w:ind w:left="1080"/>
        <w:spacing w:after="0" w:line="275" w:lineRule="auto"/>
        <w:rPr>
          <w:sz w:val="20"/>
          <w:szCs w:val="20"/>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7"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4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9" w:name="page70"/>
    <w:bookmarkEnd w:id="69"/>
    <w:p>
      <w:pPr>
        <w:jc w:val="both"/>
        <w:ind w:firstLine="509"/>
        <w:spacing w:after="0" w:line="306"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56"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Although we own a number of pending patent applications that have not yet issued as patents, we do not own or license any issued patents with claims directed to our product candidates, including ADG20, and we may not be successful in prosecuting our filed patent applications. Accordingly, there can be no assurance that we will be able to obtain patent protection for any of our product candidates, including ADG20. Our pending Patent Cooperation Treaty, or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or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63"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We cannot offer any assurances about which of our patent applications will issue,the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0" w:name="page71"/>
    <w:bookmarkEnd w:id="70"/>
    <w:p>
      <w:pPr>
        <w:jc w:val="both"/>
        <w:ind w:firstLine="509"/>
        <w:spacing w:after="0" w:line="314"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5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7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70"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5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Monitoring unauthorized uses and disclosures is difficult, and we do not know whether the steps we have taken to protect our proprietary technologies will be effective.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1" w:name="page72"/>
    <w:bookmarkEnd w:id="71"/>
    <w:p>
      <w:pPr>
        <w:jc w:val="both"/>
        <w:ind w:firstLine="509"/>
        <w:spacing w:after="0" w:line="287" w:lineRule="auto"/>
        <w:rPr>
          <w:sz w:val="20"/>
          <w:szCs w:val="20"/>
          <w:color w:val="auto"/>
        </w:rPr>
      </w:pPr>
      <w:r>
        <w:rPr>
          <w:rFonts w:ascii="Arial" w:cs="Arial" w:eastAsia="Arial" w:hAnsi="Arial"/>
          <w:sz w:val="17"/>
          <w:szCs w:val="17"/>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7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7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79" w:lineRule="exact"/>
        <w:rPr>
          <w:sz w:val="20"/>
          <w:szCs w:val="20"/>
          <w:color w:val="auto"/>
        </w:rPr>
      </w:pPr>
    </w:p>
    <w:p>
      <w:pPr>
        <w:jc w:val="both"/>
        <w:ind w:firstLine="509"/>
        <w:spacing w:after="0" w:line="394" w:lineRule="auto"/>
        <w:rPr>
          <w:sz w:val="20"/>
          <w:szCs w:val="20"/>
          <w:color w:val="auto"/>
        </w:rPr>
      </w:pPr>
      <w:r>
        <w:rPr>
          <w:rFonts w:ascii="Arial" w:cs="Arial" w:eastAsia="Arial" w:hAnsi="Arial"/>
          <w:sz w:val="15"/>
          <w:szCs w:val="15"/>
          <w:b w:val="1"/>
          <w:bCs w:val="1"/>
          <w:i w:val="1"/>
          <w:iCs w:val="1"/>
          <w:color w:val="auto"/>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We are party to an assignment and license agreement, or the Adimab Assignment Agreement, with Adimab, LLC, or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grants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 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2" w:name="page73"/>
    <w:bookmarkEnd w:id="72"/>
    <w:p>
      <w:pPr>
        <w:jc w:val="both"/>
        <w:ind w:firstLine="509"/>
        <w:spacing w:after="0" w:line="329" w:lineRule="auto"/>
        <w:rPr>
          <w:sz w:val="20"/>
          <w:szCs w:val="20"/>
          <w:color w:val="auto"/>
        </w:rPr>
      </w:pPr>
      <w:r>
        <w:rPr>
          <w:rFonts w:ascii="Arial" w:cs="Arial" w:eastAsia="Arial" w:hAnsi="Arial"/>
          <w:sz w:val="16"/>
          <w:szCs w:val="16"/>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collaborations and licenses could subject us to a number of risks, including: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1" w:lineRule="exact"/>
        <w:rPr>
          <w:sz w:val="20"/>
          <w:szCs w:val="20"/>
          <w:color w:val="auto"/>
        </w:rPr>
      </w:pPr>
    </w:p>
    <w:p>
      <w:pPr>
        <w:jc w:val="both"/>
        <w:ind w:left="1080"/>
        <w:spacing w:after="0" w:line="272" w:lineRule="auto"/>
        <w:rPr>
          <w:sz w:val="20"/>
          <w:szCs w:val="20"/>
          <w:color w:val="auto"/>
        </w:rPr>
      </w:pPr>
      <w:r>
        <w:rPr>
          <w:rFonts w:ascii="Arial" w:cs="Arial" w:eastAsia="Arial" w:hAnsi="Arial"/>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83" w:lineRule="exact"/>
        <w:rPr>
          <w:sz w:val="20"/>
          <w:szCs w:val="20"/>
          <w:color w:val="auto"/>
        </w:rPr>
      </w:pPr>
    </w:p>
    <w:p>
      <w:pPr>
        <w:ind w:left="1080" w:right="1520"/>
        <w:spacing w:after="0" w:line="391" w:lineRule="auto"/>
        <w:rPr>
          <w:sz w:val="20"/>
          <w:szCs w:val="20"/>
          <w:color w:val="auto"/>
        </w:rPr>
      </w:pPr>
      <w:r>
        <w:rPr>
          <w:rFonts w:ascii="Arial" w:cs="Arial" w:eastAsia="Arial" w:hAnsi="Arial"/>
          <w:sz w:val="18"/>
          <w:szCs w:val="18"/>
          <w:color w:val="auto"/>
        </w:rPr>
        <w:t>we may be required to issue equity securities that would dilute our stockholders’ percentage ownership of our company; we may be required to assume substantial actual or contingent liabilities;</w:t>
      </w:r>
    </w:p>
    <w:p>
      <w:pPr>
        <w:spacing w:after="0" w:line="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sz w:val="20"/>
          <w:szCs w:val="20"/>
          <w:color w:val="auto"/>
        </w:rPr>
      </w:pPr>
    </w:p>
    <w:p>
      <w:pPr>
        <w:jc w:val="both"/>
        <w:ind w:left="1080"/>
        <w:spacing w:after="0" w:line="272" w:lineRule="auto"/>
        <w:rPr>
          <w:sz w:val="20"/>
          <w:szCs w:val="20"/>
          <w:color w:val="auto"/>
        </w:rPr>
      </w:pPr>
      <w:r>
        <w:rPr>
          <w:rFonts w:ascii="Arial" w:cs="Arial" w:eastAsia="Arial" w:hAnsi="Arial"/>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strategic collaborators may select indications or design clinical trials in a way that may be less successful than if we were doing so;</w:t>
      </w:r>
    </w:p>
    <w:p>
      <w:pPr>
        <w:spacing w:after="0" w:line="14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 from these products;</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strategic collaborators may experience financial difficulties;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62"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3" w:name="page74"/>
    <w:bookmarkEnd w:id="73"/>
    <w:p>
      <w:pPr>
        <w:ind w:left="1080"/>
        <w:spacing w:after="0" w:line="293" w:lineRule="auto"/>
        <w:rPr>
          <w:sz w:val="20"/>
          <w:szCs w:val="20"/>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7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6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6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8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 xml:space="preserve">For example, on September 16, 2011, the Leahy-Smith America Invents Act, or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63"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4" w:name="page75"/>
    <w:bookmarkEnd w:id="74"/>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84"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6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ADG20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6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5" w:name="page76"/>
    <w:bookmarkEnd w:id="75"/>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ADG20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ADG20, and a third party may claim that our development or commercialization of ADG20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ADG20, which may not be feasible on a technical or commercial basis in a timely manner, and we may have to delay or abandon development of ADG20, which could have a material adverse effect on our business.</w:t>
      </w:r>
    </w:p>
    <w:p>
      <w:pPr>
        <w:spacing w:after="0" w:line="7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6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2"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74"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misappropriating or otherwise violating the patents and proprietary rights of third parties. As our current and future product candidates progress toward commercialization, the possibility of a patent infringement claim against us increases. There is a substantial amount of litigation involving patents and other intellectual property rights in the biotechnology and pharmaceutical industries, including patent infringement lawsuits, interferences, derivation proceedings, post grant reviews,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or other intellectual property rights.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jc w:val="both"/>
        <w:ind w:firstLine="509"/>
        <w:spacing w:after="0" w:line="305" w:lineRule="auto"/>
        <w:rPr>
          <w:sz w:val="20"/>
          <w:szCs w:val="20"/>
          <w:color w:val="auto"/>
        </w:rPr>
      </w:pPr>
      <w:r>
        <w:rPr>
          <w:rFonts w:ascii="Arial" w:cs="Arial" w:eastAsia="Arial" w:hAnsi="Arial"/>
          <w:sz w:val="16"/>
          <w:szCs w:val="16"/>
          <w:color w:val="auto"/>
        </w:rPr>
        <w:t xml:space="preserve">We cannot provide any assurance that our current and future product candidates do not infringe, misappropriate or otherwise violate other parties’ patents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ADG20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6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70"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6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7" w:name="page78"/>
    <w:bookmarkEnd w:id="77"/>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future patents and other intellectual property.</w:t>
      </w:r>
    </w:p>
    <w:p>
      <w:pPr>
        <w:spacing w:after="0" w:line="131"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5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8" w:name="page79"/>
    <w:bookmarkEnd w:id="78"/>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w:t>
      </w:r>
    </w:p>
    <w:p>
      <w:pPr>
        <w:spacing w:after="0" w:line="66"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8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8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3"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For example, our license agreement with Biocon pursuant to which we will provide Biocon materials and know-how to manufacture and commercialize an antibody treatment based on ADG20 in India and select emerging markets may also expose us to risks related to enforcement of our intellectual property rights.</w:t>
      </w:r>
    </w:p>
    <w:p>
      <w:pPr>
        <w:spacing w:after="0" w:line="7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9" w:name="page80"/>
    <w:bookmarkEnd w:id="79"/>
    <w:p>
      <w:pPr>
        <w:jc w:val="both"/>
        <w:spacing w:after="0" w:line="272" w:lineRule="auto"/>
        <w:rPr>
          <w:sz w:val="20"/>
          <w:szCs w:val="20"/>
          <w:color w:val="auto"/>
        </w:rPr>
      </w:pPr>
      <w:r>
        <w:rPr>
          <w:rFonts w:ascii="Arial" w:cs="Arial" w:eastAsia="Arial" w:hAnsi="Arial"/>
          <w:sz w:val="18"/>
          <w:szCs w:val="18"/>
          <w:color w:val="auto"/>
        </w:rPr>
        <w:t>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62"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6"/>
          <w:szCs w:val="16"/>
          <w:color w:val="auto"/>
        </w:rPr>
        <w:t>We expect to rely on trademarks as one means to distinguish our product candidates, if approved for marketing, from the drugs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9"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any of our patents, should they issue;</w:t>
      </w:r>
    </w:p>
    <w:p>
      <w:pPr>
        <w:spacing w:after="0" w:line="62" w:lineRule="exact"/>
        <w:rPr>
          <w:sz w:val="20"/>
          <w:szCs w:val="20"/>
          <w:color w:val="auto"/>
        </w:rPr>
      </w:pPr>
    </w:p>
    <w:p>
      <w:pPr>
        <w:jc w:val="both"/>
        <w:ind w:left="1080" w:right="20"/>
        <w:spacing w:after="0" w:line="293" w:lineRule="auto"/>
        <w:rPr>
          <w:sz w:val="20"/>
          <w:szCs w:val="20"/>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62"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we or our collaborators might not have been the first to make the inventions covered by our future issued patents or our pending patent applications;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or our collaborators might not have been the first to file patent applications covering certain of our inventions;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it is possible that our pending patent applications will not lead to issued patents;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issued patents that we own or in-license may be held invalid or unenforceable as a result of legal challenges by our competitors;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31" w:lineRule="exact"/>
        <w:rPr>
          <w:sz w:val="20"/>
          <w:szCs w:val="20"/>
          <w:color w:val="auto"/>
        </w:rPr>
      </w:pPr>
    </w:p>
    <w:p>
      <w:pPr>
        <w:jc w:val="both"/>
        <w:ind w:left="1080"/>
        <w:spacing w:after="0" w:line="329" w:lineRule="auto"/>
        <w:rPr>
          <w:sz w:val="20"/>
          <w:szCs w:val="20"/>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not develop additional proprietary technologies that are patentable;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patents of others may have an adverse effect on our business.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7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88" w:lineRule="exact"/>
        <w:rPr>
          <w:sz w:val="20"/>
          <w:szCs w:val="20"/>
          <w:color w:val="auto"/>
        </w:rPr>
      </w:pPr>
    </w:p>
    <w:p>
      <w:pPr>
        <w:jc w:val="both"/>
        <w:ind w:left="1080"/>
        <w:spacing w:after="0" w:line="306" w:lineRule="auto"/>
        <w:rPr>
          <w:sz w:val="20"/>
          <w:szCs w:val="20"/>
          <w:color w:val="auto"/>
        </w:rPr>
      </w:pPr>
      <w:r>
        <w:rPr>
          <w:rFonts w:ascii="Arial" w:cs="Arial" w:eastAsia="Arial" w:hAnsi="Arial"/>
          <w:sz w:val="16"/>
          <w:szCs w:val="16"/>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62" w:lineRule="exact"/>
        <w:rPr>
          <w:sz w:val="20"/>
          <w:szCs w:val="20"/>
          <w:color w:val="auto"/>
        </w:rPr>
      </w:pPr>
    </w:p>
    <w:p>
      <w:pPr>
        <w:jc w:val="both"/>
        <w:ind w:left="1080"/>
        <w:spacing w:after="0" w:line="305" w:lineRule="auto"/>
        <w:rPr>
          <w:sz w:val="20"/>
          <w:szCs w:val="20"/>
          <w:color w:val="auto"/>
        </w:rPr>
      </w:pPr>
      <w:r>
        <w:rPr>
          <w:rFonts w:ascii="Arial" w:cs="Arial" w:eastAsia="Arial" w:hAnsi="Arial"/>
          <w:sz w:val="16"/>
          <w:szCs w:val="16"/>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61" w:lineRule="exact"/>
        <w:rPr>
          <w:sz w:val="20"/>
          <w:szCs w:val="20"/>
          <w:color w:val="auto"/>
        </w:rPr>
      </w:pPr>
    </w:p>
    <w:p>
      <w:pPr>
        <w:jc w:val="both"/>
        <w:ind w:left="1080"/>
        <w:spacing w:after="0" w:line="314" w:lineRule="auto"/>
        <w:rPr>
          <w:sz w:val="20"/>
          <w:szCs w:val="20"/>
          <w:color w:val="auto"/>
        </w:rPr>
      </w:pPr>
      <w:r>
        <w:rPr>
          <w:rFonts w:ascii="Arial" w:cs="Arial" w:eastAsia="Arial" w:hAnsi="Arial"/>
          <w:sz w:val="16"/>
          <w:szCs w:val="16"/>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2" w:lineRule="exact"/>
        <w:rPr>
          <w:sz w:val="20"/>
          <w:szCs w:val="20"/>
          <w:color w:val="auto"/>
        </w:rPr>
      </w:pPr>
    </w:p>
    <w:p>
      <w:pPr>
        <w:jc w:val="both"/>
        <w:ind w:left="1080"/>
        <w:spacing w:after="0" w:line="288" w:lineRule="auto"/>
        <w:rPr>
          <w:sz w:val="20"/>
          <w:szCs w:val="20"/>
          <w:color w:val="auto"/>
        </w:rPr>
      </w:pPr>
      <w:r>
        <w:rPr>
          <w:rFonts w:ascii="Arial" w:cs="Arial" w:eastAsia="Arial" w:hAnsi="Arial"/>
          <w:sz w:val="17"/>
          <w:szCs w:val="17"/>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1" w:name="page82"/>
    <w:bookmarkEnd w:id="81"/>
    <w:p>
      <w:pPr>
        <w:jc w:val="both"/>
        <w:ind w:left="1080"/>
        <w:spacing w:after="0" w:line="272" w:lineRule="auto"/>
        <w:rPr>
          <w:sz w:val="20"/>
          <w:szCs w:val="20"/>
          <w:color w:val="auto"/>
        </w:rPr>
      </w:pPr>
      <w:r>
        <w:rPr>
          <w:rFonts w:ascii="Arial" w:cs="Arial" w:eastAsia="Arial" w:hAnsi="Arial"/>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8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8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5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b w:val="1"/>
          <w:bCs w:val="1"/>
          <w:i w:val="1"/>
          <w:iCs w:val="1"/>
          <w:color w:val="auto"/>
        </w:rPr>
        <w:t>Even if we obtain regulatory approval for ADG20 or any future product candidates, they will remain subject to ongoing regulatory oversight, which may result in significant additional expense.</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Even if we obtain any regulatory approval for ADG20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ADG20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7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7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fail to comply with applicable regulatory requirements following approval of ADG20 or any future product candidates, a regulatory authority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w:t>
      </w:r>
    </w:p>
    <w:p>
      <w:pPr>
        <w:spacing w:after="0" w:line="130" w:lineRule="exact"/>
        <w:rPr>
          <w:sz w:val="20"/>
          <w:szCs w:val="20"/>
          <w:color w:val="auto"/>
        </w:rPr>
      </w:pPr>
    </w:p>
    <w:p>
      <w:pPr>
        <w:ind w:left="1080" w:right="3720"/>
        <w:spacing w:after="0" w:line="404" w:lineRule="auto"/>
        <w:rPr>
          <w:sz w:val="20"/>
          <w:szCs w:val="20"/>
          <w:color w:val="auto"/>
        </w:rPr>
      </w:pPr>
      <w:r>
        <w:rPr>
          <w:rFonts w:ascii="Arial" w:cs="Arial" w:eastAsia="Arial" w:hAnsi="Arial"/>
          <w:sz w:val="18"/>
          <w:szCs w:val="18"/>
          <w:color w:val="auto"/>
        </w:rPr>
        <w:t>issue an untitled letter or warning letter asserting that we are in violation of the law; seek an injunction or impose administrative, civil or criminal penalties or monetary fines; suspend or withdraw regulatory approval;</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2" w:name="page83"/>
    <w:bookmarkEnd w:id="82"/>
    <w:p>
      <w:pPr>
        <w:ind w:left="1080"/>
        <w:spacing w:after="0"/>
        <w:rPr>
          <w:sz w:val="20"/>
          <w:szCs w:val="20"/>
          <w:color w:val="auto"/>
        </w:rPr>
      </w:pPr>
      <w:r>
        <w:rPr>
          <w:rFonts w:ascii="Arial" w:cs="Arial" w:eastAsia="Arial" w:hAnsi="Arial"/>
          <w:sz w:val="18"/>
          <w:szCs w:val="18"/>
          <w:color w:val="auto"/>
        </w:rPr>
        <w:t>suspend any ongoing clinical trials;</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restrict the marketing or manufacturing of the drug;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seize or detain the drug or otherwise require the withdrawal of the drug from the market;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refuse to permit the import or export of products or product candidates; or</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refuse to allow us to enter into supply contracts, including government contracts.</w:t>
      </w:r>
    </w:p>
    <w:p>
      <w:pPr>
        <w:spacing w:after="0" w:line="131"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ADG20 or any future product candidates and harm our business, financial condition, results of operations and prospects.</w:t>
      </w:r>
    </w:p>
    <w:p>
      <w:pPr>
        <w:spacing w:after="0" w:line="75"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7"/>
          <w:szCs w:val="17"/>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3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77"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Healthcare legislative or regulatory reform measures may have a negative impact on our business and results of operations.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7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3" w:name="page84"/>
    <w:bookmarkEnd w:id="83"/>
    <w:p>
      <w:pPr>
        <w:jc w:val="both"/>
        <w:ind w:firstLine="509"/>
        <w:spacing w:after="0" w:line="284" w:lineRule="auto"/>
        <w:rPr>
          <w:sz w:val="20"/>
          <w:szCs w:val="20"/>
          <w:color w:val="auto"/>
        </w:rPr>
      </w:pPr>
      <w:r>
        <w:rPr>
          <w:rFonts w:ascii="Arial" w:cs="Arial" w:eastAsia="Arial" w:hAnsi="Arial"/>
          <w:sz w:val="17"/>
          <w:szCs w:val="17"/>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judge for the United States District Court for the Northern District of Texas ruled that the ACA is unconstitutional in its entirety because the “individual mandate” was repealed by Congress as part of the Tax Act. Additionally, on December 18, 2019, the United States Court of Appeals for the Fifth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On February 10, 2021, the Biden administration withdrew the federal government’s support for overturning the ACA. Although the U.S. Supreme Court has not yet ruled on the constitutionality of the ACA,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p>
    <w:p>
      <w:pPr>
        <w:spacing w:after="0" w:line="79"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However, COVID-19 relief legislation suspended the 2% Medicare sequester from May 1, 2020 through December 31, 2021.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62" w:lineRule="exact"/>
        <w:rPr>
          <w:sz w:val="20"/>
          <w:szCs w:val="20"/>
          <w:color w:val="auto"/>
        </w:rPr>
      </w:pPr>
    </w:p>
    <w:p>
      <w:pPr>
        <w:jc w:val="both"/>
        <w:ind w:firstLine="509"/>
        <w:spacing w:after="0" w:line="302" w:lineRule="auto"/>
        <w:rPr>
          <w:sz w:val="20"/>
          <w:szCs w:val="20"/>
          <w:color w:val="auto"/>
        </w:rPr>
      </w:pPr>
      <w:r>
        <w:rPr>
          <w:rFonts w:ascii="Arial" w:cs="Arial" w:eastAsia="Arial" w:hAnsi="Arial"/>
          <w:sz w:val="16"/>
          <w:szCs w:val="16"/>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was also delayed pending review by the Biden administration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On December 28, 2020, the United States District Court for the Northern District of California issued a nationwide preliminary injunction against implementation of the interim final rule. The likelihood of implementation of any of the other Trump administration reform initiatives is uncertain, particularly in light of the recent U.S. presidential election.</w:t>
      </w:r>
    </w:p>
    <w:p>
      <w:pPr>
        <w:spacing w:after="0" w:line="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4" w:name="page85"/>
    <w:bookmarkEnd w:id="84"/>
    <w:p>
      <w:pPr>
        <w:jc w:val="both"/>
        <w:ind w:firstLine="509"/>
        <w:spacing w:after="0" w:line="306" w:lineRule="auto"/>
        <w:rPr>
          <w:sz w:val="20"/>
          <w:szCs w:val="20"/>
          <w:color w:val="auto"/>
        </w:rPr>
      </w:pPr>
      <w:r>
        <w:rPr>
          <w:rFonts w:ascii="Arial" w:cs="Arial" w:eastAsia="Arial" w:hAnsi="Arial"/>
          <w:sz w:val="16"/>
          <w:szCs w:val="16"/>
          <w:color w:val="auto"/>
        </w:rPr>
        <w:t>In addition, FDA regulations and guidance may be revised or reinterpreted by the FDA in ways that may significantly affect our business and our products. For example, the results of the 2020 U.S. Presidential election may impact our business and industry.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requirements will be interpreted and implemented, or whether they will be rescinded and replaced under the Biden administration. The policies and priorities of the new administration are unknown and could materially impact the regulations governing our product candidates. Any new regulations or guidance, or revisions or reinterpretations of existing regulations or guidance, may impose additional costs or lengthen FDA review times for ADG20 or any future product candidates. We cannot determine how changes in regulations, statutes, policies or interpretations when and if issued, enacted or adopted, may affect our business in the future. Such changes could, among other things, require:</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additional clinical trials to be conducted prior to obtaining approval;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to manufacturing methods;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recalls, replacements or discontinuance of one or more of our products, if approved;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additional recordkeeping.</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ADG20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75"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5" w:name="page86"/>
    <w:bookmarkEnd w:id="85"/>
    <w:p>
      <w:pPr>
        <w:jc w:val="both"/>
        <w:ind w:firstLine="509"/>
        <w:spacing w:after="0" w:line="279" w:lineRule="auto"/>
        <w:rPr>
          <w:sz w:val="20"/>
          <w:szCs w:val="20"/>
          <w:color w:val="auto"/>
        </w:rPr>
      </w:pPr>
      <w:r>
        <w:rPr>
          <w:rFonts w:ascii="Arial" w:cs="Arial" w:eastAsia="Arial" w:hAnsi="Arial"/>
          <w:sz w:val="18"/>
          <w:szCs w:val="18"/>
          <w:b w:val="1"/>
          <w:bCs w:val="1"/>
          <w:i w:val="1"/>
          <w:iCs w:val="1"/>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75"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7"/>
          <w:szCs w:val="17"/>
          <w:color w:val="auto"/>
        </w:rPr>
        <w:t>Tillman U. Gerngross, Ph.D., our co-founder, Chief Executive Officer and a member of our board of directors, is a co-founder, the currently serving Chief Executive Officer and a member of the board of directors of Adimab, and also serves as an officer and/or Chairman of three additional private companies, Venture Partner at one additional private company and Chairman of one public company. Laura Walker, Ph.D., our co-founder and Chief Scientific Officer, serves as Senior Director of Antibody Sciences at Adimab. Terrance McGuire and Ajay Royan, members of our board of directors, serve as directors of Adimab. As a result, these directors and executive officers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In addition, certain of these individuals own equity interests in Adimab, which represent a significant portion of these individuals’ net worth. These individuals’ respective positions at Adimab and the ownership of any Adimab equity or equity awards creates, or may create the appearance of, conflicts of interest, including when these individuals make decisions that could have different implications for Adimab than for us.</w:t>
      </w:r>
    </w:p>
    <w:p>
      <w:pPr>
        <w:spacing w:after="0" w:line="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executive officers, directors, five percent stockholders and their affiliates beneficially own approximately 70.2% of our common stock as of September 13, 2021. Therefore, these stockholders, and in particular, our largest stockholder, Adimab,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62"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Adimab is currently our largest stockholder and beneficially owns approximately 25.0% of the voting power of our outstanding common stock as of September 13, 2021 on an as-converted basis.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5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Furthermore, certain of our directors and officers may have actual or potential conflicts of interest with us because of their positions or affiliations with Adimab or their equity ownership in Adimab. Tillman Gerngross, co-founder and Chief Executive Officer and member of the board of directors of Adimab, Laura Walker, Senior Director of Antibody Sciences at Adimab, and Ajay Royan, members of the board of directors of Adimab, serve as our executive officers and/or on our board of directors and retain their positions and affiliations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6" w:name="page87"/>
    <w:bookmarkEnd w:id="86"/>
    <w:p>
      <w:pPr>
        <w:jc w:val="both"/>
        <w:ind w:firstLine="509"/>
        <w:spacing w:after="0" w:line="324" w:lineRule="auto"/>
        <w:rPr>
          <w:sz w:val="20"/>
          <w:szCs w:val="20"/>
          <w:color w:val="auto"/>
        </w:rPr>
      </w:pPr>
      <w:r>
        <w:rPr>
          <w:rFonts w:ascii="Arial" w:cs="Arial" w:eastAsia="Arial" w:hAnsi="Arial"/>
          <w:sz w:val="17"/>
          <w:szCs w:val="17"/>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3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As our development progresses, we expect to experience significant growth in the number of our employees and the scope of our operations, particularly in the areas of clinical product development, regulatory affairs, manufacturing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6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 active trading market for our common stock may not continue to be developed or sustained.</w:t>
      </w:r>
    </w:p>
    <w:p>
      <w:pPr>
        <w:spacing w:after="0" w:line="131"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Prior to our initial public offering, there was no public market for our common stock. Although our common stock is listed on the Nasdaq Global Market, an active market for our common stock does not develop or is not sustained, it may be difficult for you to sell shares at an attractive price or at all.</w:t>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The trading price of the shares of our common stock may be volatile, and purchasers of our common stock could incur substantial losses.</w:t>
      </w:r>
    </w:p>
    <w:p>
      <w:pPr>
        <w:spacing w:after="0" w:line="154"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40"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auto"/>
        </w:rPr>
        <w:t>the timing, progress and results of our ongoing clinical trials of ADG20 or the commencement, enrollment or results of any future clinical trials we may conduct, or changes in the development status of our product candidates;</w:t>
      </w:r>
    </w:p>
    <w:p>
      <w:pPr>
        <w:spacing w:after="0" w:line="62" w:lineRule="exact"/>
        <w:rPr>
          <w:sz w:val="20"/>
          <w:szCs w:val="20"/>
          <w:color w:val="auto"/>
        </w:rPr>
      </w:pPr>
    </w:p>
    <w:p>
      <w:pPr>
        <w:jc w:val="both"/>
        <w:ind w:left="1080"/>
        <w:spacing w:after="0" w:line="279" w:lineRule="auto"/>
        <w:rPr>
          <w:sz w:val="20"/>
          <w:szCs w:val="20"/>
          <w:color w:val="auto"/>
        </w:rPr>
      </w:pPr>
      <w:r>
        <w:rPr>
          <w:rFonts w:ascii="Arial" w:cs="Arial" w:eastAsia="Arial" w:hAnsi="Arial"/>
          <w:sz w:val="18"/>
          <w:szCs w:val="18"/>
          <w:color w:val="auto"/>
        </w:rPr>
        <w:t>any delay in our regulatory filings for ADG20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delays in or termination of clinical trials;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unanticipated serious safety concerns related to the use of ADG20 or any other product candidate;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financial estimates by us or by any equity research analysts who might cover our stock;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7" w:name="page88"/>
    <w:bookmarkEnd w:id="87"/>
    <w:p>
      <w:pPr>
        <w:ind w:left="1080"/>
        <w:spacing w:after="0"/>
        <w:rPr>
          <w:sz w:val="20"/>
          <w:szCs w:val="20"/>
          <w:color w:val="auto"/>
        </w:rPr>
      </w:pPr>
      <w:r>
        <w:rPr>
          <w:rFonts w:ascii="Arial" w:cs="Arial" w:eastAsia="Arial" w:hAnsi="Arial"/>
          <w:sz w:val="18"/>
          <w:szCs w:val="18"/>
          <w:color w:val="auto"/>
        </w:rPr>
        <w:t>conditions or trends in our industry;</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the market valuations of similar companies;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announcements by our competitors of new product candidates or technologies, or the results of clinical trials or regulatory decisions;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154"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relationships with our collaborators;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announcements of investigations or regulatory scrutiny of our operations or lawsuits filed against us;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investors’ general perception of our company and our business;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recruitment or departure of key personnel;</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overall performance of the equity markets;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trading volume of our common stock;</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significant lawsuits, including patent or stockholder litigation;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general political and economic conditions;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 events or factors, many of which are beyond our control.</w:t>
      </w:r>
    </w:p>
    <w:p>
      <w:pPr>
        <w:spacing w:after="0" w:line="13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7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75"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4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identified a material weakness in our internal control over financial reporting that was identified during our March 31, 2021 review. The material weakness continued to exist as of June 30, 2021.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7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consolidated financial statements. Additionally, this material weakness could result in misstatements of the aforementioned account balances or disclosures that would result in a material misstatement of our annual or interim consolidated financial statements that would not be prevented or detected.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8" w:name="page89"/>
    <w:bookmarkEnd w:id="88"/>
    <w:p>
      <w:pPr>
        <w:jc w:val="both"/>
        <w:ind w:firstLine="509"/>
        <w:spacing w:after="0" w:line="293" w:lineRule="auto"/>
        <w:rPr>
          <w:sz w:val="20"/>
          <w:szCs w:val="20"/>
          <w:color w:val="auto"/>
        </w:rPr>
      </w:pPr>
      <w:r>
        <w:rPr>
          <w:rFonts w:ascii="Arial" w:cs="Arial" w:eastAsia="Arial" w:hAnsi="Arial"/>
          <w:sz w:val="18"/>
          <w:szCs w:val="18"/>
          <w:color w:val="auto"/>
        </w:rPr>
        <w:t>In order to remediate this material weakness, we are in the process of designing and implementing controls during interim periods related to the completeness and accuracy of the contract manufacturing accrual process.</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cannot assure that the measures we have taken to date, and actions we may take in the future, will be sufficient to remediate the control deficiency that led to this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we identify any additional material weaknesses, the accuracy and timing of our financial reporting may be adversely affected, potentially resulting in restatements of our consolidated financial statements; we may be unable to maintain compliance with securities law requirements regarding timely filing of periodic reports and applicable Nasdaq listing requirements; investors may lose confidence in our financial reporting; and our stock price may decline as a result.</w:t>
      </w:r>
    </w:p>
    <w:p>
      <w:pPr>
        <w:spacing w:after="0" w:line="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If we are unable to design and maintain effective internal control over financial reporting, investors may lose confidence in the accuracy and completeness of our financial reports and the market price of our common stock may decline.</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our initial public offering, we began the process of documenting, reviewing and improving our internal control over financial reporting for compliance with Section 404 of the Sarbanes-Oxley Act, which requires annual management assessment of the effectiveness of our internal control over financial reporting.</w:t>
      </w:r>
    </w:p>
    <w:p>
      <w:pPr>
        <w:spacing w:after="0" w:line="8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 If we fail to remediate our identified material weakness, or identify additional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Securities and Exchange Commission, or SEC, or other regulatory authorities, which could require additional financial and management resources.</w:t>
      </w:r>
    </w:p>
    <w:p>
      <w:pPr>
        <w:spacing w:after="0" w:line="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could cause the market price of our common stock to drop significantly, even if our business is doing well.</w:t>
      </w:r>
    </w:p>
    <w:p>
      <w:pPr>
        <w:spacing w:after="0" w:line="35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9" w:name="page90"/>
    <w:bookmarkEnd w:id="89"/>
    <w:p>
      <w:pPr>
        <w:jc w:val="both"/>
        <w:ind w:firstLine="509"/>
        <w:spacing w:after="0" w:line="292" w:lineRule="auto"/>
        <w:rPr>
          <w:sz w:val="20"/>
          <w:szCs w:val="20"/>
          <w:color w:val="auto"/>
        </w:rPr>
      </w:pPr>
      <w:r>
        <w:rPr>
          <w:rFonts w:ascii="Arial" w:cs="Arial" w:eastAsia="Arial" w:hAnsi="Arial"/>
          <w:sz w:val="17"/>
          <w:szCs w:val="17"/>
          <w:color w:val="auto"/>
        </w:rPr>
        <w:t>As of September 13, 2021, we had outstanding 111,251,660 shares of common stock. Of these shares, 20,930,000 shares sold in our initial public offering are freely tradable and substantially all of the additional shares of common stock will be available for sale in the public market on February 1, 2022, which is 180 days after the date of the prospectus for our initial public offering following the expiration of lock-up agreements between some of our stockholders and the underwriters. Morgan Stanley &amp; Co. LLC and Jefferies LLC may release these stockholders from their lock-up agreements with the underwriters at any time and without notice, which would allow for earlier sales of shares in the public market.</w:t>
      </w:r>
    </w:p>
    <w:p>
      <w:pPr>
        <w:spacing w:after="0" w:line="66"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In addition, we have filed registration statements on Form S-8 under the Securities Act of 1933, as amended, or the Securities Act, registering the issuance of approximately 36.4 million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48"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Additionally, the holders of an aggregate of approximately 84.7 million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48"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3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only one of our three classes of directors will be elected each year;</w:t>
      </w:r>
    </w:p>
    <w:p>
      <w:pPr>
        <w:spacing w:after="0" w:line="12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stockholders will not be entitled to remove directors other than by a 66</w:t>
      </w:r>
      <w:r>
        <w:rPr>
          <w:rFonts w:ascii="Arial" w:cs="Arial" w:eastAsia="Arial" w:hAnsi="Arial"/>
          <w:sz w:val="21"/>
          <w:szCs w:val="21"/>
          <w:color w:val="auto"/>
          <w:vertAlign w:val="superscript"/>
        </w:rPr>
        <w:t>2</w:t>
      </w:r>
      <w:r>
        <w:rPr>
          <w:rFonts w:ascii="Arial" w:cs="Arial" w:eastAsia="Arial" w:hAnsi="Arial"/>
          <w:sz w:val="18"/>
          <w:szCs w:val="18"/>
          <w:color w:val="auto"/>
        </w:rPr>
        <w:t>/</w:t>
      </w:r>
      <w:r>
        <w:rPr>
          <w:rFonts w:ascii="Arial" w:cs="Arial" w:eastAsia="Arial" w:hAnsi="Arial"/>
          <w:sz w:val="10"/>
          <w:szCs w:val="10"/>
          <w:color w:val="auto"/>
        </w:rPr>
        <w:t>3</w:t>
      </w:r>
      <w:r>
        <w:rPr>
          <w:rFonts w:ascii="Arial" w:cs="Arial" w:eastAsia="Arial" w:hAnsi="Arial"/>
          <w:sz w:val="18"/>
          <w:szCs w:val="18"/>
          <w:color w:val="auto"/>
        </w:rPr>
        <w:t>% vote and only for cause;</w:t>
      </w:r>
    </w:p>
    <w:p>
      <w:pPr>
        <w:spacing w:after="0" w:line="10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stockholders will not be permitted to take actions by written consent;</w:t>
      </w:r>
    </w:p>
    <w:p>
      <w:pPr>
        <w:spacing w:after="0" w:line="13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stockholders cannot call a special meeting of stockholders; and</w:t>
      </w:r>
    </w:p>
    <w:p>
      <w:pPr>
        <w:spacing w:after="0" w:line="131"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stockholders must give advance notice to nominate directors or submit proposals for consideration at stockholder</w:t>
      </w:r>
    </w:p>
    <w:p>
      <w:pPr>
        <w:spacing w:after="0" w:line="3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meetings.</w:t>
      </w:r>
    </w:p>
    <w:p>
      <w:pPr>
        <w:spacing w:after="0" w:line="130"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6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70.2% of our outstanding common stock as of September 13, 2021</w:t>
      </w:r>
      <w:r>
        <w:rPr>
          <w:rFonts w:ascii="Arial" w:cs="Arial" w:eastAsia="Arial" w:hAnsi="Arial"/>
          <w:sz w:val="18"/>
          <w:szCs w:val="18"/>
          <w:color w:val="0000FF"/>
        </w:rPr>
        <w:t>.</w:t>
      </w:r>
      <w:r>
        <w:rPr>
          <w:rFonts w:ascii="Arial" w:cs="Arial" w:eastAsia="Arial" w:hAnsi="Arial"/>
          <w:sz w:val="18"/>
          <w:szCs w:val="18"/>
          <w:color w:val="auto"/>
        </w:rPr>
        <w:t xml:space="preserve">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77"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0" w:name="page91"/>
    <w:bookmarkEnd w:id="90"/>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5" w:lineRule="exact"/>
        <w:rPr>
          <w:sz w:val="20"/>
          <w:szCs w:val="20"/>
          <w:color w:val="auto"/>
        </w:rPr>
      </w:pPr>
    </w:p>
    <w:p>
      <w:pPr>
        <w:ind w:left="1080"/>
        <w:spacing w:after="0" w:line="359" w:lineRule="auto"/>
        <w:rPr>
          <w:sz w:val="20"/>
          <w:szCs w:val="20"/>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7" w:lineRule="exact"/>
        <w:rPr>
          <w:sz w:val="20"/>
          <w:szCs w:val="20"/>
          <w:color w:val="auto"/>
        </w:rPr>
      </w:pPr>
    </w:p>
    <w:p>
      <w:pPr>
        <w:ind w:left="1080" w:right="320"/>
        <w:spacing w:after="0" w:line="391" w:lineRule="auto"/>
        <w:rPr>
          <w:sz w:val="20"/>
          <w:szCs w:val="20"/>
          <w:color w:val="auto"/>
        </w:rPr>
      </w:pPr>
      <w:r>
        <w:rPr>
          <w:rFonts w:ascii="Arial" w:cs="Arial" w:eastAsia="Arial" w:hAnsi="Arial"/>
          <w:sz w:val="18"/>
          <w:szCs w:val="18"/>
          <w:color w:val="auto"/>
        </w:rPr>
        <w:t>an exemption from compliance with the auditor attestation requirement in the assessment of our internal control over financial reporting; reduced disclosure obligations regarding executive compensation;</w:t>
      </w:r>
    </w:p>
    <w:p>
      <w:pPr>
        <w:spacing w:after="0" w:line="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62" w:lineRule="exact"/>
        <w:rPr>
          <w:sz w:val="20"/>
          <w:szCs w:val="20"/>
          <w:color w:val="auto"/>
        </w:rPr>
      </w:pPr>
    </w:p>
    <w:p>
      <w:pPr>
        <w:jc w:val="both"/>
        <w:ind w:firstLine="558"/>
        <w:spacing w:after="0" w:line="272"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We are a “smaller reporting company.” We are therefore entitled to rely on certain reduced disclosure requirements for as long as we remain a smaller reporting company, such as an exemption from providing selected financial data and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will have broad discretion in the use of our cash and cash equivalents, including the net proceeds from our initial public offering.</w:t>
      </w:r>
    </w:p>
    <w:p>
      <w:pPr>
        <w:spacing w:after="0" w:line="38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We will have broad discretion over the use of our cash and cash equivalents, including the net proceeds from our initial public offering.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these net proceeds. You will not have the opportunity to influence our decisions on how to use our cash and cash equivalents</w:t>
      </w:r>
    </w:p>
    <w:p>
      <w:pPr>
        <w:spacing w:after="0" w:line="29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1" w:name="page92"/>
    <w:bookmarkEnd w:id="91"/>
    <w:p>
      <w:pPr>
        <w:jc w:val="both"/>
        <w:ind w:firstLine="509"/>
        <w:spacing w:after="0" w:line="303"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derivative action or proceeding brought on our behalf;</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action asserting a breach of fiduciary duty;</w:t>
      </w:r>
    </w:p>
    <w:p>
      <w:pPr>
        <w:spacing w:after="0" w:line="131"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action asserting a claim against us that is governed by the internal-affairs doctrine.</w:t>
      </w:r>
    </w:p>
    <w:p>
      <w:pPr>
        <w:spacing w:after="0" w:line="131"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62"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becoming a public company, which could lower our profits or make it more difficult to run our business.</w:t>
      </w:r>
    </w:p>
    <w:p>
      <w:pPr>
        <w:spacing w:after="0" w:line="62"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the Nasdaq Stock Market.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5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In particular, pursuant to Section 404 of the Sarbanes-Oxley Act of 2002, or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2" w:name="page93"/>
    <w:bookmarkEnd w:id="92"/>
    <w:p>
      <w:pPr>
        <w:ind w:left="5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2020, we had U.S. federal net operating loss, or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less than $0.1 million, respectively, which may be available to reduce future tax liabilities and expire at various dates beginning in 2040 and 2035, respectively.</w:t>
      </w:r>
    </w:p>
    <w:p>
      <w:pPr>
        <w:spacing w:after="0" w:line="88"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Under the Tax Act, as modified by the Coronavirus Aid, Relief and Economic Security Act, or the CARES Act, federal NOLs incurred in taxable years beginning after December 31, 2017 and in future taxable years may carry forward indefinitely, but the deductibility of such federal NOLs incurred in taxable years beginning after December 31, 2020 are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Our initial public offering, together with private placements and other transactions that have occurred since our inception, may trigger such an ownership change pursuant to Section</w:t>
      </w:r>
    </w:p>
    <w:p>
      <w:pPr>
        <w:spacing w:after="0" w:line="3" w:lineRule="exact"/>
        <w:rPr>
          <w:sz w:val="20"/>
          <w:szCs w:val="20"/>
          <w:color w:val="auto"/>
        </w:rPr>
      </w:pPr>
    </w:p>
    <w:p>
      <w:pPr>
        <w:jc w:val="both"/>
        <w:ind w:firstLine="8"/>
        <w:spacing w:after="0" w:line="329" w:lineRule="auto"/>
        <w:tabs>
          <w:tab w:leader="none" w:pos="372"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not conducted a study to assess whether any such ownership changes have occurred. We may experience ownership changes as a result of subsequent shifts in our stock ownership, some of which may be outside of our control. If an ownership change occurs and our ability to use our NOL carryforwards is materially limited, it would harm our financial condition and results of operations by effectively increasing our future tax obligations.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Our business activities will be subject to the Foreign Corrupt Practices Act, or FCPA, and similar anti-bribery and anti-corruption laws.</w:t>
      </w:r>
    </w:p>
    <w:p>
      <w:pPr>
        <w:spacing w:after="0" w:line="154"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6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3" w:name="page94"/>
    <w:bookmarkEnd w:id="93"/>
    <w:p>
      <w:pPr>
        <w:jc w:val="both"/>
        <w:ind w:firstLine="509"/>
        <w:spacing w:after="0" w:line="271"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83"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Issued Upon Conversion of Preferred Stock</w:t>
      </w:r>
    </w:p>
    <w:p>
      <w:pPr>
        <w:spacing w:after="0" w:line="131" w:lineRule="exact"/>
        <w:rPr>
          <w:sz w:val="20"/>
          <w:szCs w:val="20"/>
          <w:color w:val="auto"/>
        </w:rPr>
      </w:pPr>
    </w:p>
    <w:p>
      <w:pPr>
        <w:ind w:right="360" w:firstLine="509"/>
        <w:spacing w:after="0" w:line="359" w:lineRule="auto"/>
        <w:rPr>
          <w:sz w:val="20"/>
          <w:szCs w:val="20"/>
          <w:color w:val="auto"/>
        </w:rPr>
      </w:pPr>
      <w:r>
        <w:rPr>
          <w:rFonts w:ascii="Arial" w:cs="Arial" w:eastAsia="Arial" w:hAnsi="Arial"/>
          <w:sz w:val="16"/>
          <w:szCs w:val="16"/>
          <w:color w:val="auto"/>
        </w:rPr>
        <w:t>On August 12, 2021, upon the closing of our IPO, all shares of our then-outstanding convertible preferred stock were converted into 84,722,420 shares of common stock. The issuance of such shares of common stock was exempt from registration under Section 3(a)(9) of the Securities Act.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135" w:lineRule="exact"/>
        <w:rPr>
          <w:sz w:val="20"/>
          <w:szCs w:val="20"/>
          <w:color w:val="auto"/>
        </w:rPr>
      </w:pPr>
    </w:p>
    <w:p>
      <w:pPr>
        <w:ind w:right="160" w:firstLine="509"/>
        <w:spacing w:after="0" w:line="275" w:lineRule="auto"/>
        <w:rPr>
          <w:sz w:val="20"/>
          <w:szCs w:val="20"/>
          <w:color w:val="auto"/>
        </w:rPr>
      </w:pPr>
      <w:r>
        <w:rPr>
          <w:rFonts w:ascii="Arial" w:cs="Arial" w:eastAsia="Arial" w:hAnsi="Arial"/>
          <w:sz w:val="18"/>
          <w:szCs w:val="18"/>
          <w:color w:val="auto"/>
        </w:rPr>
        <w:t>On August 5, 2021, our Registration Statement on Form S-1, as amended (File No. 333-257975), was declared effective in connection with our initial public offering, pursuant to which we sold an aggregate of 20,930,000 shares of our common stock, including the full exercise of the underwriters’ option to purchase additional shares, at a price to the public of $17.00 per share. Morgan Stanley &amp; Co. LLC, Jefferies LLC, Stifel, Nicolaus &amp; Company, Incorporated and Guggenheim Securities, LLC acted as joint book-running managers</w:t>
      </w:r>
      <w:r>
        <w:rPr>
          <w:rFonts w:ascii="Arial" w:cs="Arial" w:eastAsia="Arial" w:hAnsi="Arial"/>
          <w:sz w:val="18"/>
          <w:szCs w:val="18"/>
          <w:b w:val="1"/>
          <w:bCs w:val="1"/>
          <w:color w:val="auto"/>
        </w:rPr>
        <w: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initial public offering closed on August 10, 2021. The aggregate net proceeds received by the Company from the IPO were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$330.9 million, after deducting underwriting discounts and commissions of $24.9 million, but before deducting offering expenses payable by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are estimated to be $3.8 million. In connection with our initial public offering, no payments were made by us to directors, officers or persons owning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ten percent or more of our common stock or to their associates or to our affiliates. There has been no material change in the planned use of proceeds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initial public offering as described in our prospectus filed pursuant to Rule 424(b)(4) under the Securities Act with the SEC on August 6, 2021.</w:t>
      </w:r>
    </w:p>
    <w:p>
      <w:pPr>
        <w:spacing w:after="0" w:line="141" w:lineRule="exact"/>
        <w:rPr>
          <w:sz w:val="20"/>
          <w:szCs w:val="20"/>
          <w:color w:val="auto"/>
        </w:rPr>
      </w:pPr>
    </w:p>
    <w:p>
      <w:pPr>
        <w:ind w:right="40" w:firstLine="554"/>
        <w:spacing w:after="0" w:line="293" w:lineRule="auto"/>
        <w:rPr>
          <w:sz w:val="20"/>
          <w:szCs w:val="20"/>
          <w:color w:val="auto"/>
        </w:rPr>
      </w:pPr>
      <w:r>
        <w:rPr>
          <w:rFonts w:ascii="Arial" w:cs="Arial" w:eastAsia="Arial" w:hAnsi="Arial"/>
          <w:sz w:val="18"/>
          <w:szCs w:val="18"/>
          <w:color w:val="auto"/>
        </w:rPr>
        <w:t>Upon the closing of the IPO, all shares of the Company’s convertible preferred stock then outstanding converted into 84,722,420 shares of common stock (see Note 15).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4" w:name="page95"/>
    <w:bookmarkEnd w:id="94"/>
    <w:p>
      <w:pPr>
        <w:jc w:val="center"/>
        <w:ind w:right="7059"/>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58" w:lineRule="exact"/>
        <w:rPr>
          <w:sz w:val="20"/>
          <w:szCs w:val="20"/>
          <w:color w:val="auto"/>
        </w:rPr>
      </w:pPr>
    </w:p>
    <w:p>
      <w:pPr>
        <w:jc w:val="center"/>
        <w:ind w:right="8019"/>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jc w:val="center"/>
        <w:ind w:right="7659"/>
        <w:spacing w:after="0"/>
        <w:rPr>
          <w:sz w:val="20"/>
          <w:szCs w:val="20"/>
          <w:color w:val="auto"/>
        </w:rPr>
      </w:pPr>
      <w:r>
        <w:rPr>
          <w:rFonts w:ascii="Arial" w:cs="Arial" w:eastAsia="Arial" w:hAnsi="Arial"/>
          <w:sz w:val="16"/>
          <w:szCs w:val="16"/>
          <w:b w:val="1"/>
          <w:bCs w:val="1"/>
          <w:color w:val="auto"/>
        </w:rPr>
        <w:t>Item 4. Mine Safety Disclosures.</w:t>
      </w:r>
    </w:p>
    <w:p>
      <w:pPr>
        <w:spacing w:after="0" w:line="158" w:lineRule="exact"/>
        <w:rPr>
          <w:sz w:val="20"/>
          <w:szCs w:val="20"/>
          <w:color w:val="auto"/>
        </w:rPr>
      </w:pPr>
    </w:p>
    <w:p>
      <w:pPr>
        <w:jc w:val="center"/>
        <w:ind w:right="7999"/>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jc w:val="center"/>
        <w:ind w:right="8059"/>
        <w:spacing w:after="0"/>
        <w:rPr>
          <w:sz w:val="20"/>
          <w:szCs w:val="20"/>
          <w:color w:val="auto"/>
        </w:rPr>
      </w:pPr>
      <w:r>
        <w:rPr>
          <w:rFonts w:ascii="Arial" w:cs="Arial" w:eastAsia="Arial" w:hAnsi="Arial"/>
          <w:sz w:val="17"/>
          <w:szCs w:val="17"/>
          <w:b w:val="1"/>
          <w:bCs w:val="1"/>
          <w:color w:val="auto"/>
        </w:rPr>
        <w:t>Item 5. Other Information.</w:t>
      </w:r>
    </w:p>
    <w:p>
      <w:pPr>
        <w:spacing w:after="0" w:line="146" w:lineRule="exact"/>
        <w:rPr>
          <w:sz w:val="20"/>
          <w:szCs w:val="20"/>
          <w:color w:val="auto"/>
        </w:rPr>
      </w:pPr>
    </w:p>
    <w:p>
      <w:pPr>
        <w:jc w:val="center"/>
        <w:ind w:right="8019"/>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160" w:type="dxa"/>
            <w:vAlign w:val="bottom"/>
            <w:tcBorders>
              <w:bottom w:val="single" w:sz="8" w:color="auto"/>
            </w:tcBorders>
            <w:gridSpan w:val="25"/>
          </w:tcPr>
          <w:p>
            <w:pPr>
              <w:ind w:left="376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102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5"/>
                <w:szCs w:val="15"/>
                <w:color w:val="auto"/>
              </w:rPr>
            </w:pPr>
          </w:p>
        </w:tc>
        <w:tc>
          <w:tcPr>
            <w:tcW w:w="9980" w:type="dxa"/>
            <w:vAlign w:val="bottom"/>
            <w:tcBorders>
              <w:bottom w:val="single" w:sz="8" w:color="0000FF"/>
            </w:tcBorders>
            <w:gridSpan w:val="23"/>
          </w:tcPr>
          <w:p>
            <w:pPr>
              <w:spacing w:after="0" w:line="182" w:lineRule="exact"/>
              <w:rPr>
                <w:rFonts w:ascii="Arial" w:cs="Arial" w:eastAsia="Arial" w:hAnsi="Arial"/>
                <w:sz w:val="18"/>
                <w:szCs w:val="18"/>
                <w:color w:val="0000FF"/>
                <w:w w:val="91"/>
              </w:rPr>
            </w:pPr>
            <w:hyperlink r:id="rId269">
              <w:r>
                <w:rPr>
                  <w:rFonts w:ascii="Arial" w:cs="Arial" w:eastAsia="Arial" w:hAnsi="Arial"/>
                  <w:sz w:val="18"/>
                  <w:szCs w:val="18"/>
                  <w:color w:val="0000FF"/>
                  <w:w w:val="91"/>
                </w:rPr>
                <w:t>Amended and Restated Certificate of Incorporation (incorporated by reference to Exhibit 3.1 of the Company’s Current Report on Form 8-</w:t>
              </w:r>
            </w:hyperlink>
          </w:p>
        </w:tc>
        <w:tc>
          <w:tcPr>
            <w:tcW w:w="100" w:type="dxa"/>
            <w:vAlign w:val="bottom"/>
            <w:gridSpan w:val="5"/>
          </w:tcPr>
          <w:p>
            <w:pPr>
              <w:spacing w:after="0"/>
              <w:rPr>
                <w:sz w:val="15"/>
                <w:szCs w:val="15"/>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00" w:type="dxa"/>
            <w:vAlign w:val="bottom"/>
            <w:tcBorders>
              <w:bottom w:val="single" w:sz="8" w:color="0000FF"/>
            </w:tcBorders>
            <w:gridSpan w:val="11"/>
          </w:tcPr>
          <w:p>
            <w:pPr>
              <w:spacing w:after="0"/>
              <w:rPr>
                <w:rFonts w:ascii="Arial" w:cs="Arial" w:eastAsia="Arial" w:hAnsi="Arial"/>
                <w:sz w:val="18"/>
                <w:szCs w:val="18"/>
                <w:color w:val="0000FF"/>
                <w:w w:val="91"/>
              </w:rPr>
            </w:pPr>
            <w:hyperlink r:id="rId269">
              <w:r>
                <w:rPr>
                  <w:rFonts w:ascii="Arial" w:cs="Arial" w:eastAsia="Arial" w:hAnsi="Arial"/>
                  <w:sz w:val="18"/>
                  <w:szCs w:val="18"/>
                  <w:color w:val="0000FF"/>
                  <w:w w:val="91"/>
                </w:rPr>
                <w:t>K (File No. 001-40703), filed with the Securities and Exchange Commission on August 10, 2021).</w:t>
              </w:r>
            </w:hyperlink>
          </w:p>
        </w:tc>
        <w:tc>
          <w:tcPr>
            <w:tcW w:w="20" w:type="dxa"/>
            <w:vAlign w:val="bottom"/>
            <w:tcBorders>
              <w:bottom w:val="single" w:sz="8" w:color="0000EE"/>
            </w:tcBorders>
          </w:tcPr>
          <w:p>
            <w:pPr>
              <w:spacing w:after="0"/>
              <w:rPr>
                <w:sz w:val="18"/>
                <w:szCs w:val="18"/>
                <w:color w:val="auto"/>
              </w:rPr>
            </w:pPr>
          </w:p>
        </w:tc>
        <w:tc>
          <w:tcPr>
            <w:tcW w:w="2960" w:type="dxa"/>
            <w:vAlign w:val="bottom"/>
            <w:gridSpan w:val="16"/>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9740" w:type="dxa"/>
            <w:vAlign w:val="bottom"/>
            <w:tcBorders>
              <w:bottom w:val="single" w:sz="8" w:color="0000FF"/>
            </w:tcBorders>
            <w:gridSpan w:val="21"/>
          </w:tcPr>
          <w:p>
            <w:pPr>
              <w:spacing w:after="0"/>
              <w:rPr>
                <w:rFonts w:ascii="Arial" w:cs="Arial" w:eastAsia="Arial" w:hAnsi="Arial"/>
                <w:sz w:val="18"/>
                <w:szCs w:val="18"/>
                <w:color w:val="0000FF"/>
                <w:w w:val="91"/>
              </w:rPr>
            </w:pPr>
            <w:hyperlink r:id="rId270">
              <w:r>
                <w:rPr>
                  <w:rFonts w:ascii="Arial" w:cs="Arial" w:eastAsia="Arial" w:hAnsi="Arial"/>
                  <w:sz w:val="18"/>
                  <w:szCs w:val="18"/>
                  <w:color w:val="0000FF"/>
                  <w:w w:val="91"/>
                </w:rPr>
                <w:t>Amended and Restated Bylaws (incorporated by reference to Exhibit 3.2 of the Company’s Current Report on Form 8-K (File No. 001-</w:t>
              </w:r>
            </w:hyperlink>
          </w:p>
        </w:tc>
        <w:tc>
          <w:tcPr>
            <w:tcW w:w="340" w:type="dxa"/>
            <w:vAlign w:val="bottom"/>
            <w:gridSpan w:val="7"/>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00" w:type="dxa"/>
            <w:vAlign w:val="bottom"/>
            <w:tcBorders>
              <w:bottom w:val="single" w:sz="8" w:color="0000FF"/>
            </w:tcBorders>
            <w:gridSpan w:val="5"/>
          </w:tcPr>
          <w:p>
            <w:pPr>
              <w:spacing w:after="0"/>
              <w:rPr>
                <w:rFonts w:ascii="Arial" w:cs="Arial" w:eastAsia="Arial" w:hAnsi="Arial"/>
                <w:sz w:val="18"/>
                <w:szCs w:val="18"/>
                <w:color w:val="0000FF"/>
                <w:w w:val="90"/>
              </w:rPr>
            </w:pPr>
            <w:hyperlink r:id="rId270">
              <w:r>
                <w:rPr>
                  <w:rFonts w:ascii="Arial" w:cs="Arial" w:eastAsia="Arial" w:hAnsi="Arial"/>
                  <w:sz w:val="18"/>
                  <w:szCs w:val="18"/>
                  <w:color w:val="0000FF"/>
                  <w:w w:val="90"/>
                </w:rPr>
                <w:t>40703)</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 xml:space="preserve"> filed with the Securities and Exchange Commission on August 10, 2021).</w:t>
              </w:r>
            </w:hyperlink>
          </w:p>
        </w:tc>
        <w:tc>
          <w:tcPr>
            <w:tcW w:w="20" w:type="dxa"/>
            <w:vAlign w:val="bottom"/>
            <w:tcBorders>
              <w:bottom w:val="single" w:sz="8" w:color="0000EE"/>
            </w:tcBorders>
          </w:tcPr>
          <w:p>
            <w:pPr>
              <w:spacing w:after="0"/>
              <w:rPr>
                <w:sz w:val="18"/>
                <w:szCs w:val="18"/>
                <w:color w:val="auto"/>
              </w:rPr>
            </w:pPr>
          </w:p>
        </w:tc>
        <w:tc>
          <w:tcPr>
            <w:tcW w:w="4160" w:type="dxa"/>
            <w:vAlign w:val="bottom"/>
            <w:gridSpan w:val="22"/>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9720" w:type="dxa"/>
            <w:vAlign w:val="bottom"/>
            <w:tcBorders>
              <w:bottom w:val="single" w:sz="8" w:color="0000FF"/>
            </w:tcBorders>
            <w:gridSpan w:val="20"/>
          </w:tcPr>
          <w:p>
            <w:pPr>
              <w:spacing w:after="0"/>
              <w:rPr>
                <w:rFonts w:ascii="Arial" w:cs="Arial" w:eastAsia="Arial" w:hAnsi="Arial"/>
                <w:sz w:val="18"/>
                <w:szCs w:val="18"/>
                <w:color w:val="0000FF"/>
                <w:w w:val="92"/>
              </w:rPr>
            </w:pPr>
            <w:hyperlink r:id="rId271">
              <w:r>
                <w:rPr>
                  <w:rFonts w:ascii="Arial" w:cs="Arial" w:eastAsia="Arial" w:hAnsi="Arial"/>
                  <w:sz w:val="18"/>
                  <w:szCs w:val="18"/>
                  <w:color w:val="0000FF"/>
                  <w:w w:val="92"/>
                </w:rPr>
                <w:t>2021 Equity Incentive Plan and Forms of Stock Option Grant Notice, Stock Option Agreement, Notice of Exercise, RSU Award Grant</w:t>
              </w:r>
            </w:hyperlink>
          </w:p>
        </w:tc>
        <w:tc>
          <w:tcPr>
            <w:tcW w:w="360" w:type="dxa"/>
            <w:vAlign w:val="bottom"/>
            <w:gridSpan w:val="8"/>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0" w:type="dxa"/>
            <w:vAlign w:val="bottom"/>
            <w:tcBorders>
              <w:bottom w:val="single" w:sz="8" w:color="0000FF"/>
            </w:tcBorders>
            <w:gridSpan w:val="24"/>
          </w:tcPr>
          <w:p>
            <w:pPr>
              <w:spacing w:after="0"/>
              <w:rPr>
                <w:rFonts w:ascii="Arial" w:cs="Arial" w:eastAsia="Arial" w:hAnsi="Arial"/>
                <w:sz w:val="18"/>
                <w:szCs w:val="18"/>
                <w:color w:val="0000FF"/>
                <w:w w:val="91"/>
              </w:rPr>
            </w:pPr>
            <w:hyperlink r:id="rId271">
              <w:r>
                <w:rPr>
                  <w:rFonts w:ascii="Arial" w:cs="Arial" w:eastAsia="Arial" w:hAnsi="Arial"/>
                  <w:sz w:val="18"/>
                  <w:szCs w:val="18"/>
                  <w:color w:val="0000FF"/>
                  <w:w w:val="91"/>
                </w:rPr>
                <w:t>Notice and RSU Award Agreement (incorporated by reference to Exhibit 10.2 of the Company’s Registration Statement on Form S-1 (File</w:t>
              </w:r>
            </w:hyperlink>
          </w:p>
        </w:tc>
        <w:tc>
          <w:tcPr>
            <w:tcW w:w="80" w:type="dxa"/>
            <w:vAlign w:val="bottom"/>
            <w:gridSpan w:val="4"/>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40" w:type="dxa"/>
            <w:vAlign w:val="bottom"/>
            <w:tcBorders>
              <w:bottom w:val="single" w:sz="8" w:color="0000FF"/>
            </w:tcBorders>
            <w:gridSpan w:val="7"/>
          </w:tcPr>
          <w:p>
            <w:pPr>
              <w:spacing w:after="0"/>
              <w:rPr>
                <w:rFonts w:ascii="Arial" w:cs="Arial" w:eastAsia="Arial" w:hAnsi="Arial"/>
                <w:sz w:val="18"/>
                <w:szCs w:val="18"/>
                <w:color w:val="0000FF"/>
                <w:w w:val="91"/>
              </w:rPr>
            </w:pPr>
            <w:hyperlink r:id="rId271">
              <w:r>
                <w:rPr>
                  <w:rFonts w:ascii="Arial" w:cs="Arial" w:eastAsia="Arial" w:hAnsi="Arial"/>
                  <w:sz w:val="18"/>
                  <w:szCs w:val="18"/>
                  <w:color w:val="0000FF"/>
                  <w:w w:val="91"/>
                </w:rPr>
                <w:t>No. 333-257975), filed with the Securities and Exchange Commission on August 2, 2021).</w:t>
              </w:r>
            </w:hyperlink>
          </w:p>
        </w:tc>
        <w:tc>
          <w:tcPr>
            <w:tcW w:w="20" w:type="dxa"/>
            <w:vAlign w:val="bottom"/>
            <w:tcBorders>
              <w:bottom w:val="single" w:sz="8" w:color="0000EE"/>
            </w:tcBorders>
          </w:tcPr>
          <w:p>
            <w:pPr>
              <w:spacing w:after="0"/>
              <w:rPr>
                <w:sz w:val="18"/>
                <w:szCs w:val="18"/>
                <w:color w:val="auto"/>
              </w:rPr>
            </w:pPr>
          </w:p>
        </w:tc>
        <w:tc>
          <w:tcPr>
            <w:tcW w:w="3520" w:type="dxa"/>
            <w:vAlign w:val="bottom"/>
            <w:gridSpan w:val="20"/>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9720" w:type="dxa"/>
            <w:vAlign w:val="bottom"/>
            <w:tcBorders>
              <w:bottom w:val="single" w:sz="8" w:color="0000FF"/>
            </w:tcBorders>
            <w:gridSpan w:val="20"/>
          </w:tcPr>
          <w:p>
            <w:pPr>
              <w:spacing w:after="0"/>
              <w:rPr>
                <w:rFonts w:ascii="Arial" w:cs="Arial" w:eastAsia="Arial" w:hAnsi="Arial"/>
                <w:sz w:val="18"/>
                <w:szCs w:val="18"/>
                <w:color w:val="0000FF"/>
                <w:w w:val="90"/>
              </w:rPr>
            </w:pPr>
            <w:hyperlink r:id="rId272">
              <w:r>
                <w:rPr>
                  <w:rFonts w:ascii="Arial" w:cs="Arial" w:eastAsia="Arial" w:hAnsi="Arial"/>
                  <w:sz w:val="18"/>
                  <w:szCs w:val="18"/>
                  <w:color w:val="0000FF"/>
                  <w:w w:val="90"/>
                </w:rPr>
                <w:t>2021 Employee Stock Purchase Plan (incorporated by reference to Exhibit 10.3 of the Company’s Registration Statement on Form S-1</w:t>
              </w:r>
            </w:hyperlink>
          </w:p>
        </w:tc>
        <w:tc>
          <w:tcPr>
            <w:tcW w:w="360" w:type="dxa"/>
            <w:vAlign w:val="bottom"/>
            <w:gridSpan w:val="8"/>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20" w:type="dxa"/>
            <w:vAlign w:val="bottom"/>
            <w:tcBorders>
              <w:bottom w:val="single" w:sz="8" w:color="0000FF"/>
            </w:tcBorders>
            <w:gridSpan w:val="9"/>
          </w:tcPr>
          <w:p>
            <w:pPr>
              <w:spacing w:after="0"/>
              <w:rPr>
                <w:rFonts w:ascii="Arial" w:cs="Arial" w:eastAsia="Arial" w:hAnsi="Arial"/>
                <w:sz w:val="18"/>
                <w:szCs w:val="18"/>
                <w:color w:val="0000FF"/>
                <w:w w:val="91"/>
              </w:rPr>
            </w:pPr>
            <w:hyperlink r:id="rId272">
              <w:r>
                <w:rPr>
                  <w:rFonts w:ascii="Arial" w:cs="Arial" w:eastAsia="Arial" w:hAnsi="Arial"/>
                  <w:sz w:val="18"/>
                  <w:szCs w:val="18"/>
                  <w:color w:val="0000FF"/>
                  <w:w w:val="91"/>
                </w:rPr>
                <w:t>(File No. 333-257975), filed with the Securities and Exchange Commission on August 2, 2021).</w:t>
              </w:r>
            </w:hyperlink>
          </w:p>
        </w:tc>
        <w:tc>
          <w:tcPr>
            <w:tcW w:w="20" w:type="dxa"/>
            <w:vAlign w:val="bottom"/>
            <w:tcBorders>
              <w:bottom w:val="single" w:sz="8" w:color="0000EE"/>
            </w:tcBorders>
          </w:tcPr>
          <w:p>
            <w:pPr>
              <w:spacing w:after="0"/>
              <w:rPr>
                <w:sz w:val="18"/>
                <w:szCs w:val="18"/>
                <w:color w:val="auto"/>
              </w:rPr>
            </w:pPr>
          </w:p>
        </w:tc>
        <w:tc>
          <w:tcPr>
            <w:tcW w:w="3140" w:type="dxa"/>
            <w:vAlign w:val="bottom"/>
            <w:gridSpan w:val="18"/>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9840" w:type="dxa"/>
            <w:vAlign w:val="bottom"/>
            <w:tcBorders>
              <w:bottom w:val="single" w:sz="8" w:color="0000FF"/>
            </w:tcBorders>
            <w:gridSpan w:val="22"/>
          </w:tcPr>
          <w:p>
            <w:pPr>
              <w:spacing w:after="0"/>
              <w:rPr>
                <w:rFonts w:ascii="Arial" w:cs="Arial" w:eastAsia="Arial" w:hAnsi="Arial"/>
                <w:sz w:val="18"/>
                <w:szCs w:val="18"/>
                <w:color w:val="0000FF"/>
                <w:w w:val="92"/>
              </w:rPr>
            </w:pPr>
            <w:hyperlink r:id="rId273">
              <w:r>
                <w:rPr>
                  <w:rFonts w:ascii="Arial" w:cs="Arial" w:eastAsia="Arial" w:hAnsi="Arial"/>
                  <w:sz w:val="18"/>
                  <w:szCs w:val="18"/>
                  <w:color w:val="0000FF"/>
                  <w:w w:val="92"/>
                </w:rPr>
                <w:t>Form of Indemnification Agreement with Executive Officers and Directors (incorporated by reference to Exhibit 10.4 of the Company’s</w:t>
              </w:r>
            </w:hyperlink>
          </w:p>
        </w:tc>
        <w:tc>
          <w:tcPr>
            <w:tcW w:w="240" w:type="dxa"/>
            <w:vAlign w:val="bottom"/>
            <w:gridSpan w:val="6"/>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80" w:type="dxa"/>
            <w:vAlign w:val="bottom"/>
            <w:gridSpan w:val="28"/>
          </w:tcPr>
          <w:p>
            <w:pPr>
              <w:spacing w:after="0"/>
              <w:rPr>
                <w:rFonts w:ascii="Arial" w:cs="Arial" w:eastAsia="Arial" w:hAnsi="Arial"/>
                <w:sz w:val="18"/>
                <w:szCs w:val="18"/>
                <w:color w:val="0000FF"/>
                <w:w w:val="95"/>
              </w:rPr>
            </w:pPr>
            <w:hyperlink r:id="rId273">
              <w:r>
                <w:rPr>
                  <w:rFonts w:ascii="Arial" w:cs="Arial" w:eastAsia="Arial" w:hAnsi="Arial"/>
                  <w:sz w:val="18"/>
                  <w:szCs w:val="18"/>
                  <w:color w:val="0000FF"/>
                  <w:w w:val="95"/>
                </w:rPr>
                <w:t>Registration Statement on Form S-1 (File No. 333-257975), filed with the Securities and Exchange Commission on August 2, 2021).</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gridSpan w:val="9"/>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10020" w:type="dxa"/>
            <w:vAlign w:val="bottom"/>
            <w:tcBorders>
              <w:bottom w:val="single" w:sz="8" w:color="0000FF"/>
            </w:tcBorders>
            <w:gridSpan w:val="25"/>
          </w:tcPr>
          <w:p>
            <w:pPr>
              <w:spacing w:after="0"/>
              <w:rPr>
                <w:rFonts w:ascii="Arial" w:cs="Arial" w:eastAsia="Arial" w:hAnsi="Arial"/>
                <w:sz w:val="18"/>
                <w:szCs w:val="18"/>
                <w:color w:val="0000FF"/>
                <w:w w:val="91"/>
              </w:rPr>
            </w:pPr>
            <w:hyperlink r:id="rId274">
              <w:r>
                <w:rPr>
                  <w:rFonts w:ascii="Arial" w:cs="Arial" w:eastAsia="Arial" w:hAnsi="Arial"/>
                  <w:sz w:val="18"/>
                  <w:szCs w:val="18"/>
                  <w:color w:val="0000FF"/>
                  <w:w w:val="91"/>
                </w:rPr>
                <w:t>Collaboration Agreement by and between the Company and Adimab, LLC, dated May 21, 2021 (incorporated by reference to Exhibit 10.6</w:t>
              </w:r>
            </w:hyperlink>
          </w:p>
        </w:tc>
        <w:tc>
          <w:tcPr>
            <w:tcW w:w="60" w:type="dxa"/>
            <w:vAlign w:val="bottom"/>
            <w:gridSpan w:val="3"/>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20" w:type="dxa"/>
            <w:vAlign w:val="bottom"/>
            <w:tcBorders>
              <w:bottom w:val="single" w:sz="8" w:color="0000FF"/>
            </w:tcBorders>
            <w:gridSpan w:val="25"/>
          </w:tcPr>
          <w:p>
            <w:pPr>
              <w:spacing w:after="0"/>
              <w:rPr>
                <w:rFonts w:ascii="Arial" w:cs="Arial" w:eastAsia="Arial" w:hAnsi="Arial"/>
                <w:sz w:val="18"/>
                <w:szCs w:val="18"/>
                <w:color w:val="0000FF"/>
                <w:w w:val="91"/>
              </w:rPr>
            </w:pPr>
            <w:hyperlink r:id="rId274">
              <w:r>
                <w:rPr>
                  <w:rFonts w:ascii="Arial" w:cs="Arial" w:eastAsia="Arial" w:hAnsi="Arial"/>
                  <w:sz w:val="18"/>
                  <w:szCs w:val="18"/>
                  <w:color w:val="0000FF"/>
                  <w:w w:val="91"/>
                </w:rPr>
                <w:t>of the Company’s Registration Statement on Form S-1 (File No. 333-257975), filed with the Securities and Exchange Commission on July</w:t>
              </w:r>
            </w:hyperlink>
          </w:p>
        </w:tc>
        <w:tc>
          <w:tcPr>
            <w:tcW w:w="60" w:type="dxa"/>
            <w:vAlign w:val="bottom"/>
            <w:gridSpan w:val="3"/>
          </w:tcPr>
          <w:p>
            <w:pPr>
              <w:spacing w:after="0"/>
              <w:rPr>
                <w:sz w:val="18"/>
                <w:szCs w:val="18"/>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rFonts w:ascii="Arial" w:cs="Arial" w:eastAsia="Arial" w:hAnsi="Arial"/>
                <w:sz w:val="18"/>
                <w:szCs w:val="18"/>
                <w:color w:val="0000FF"/>
                <w:w w:val="86"/>
              </w:rPr>
            </w:pPr>
            <w:hyperlink r:id="rId274">
              <w:r>
                <w:rPr>
                  <w:rFonts w:ascii="Arial" w:cs="Arial" w:eastAsia="Arial" w:hAnsi="Arial"/>
                  <w:sz w:val="18"/>
                  <w:szCs w:val="18"/>
                  <w:color w:val="0000FF"/>
                  <w:w w:val="86"/>
                </w:rPr>
                <w:t>16, 2021).</w:t>
              </w:r>
            </w:hyperlink>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754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Employment Agreement by and between the Registrant and Tillman U. Gerngross, dated August 5, 2021</w:t>
              </w:r>
            </w:hyperlink>
          </w:p>
        </w:tc>
        <w:tc>
          <w:tcPr>
            <w:tcW w:w="20" w:type="dxa"/>
            <w:vAlign w:val="bottom"/>
            <w:tcBorders>
              <w:bottom w:val="single" w:sz="8" w:color="0000EE"/>
            </w:tcBorders>
          </w:tcPr>
          <w:p>
            <w:pPr>
              <w:spacing w:after="0"/>
              <w:rPr>
                <w:sz w:val="19"/>
                <w:szCs w:val="19"/>
                <w:color w:val="auto"/>
              </w:rPr>
            </w:pPr>
          </w:p>
        </w:tc>
        <w:tc>
          <w:tcPr>
            <w:tcW w:w="2520" w:type="dxa"/>
            <w:vAlign w:val="bottom"/>
            <w:gridSpan w:val="13"/>
          </w:tcPr>
          <w:p>
            <w:pPr>
              <w:spacing w:after="0"/>
              <w:rPr>
                <w:sz w:val="19"/>
                <w:szCs w:val="19"/>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10080" w:type="dxa"/>
            <w:vAlign w:val="bottom"/>
            <w:gridSpan w:val="28"/>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Amended and Restated Employment Agreement by and between the Registrant and Lynn Connolly, dated August 5, 2021.</w:t>
              </w:r>
            </w:hyperlink>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8800" w:type="dxa"/>
            <w:vAlign w:val="bottom"/>
            <w:tcBorders>
              <w:top w:val="single" w:sz="8" w:color="0000FF"/>
            </w:tcBorders>
            <w:gridSpan w:val="16"/>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Employment Agreement by and between the Registrant and Rebecca Dabora, dated August 5, 2021.</w:t>
              </w:r>
            </w:hyperlink>
          </w:p>
        </w:tc>
        <w:tc>
          <w:tcPr>
            <w:tcW w:w="1280" w:type="dxa"/>
            <w:vAlign w:val="bottom"/>
            <w:gridSpan w:val="12"/>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gridSpan w:val="9"/>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9660" w:type="dxa"/>
            <w:vAlign w:val="bottom"/>
            <w:tcBorders>
              <w:bottom w:val="single" w:sz="8" w:color="0000FF"/>
            </w:tcBorders>
            <w:gridSpan w:val="19"/>
          </w:tcPr>
          <w:p>
            <w:pPr>
              <w:spacing w:after="0"/>
              <w:rPr>
                <w:rFonts w:ascii="Arial" w:cs="Arial" w:eastAsia="Arial" w:hAnsi="Arial"/>
                <w:sz w:val="18"/>
                <w:szCs w:val="18"/>
                <w:color w:val="0000FF"/>
                <w:w w:val="91"/>
              </w:rPr>
            </w:pPr>
            <w:hyperlink w:anchor="page172">
              <w:r>
                <w:rPr>
                  <w:rFonts w:ascii="Arial" w:cs="Arial" w:eastAsia="Arial" w:hAnsi="Arial"/>
                  <w:sz w:val="18"/>
                  <w:szCs w:val="18"/>
                  <w:color w:val="0000FF"/>
                  <w:w w:val="91"/>
                </w:rPr>
                <w:t>Certification of Principal Executive Officer Pursuant to Rules 13a-14(a) and 15d-14(a) under the Securities Exchange Act of 1934, as</w:t>
              </w:r>
            </w:hyperlink>
          </w:p>
        </w:tc>
        <w:tc>
          <w:tcPr>
            <w:tcW w:w="420" w:type="dxa"/>
            <w:vAlign w:val="bottom"/>
            <w:gridSpan w:val="9"/>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72">
              <w:r>
                <w:rPr>
                  <w:rFonts w:ascii="Arial" w:cs="Arial" w:eastAsia="Arial" w:hAnsi="Arial"/>
                  <w:sz w:val="18"/>
                  <w:szCs w:val="18"/>
                  <w:color w:val="0000FF"/>
                  <w:w w:val="90"/>
                </w:rPr>
                <w:t>Adopted Pursuant to Section 302 of the Sarbanes-Oxley Act of 2002.</w:t>
              </w:r>
            </w:hyperlink>
          </w:p>
        </w:tc>
        <w:tc>
          <w:tcPr>
            <w:tcW w:w="5100" w:type="dxa"/>
            <w:vAlign w:val="bottom"/>
            <w:gridSpan w:val="24"/>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960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173">
              <w:r>
                <w:rPr>
                  <w:rFonts w:ascii="Arial" w:cs="Arial" w:eastAsia="Arial" w:hAnsi="Arial"/>
                  <w:sz w:val="18"/>
                  <w:szCs w:val="18"/>
                  <w:color w:val="0000FF"/>
                  <w:w w:val="91"/>
                </w:rPr>
                <w:t>Certification of Principal Financial Officer Pursuant to Rules 13a-14(a) and 15d-14(a) under the Securities Exchange Act of 1934, as</w:t>
              </w:r>
            </w:hyperlink>
          </w:p>
        </w:tc>
        <w:tc>
          <w:tcPr>
            <w:tcW w:w="480" w:type="dxa"/>
            <w:vAlign w:val="bottom"/>
            <w:gridSpan w:val="10"/>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73">
              <w:r>
                <w:rPr>
                  <w:rFonts w:ascii="Arial" w:cs="Arial" w:eastAsia="Arial" w:hAnsi="Arial"/>
                  <w:sz w:val="18"/>
                  <w:szCs w:val="18"/>
                  <w:color w:val="0000FF"/>
                  <w:w w:val="90"/>
                </w:rPr>
                <w:t>Adopted Pursuant to Section 302 of the Sarbanes-Oxley Act of 2002.</w:t>
              </w:r>
            </w:hyperlink>
          </w:p>
        </w:tc>
        <w:tc>
          <w:tcPr>
            <w:tcW w:w="5100" w:type="dxa"/>
            <w:vAlign w:val="bottom"/>
            <w:gridSpan w:val="24"/>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10060" w:type="dxa"/>
            <w:vAlign w:val="bottom"/>
            <w:tcBorders>
              <w:bottom w:val="single" w:sz="8" w:color="0000FF"/>
            </w:tcBorders>
            <w:gridSpan w:val="27"/>
          </w:tcPr>
          <w:p>
            <w:pPr>
              <w:spacing w:after="0"/>
              <w:rPr>
                <w:rFonts w:ascii="Arial" w:cs="Arial" w:eastAsia="Arial" w:hAnsi="Arial"/>
                <w:sz w:val="18"/>
                <w:szCs w:val="18"/>
                <w:color w:val="0000FF"/>
                <w:w w:val="91"/>
              </w:rPr>
            </w:pPr>
            <w:hyperlink w:anchor="page174">
              <w:r>
                <w:rPr>
                  <w:rFonts w:ascii="Arial" w:cs="Arial" w:eastAsia="Arial" w:hAnsi="Arial"/>
                  <w:sz w:val="18"/>
                  <w:szCs w:val="18"/>
                  <w:color w:val="0000FF"/>
                  <w:w w:val="91"/>
                </w:rPr>
                <w:t>Certification of Principal Executive Officer Pursuant to 18 U.S.C. Section 1350, as Adopted Pursuant to Section 906 of the Sarbanes-Oxley</w:t>
              </w:r>
            </w:hyperlink>
          </w:p>
        </w:tc>
        <w:tc>
          <w:tcPr>
            <w:tcW w:w="20" w:type="dxa"/>
            <w:vAlign w:val="bottom"/>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74">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160" w:type="dxa"/>
            <w:vAlign w:val="bottom"/>
            <w:gridSpan w:val="25"/>
          </w:tcPr>
          <w:p>
            <w:pPr>
              <w:spacing w:after="0"/>
              <w:rPr>
                <w:sz w:val="18"/>
                <w:szCs w:val="18"/>
                <w:color w:val="auto"/>
              </w:rPr>
            </w:pPr>
          </w:p>
        </w:tc>
      </w:tr>
      <w:tr>
        <w:trPr>
          <w:trHeight w:val="223"/>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10040" w:type="dxa"/>
            <w:vAlign w:val="bottom"/>
            <w:tcBorders>
              <w:bottom w:val="single" w:sz="8" w:color="0000FF"/>
            </w:tcBorders>
            <w:gridSpan w:val="26"/>
          </w:tcPr>
          <w:p>
            <w:pPr>
              <w:spacing w:after="0"/>
              <w:rPr>
                <w:rFonts w:ascii="Arial" w:cs="Arial" w:eastAsia="Arial" w:hAnsi="Arial"/>
                <w:sz w:val="18"/>
                <w:szCs w:val="18"/>
                <w:color w:val="0000FF"/>
                <w:w w:val="91"/>
              </w:rPr>
            </w:pPr>
            <w:hyperlink w:anchor="page175">
              <w:r>
                <w:rPr>
                  <w:rFonts w:ascii="Arial" w:cs="Arial" w:eastAsia="Arial" w:hAnsi="Arial"/>
                  <w:sz w:val="18"/>
                  <w:szCs w:val="18"/>
                  <w:color w:val="0000FF"/>
                  <w:w w:val="91"/>
                </w:rPr>
                <w:t>Certification of Principal Financial Officer Pursuant to 18 U.S.C. Section 1350, as Adopted Pursuant to Section 906 of the Sarbanes-Oxley</w:t>
              </w:r>
            </w:hyperlink>
          </w:p>
        </w:tc>
        <w:tc>
          <w:tcPr>
            <w:tcW w:w="40" w:type="dxa"/>
            <w:vAlign w:val="bottom"/>
            <w:gridSpan w:val="2"/>
          </w:tcPr>
          <w:p>
            <w:pPr>
              <w:spacing w:after="0"/>
              <w:rPr>
                <w:sz w:val="19"/>
                <w:szCs w:val="19"/>
                <w:color w:val="auto"/>
              </w:rPr>
            </w:pPr>
          </w:p>
        </w:tc>
      </w:tr>
      <w:tr>
        <w:trPr>
          <w:trHeight w:val="210"/>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75">
              <w:r>
                <w:rPr>
                  <w:rFonts w:ascii="Arial" w:cs="Arial" w:eastAsia="Arial" w:hAnsi="Arial"/>
                  <w:sz w:val="18"/>
                  <w:szCs w:val="18"/>
                  <w:color w:val="0000FF"/>
                  <w:w w:val="91"/>
                </w:rPr>
                <w:t>Act of 2002.</w:t>
              </w:r>
            </w:hyperlink>
          </w:p>
        </w:tc>
        <w:tc>
          <w:tcPr>
            <w:tcW w:w="20" w:type="dxa"/>
            <w:vAlign w:val="bottom"/>
            <w:tcBorders>
              <w:bottom w:val="single" w:sz="8" w:color="0000EE"/>
            </w:tcBorders>
          </w:tcPr>
          <w:p>
            <w:pPr>
              <w:spacing w:after="0"/>
              <w:rPr>
                <w:sz w:val="18"/>
                <w:szCs w:val="18"/>
                <w:color w:val="auto"/>
              </w:rPr>
            </w:pPr>
          </w:p>
        </w:tc>
        <w:tc>
          <w:tcPr>
            <w:tcW w:w="9160" w:type="dxa"/>
            <w:vAlign w:val="bottom"/>
            <w:gridSpan w:val="25"/>
          </w:tcPr>
          <w:p>
            <w:pPr>
              <w:spacing w:after="0"/>
              <w:rPr>
                <w:sz w:val="18"/>
                <w:szCs w:val="18"/>
                <w:color w:val="auto"/>
              </w:rPr>
            </w:pPr>
          </w:p>
        </w:tc>
      </w:tr>
      <w:tr>
        <w:trPr>
          <w:trHeight w:val="263"/>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2"/>
                <w:szCs w:val="22"/>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within the Inline XBRL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43"/>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1"/>
                <w:szCs w:val="21"/>
                <w:color w:val="auto"/>
              </w:rPr>
            </w:pPr>
          </w:p>
        </w:tc>
        <w:tc>
          <w:tcPr>
            <w:tcW w:w="10080" w:type="dxa"/>
            <w:vAlign w:val="bottom"/>
            <w:gridSpan w:val="2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61" w:lineRule="exact"/>
        <w:rPr>
          <w:sz w:val="20"/>
          <w:szCs w:val="20"/>
          <w:color w:val="auto"/>
        </w:rPr>
      </w:pPr>
    </w:p>
    <w:p>
      <w:pPr>
        <w:ind w:left="480" w:hanging="459"/>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480" w:right="520" w:hanging="459"/>
        <w:spacing w:after="0" w:line="329"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Adagio Therapeutics, Inc.</w:t>
      </w:r>
    </w:p>
    <w:p>
      <w:pPr>
        <w:spacing w:after="0" w:line="279" w:lineRule="exact"/>
        <w:rPr>
          <w:sz w:val="20"/>
          <w:szCs w:val="20"/>
          <w:color w:val="auto"/>
        </w:rPr>
      </w:pPr>
    </w:p>
    <w:p>
      <w:pPr>
        <w:ind w:left="20"/>
        <w:spacing w:after="0"/>
        <w:tabs>
          <w:tab w:leader="none" w:pos="5680" w:val="left"/>
          <w:tab w:leader="none" w:pos="7500" w:val="left"/>
        </w:tabs>
        <w:rPr>
          <w:sz w:val="20"/>
          <w:szCs w:val="20"/>
          <w:color w:val="auto"/>
        </w:rPr>
      </w:pPr>
      <w:r>
        <w:rPr>
          <w:rFonts w:ascii="Arial" w:cs="Arial" w:eastAsia="Arial" w:hAnsi="Arial"/>
          <w:sz w:val="18"/>
          <w:szCs w:val="18"/>
          <w:color w:val="auto"/>
        </w:rPr>
        <w:t>Date: September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Tillman U. Gerngross, Ph.D.</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Co-Founder, Chief Executive Officer, Director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79" w:lineRule="exact"/>
        <w:rPr>
          <w:sz w:val="20"/>
          <w:szCs w:val="20"/>
          <w:color w:val="auto"/>
        </w:rPr>
      </w:pPr>
    </w:p>
    <w:p>
      <w:pPr>
        <w:ind w:left="20"/>
        <w:spacing w:after="0"/>
        <w:tabs>
          <w:tab w:leader="none" w:pos="5680" w:val="left"/>
          <w:tab w:leader="none" w:pos="7600" w:val="left"/>
        </w:tabs>
        <w:rPr>
          <w:sz w:val="20"/>
          <w:szCs w:val="20"/>
          <w:color w:val="auto"/>
        </w:rPr>
      </w:pPr>
      <w:r>
        <w:rPr>
          <w:rFonts w:ascii="Arial" w:cs="Arial" w:eastAsia="Arial" w:hAnsi="Arial"/>
          <w:sz w:val="18"/>
          <w:szCs w:val="18"/>
          <w:color w:val="auto"/>
        </w:rPr>
        <w:t>Date: September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Jane Pritchett Henderson</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10.5</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ind w:left="120" w:right="220" w:firstLine="749"/>
        <w:spacing w:after="0" w:line="279" w:lineRule="auto"/>
        <w:rPr>
          <w:sz w:val="20"/>
          <w:szCs w:val="20"/>
          <w:color w:val="auto"/>
        </w:rPr>
      </w:pPr>
      <w:r>
        <w:rPr>
          <w:rFonts w:ascii="Arial" w:cs="Arial" w:eastAsia="Arial" w:hAnsi="Arial"/>
          <w:sz w:val="18"/>
          <w:szCs w:val="18"/>
          <w:color w:val="auto"/>
        </w:rPr>
        <w:t>This Employment Agreement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is made between Adagio Therapeutics, Inc., a Delaware corporation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and Tillman Gerngross (the “</w:t>
      </w:r>
      <w:r>
        <w:rPr>
          <w:rFonts w:ascii="Arial" w:cs="Arial" w:eastAsia="Arial" w:hAnsi="Arial"/>
          <w:sz w:val="18"/>
          <w:szCs w:val="18"/>
          <w:b w:val="1"/>
          <w:bCs w:val="1"/>
          <w:i w:val="1"/>
          <w:iCs w:val="1"/>
          <w:u w:val="single" w:color="auto"/>
          <w:color w:val="auto"/>
        </w:rPr>
        <w:t>Executive</w:t>
      </w:r>
      <w:r>
        <w:rPr>
          <w:rFonts w:ascii="Arial" w:cs="Arial" w:eastAsia="Arial" w:hAnsi="Arial"/>
          <w:sz w:val="18"/>
          <w:szCs w:val="18"/>
          <w:color w:val="auto"/>
        </w:rPr>
        <w:t>”), this 5th day of August, 2021. This Agreement supersedes in its entirety that certain Consulting Agreement, dated June 19, 2020 (the “</w:t>
      </w:r>
      <w:r>
        <w:rPr>
          <w:rFonts w:ascii="Arial" w:cs="Arial" w:eastAsia="Arial" w:hAnsi="Arial"/>
          <w:sz w:val="18"/>
          <w:szCs w:val="18"/>
          <w:b w:val="1"/>
          <w:bCs w:val="1"/>
          <w:i w:val="1"/>
          <w:iCs w:val="1"/>
          <w:u w:val="single" w:color="auto"/>
          <w:color w:val="auto"/>
        </w:rPr>
        <w:t>Prior Agreement</w:t>
      </w:r>
      <w:r>
        <w:rPr>
          <w:rFonts w:ascii="Arial" w:cs="Arial" w:eastAsia="Arial" w:hAnsi="Arial"/>
          <w:sz w:val="18"/>
          <w:szCs w:val="18"/>
          <w:color w:val="auto"/>
        </w:rPr>
        <w:t>”), between the Executive and the Company.</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52" w:lineRule="exact"/>
        <w:rPr>
          <w:sz w:val="20"/>
          <w:szCs w:val="20"/>
          <w:color w:val="auto"/>
        </w:rPr>
      </w:pPr>
    </w:p>
    <w:p>
      <w:pPr>
        <w:jc w:val="both"/>
        <w:ind w:left="120" w:right="160" w:firstLine="749"/>
        <w:spacing w:after="0" w:line="279" w:lineRule="auto"/>
        <w:rPr>
          <w:sz w:val="20"/>
          <w:szCs w:val="20"/>
          <w:color w:val="auto"/>
        </w:rPr>
      </w:pPr>
      <w:r>
        <w:rPr>
          <w:rFonts w:ascii="Arial" w:cs="Arial" w:eastAsia="Arial" w:hAnsi="Arial"/>
          <w:sz w:val="18"/>
          <w:szCs w:val="18"/>
          <w:color w:val="auto"/>
        </w:rPr>
        <w:t>WHEREAS, the Company and the Executive desire to enter into this Agreement and supersede in its entirety the Prior Agreement in order to change the Executive’s terms and conditions of employment in connection with the Offering, effective as of the date on which the registration statement relating to the Offering is effective (the “</w:t>
      </w:r>
      <w:r>
        <w:rPr>
          <w:rFonts w:ascii="Arial" w:cs="Arial" w:eastAsia="Arial" w:hAnsi="Arial"/>
          <w:sz w:val="18"/>
          <w:szCs w:val="18"/>
          <w:b w:val="1"/>
          <w:bCs w:val="1"/>
          <w:i w:val="1"/>
          <w:iCs w:val="1"/>
          <w:u w:val="single" w:color="auto"/>
          <w:color w:val="auto"/>
        </w:rPr>
        <w:t>Effective Date</w:t>
      </w:r>
      <w:r>
        <w:rPr>
          <w:rFonts w:ascii="Arial" w:cs="Arial" w:eastAsia="Arial" w:hAnsi="Arial"/>
          <w:sz w:val="18"/>
          <w:szCs w:val="18"/>
          <w:color w:val="auto"/>
        </w:rPr>
        <w:t>”).</w:t>
      </w:r>
    </w:p>
    <w:p>
      <w:pPr>
        <w:spacing w:after="0" w:line="210" w:lineRule="exact"/>
        <w:rPr>
          <w:sz w:val="20"/>
          <w:szCs w:val="20"/>
          <w:color w:val="auto"/>
        </w:rPr>
      </w:pPr>
    </w:p>
    <w:p>
      <w:pPr>
        <w:ind w:left="120" w:right="1320" w:firstLine="749"/>
        <w:spacing w:after="0" w:line="29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97" w:lineRule="exact"/>
        <w:rPr>
          <w:sz w:val="20"/>
          <w:szCs w:val="20"/>
          <w:color w:val="auto"/>
        </w:rPr>
      </w:pPr>
    </w:p>
    <w:p>
      <w:pPr>
        <w:ind w:left="1040" w:hanging="183"/>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 w:right="320" w:firstLine="1505"/>
        <w:spacing w:after="0" w:line="296" w:lineRule="auto"/>
        <w:tabs>
          <w:tab w:leader="none" w:pos="1842"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7"/>
          <w:szCs w:val="17"/>
          <w:b w:val="1"/>
          <w:bCs w:val="1"/>
          <w:i w:val="1"/>
          <w:iCs w:val="1"/>
          <w:u w:val="single" w:color="auto"/>
          <w:color w:val="auto"/>
        </w:rPr>
        <w:t>Term</w:t>
      </w:r>
      <w:r>
        <w:rPr>
          <w:rFonts w:ascii="Arial" w:cs="Arial" w:eastAsia="Arial" w:hAnsi="Arial"/>
          <w:sz w:val="17"/>
          <w:szCs w:val="17"/>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96" w:lineRule="exact"/>
        <w:rPr>
          <w:rFonts w:ascii="Arial" w:cs="Arial" w:eastAsia="Arial" w:hAnsi="Arial"/>
          <w:sz w:val="17"/>
          <w:szCs w:val="17"/>
          <w:color w:val="auto"/>
        </w:rPr>
      </w:pPr>
    </w:p>
    <w:p>
      <w:pPr>
        <w:ind w:left="1860" w:hanging="255"/>
        <w:spacing w:after="0"/>
        <w:tabs>
          <w:tab w:leader="none" w:pos="186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66" w:lineRule="exact"/>
        <w:rPr>
          <w:sz w:val="20"/>
          <w:szCs w:val="20"/>
          <w:color w:val="auto"/>
        </w:rPr>
      </w:pPr>
    </w:p>
    <w:p>
      <w:pPr>
        <w:ind w:left="120" w:right="180"/>
        <w:spacing w:after="0" w:line="292" w:lineRule="auto"/>
        <w:rPr>
          <w:sz w:val="20"/>
          <w:szCs w:val="20"/>
          <w:color w:val="auto"/>
        </w:rPr>
      </w:pPr>
      <w:r>
        <w:rPr>
          <w:rFonts w:ascii="Arial" w:cs="Arial" w:eastAsia="Arial" w:hAnsi="Arial"/>
          <w:sz w:val="17"/>
          <w:szCs w:val="17"/>
          <w:color w:val="auto"/>
        </w:rPr>
        <w:t>The Executive will serve as Chief Executive Officer and President (“</w:t>
      </w:r>
      <w:r>
        <w:rPr>
          <w:rFonts w:ascii="Arial" w:cs="Arial" w:eastAsia="Arial" w:hAnsi="Arial"/>
          <w:sz w:val="17"/>
          <w:szCs w:val="17"/>
          <w:b w:val="1"/>
          <w:bCs w:val="1"/>
          <w:i w:val="1"/>
          <w:iCs w:val="1"/>
          <w:color w:val="auto"/>
        </w:rPr>
        <w:t>CEO</w:t>
      </w:r>
      <w:r>
        <w:rPr>
          <w:rFonts w:ascii="Arial" w:cs="Arial" w:eastAsia="Arial" w:hAnsi="Arial"/>
          <w:sz w:val="17"/>
          <w:szCs w:val="17"/>
          <w:color w:val="auto"/>
        </w:rPr>
        <w:t>”) of the Company, reporting exclusively to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Executive will render such business and professional services in the performance of his duties as are consistent with Executive’s position within the Company. As CEO, Executive will have the status of the highest ranking executive officer of the Company, with the full powers, responsibilities and authorities customary for the chief executive officer of publicly traded corporations of the size, type and nature of the Company, together with such other powers, authorities and responsibilities as may reasonably be assigned to him by the Board.</w:t>
      </w:r>
    </w:p>
    <w:p>
      <w:pPr>
        <w:spacing w:after="0" w:line="188" w:lineRule="exact"/>
        <w:rPr>
          <w:sz w:val="20"/>
          <w:szCs w:val="20"/>
          <w:color w:val="auto"/>
        </w:rPr>
      </w:pPr>
    </w:p>
    <w:p>
      <w:pPr>
        <w:ind w:left="120" w:right="580"/>
        <w:spacing w:after="0" w:line="293" w:lineRule="auto"/>
        <w:rPr>
          <w:sz w:val="20"/>
          <w:szCs w:val="20"/>
          <w:color w:val="auto"/>
        </w:rPr>
      </w:pPr>
      <w:r>
        <w:rPr>
          <w:rFonts w:ascii="Arial" w:cs="Arial" w:eastAsia="Arial" w:hAnsi="Arial"/>
          <w:sz w:val="18"/>
          <w:szCs w:val="18"/>
          <w:color w:val="auto"/>
        </w:rPr>
        <w:t>Nothing in this Agreement shall prohibit the Executive from reasonably delegating parts of the responsibilities set forth in or contemplated by this Section 1(b) to other employees of the Company or its subsidiaries.</w:t>
      </w:r>
    </w:p>
    <w:p>
      <w:pPr>
        <w:spacing w:after="0" w:line="197" w:lineRule="exact"/>
        <w:rPr>
          <w:sz w:val="20"/>
          <w:szCs w:val="20"/>
          <w:color w:val="auto"/>
        </w:rPr>
      </w:pPr>
    </w:p>
    <w:p>
      <w:pPr>
        <w:ind w:left="100" w:right="920" w:firstLine="1505"/>
        <w:spacing w:after="0" w:line="293" w:lineRule="auto"/>
        <w:tabs>
          <w:tab w:leader="none" w:pos="184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Outside Activities</w:t>
      </w:r>
      <w:r>
        <w:rPr>
          <w:rFonts w:ascii="Arial" w:cs="Arial" w:eastAsia="Arial" w:hAnsi="Arial"/>
          <w:sz w:val="18"/>
          <w:szCs w:val="18"/>
          <w:color w:val="auto"/>
        </w:rPr>
        <w:t>. Executive will use good faith efforts to discharge Executive’s obligations under this Agreement to the best of Executive’s ability.</w:t>
      </w:r>
    </w:p>
    <w:p>
      <w:pPr>
        <w:spacing w:after="0" w:line="21"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Executive agrees not to (i) engage in any other employment or (ii) consult for, found, or serve on the board of directors of any other entity in the field of infectious disease. Notwithstanding the foregoing, Executive may (x) with prior disclosure to the Nominating and Governance Committee of the Board, consult for, found, or serve on the board of directors of any Adimab, LLC affiliate, and, (y) without such prior disclosure, serve in any capacity with any civic, educational, or charitable organization, participate in industry affairs and manage Executive’s family’s personal passive investments, and continue to engage in the activities set forth in Appendix A to this Agreement (romanettes (x) and (y) collectively, the “</w:t>
      </w:r>
      <w:r>
        <w:rPr>
          <w:rFonts w:ascii="Arial" w:cs="Arial" w:eastAsia="Arial" w:hAnsi="Arial"/>
          <w:sz w:val="17"/>
          <w:szCs w:val="17"/>
          <w:b w:val="1"/>
          <w:bCs w:val="1"/>
          <w:i w:val="1"/>
          <w:iCs w:val="1"/>
          <w:u w:val="single" w:color="auto"/>
          <w:color w:val="auto"/>
        </w:rPr>
        <w:t>Approved Outside</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Activities</w:t>
      </w:r>
      <w:r>
        <w:rPr>
          <w:rFonts w:ascii="Arial" w:cs="Arial" w:eastAsia="Arial" w:hAnsi="Arial"/>
          <w:sz w:val="17"/>
          <w:szCs w:val="17"/>
          <w:color w:val="auto"/>
        </w:rPr>
        <w:t>”), provided that such services do not materially interfere with Executive’s obligations to the Company, create a conflict of interest (it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understood and agreed that the conduct of business of Adimab, LLC, in a manner similar to that in which it is currently being conducted, including the discovery, optimization and licensing of antibodies for treatment of infectious disease to third parties, shall not constitute a conflict of interest hereunder), violate any of the Executive’s Continuing Obligations (as defined in Section 9 below) or cause any reputational damage to the Company as reasonably determined by the Board.</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98" w:name="page99"/>
    <w:bookmarkEnd w:id="98"/>
    <w:p>
      <w:pPr>
        <w:ind w:left="120" w:right="280"/>
        <w:spacing w:after="0" w:line="293"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Term.</w:t>
      </w:r>
    </w:p>
    <w:p>
      <w:pPr>
        <w:spacing w:after="0" w:line="265" w:lineRule="exact"/>
        <w:rPr>
          <w:sz w:val="20"/>
          <w:szCs w:val="20"/>
          <w:color w:val="auto"/>
        </w:rPr>
      </w:pPr>
    </w:p>
    <w:p>
      <w:pPr>
        <w:ind w:left="100" w:right="60" w:firstLine="1505"/>
        <w:spacing w:after="0" w:line="268" w:lineRule="auto"/>
        <w:tabs>
          <w:tab w:leader="none" w:pos="184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$550,000 per year. The Executive’s salary shall be subject to annual review not later than March 31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222" w:lineRule="exact"/>
        <w:rPr>
          <w:rFonts w:ascii="Arial" w:cs="Arial" w:eastAsia="Arial" w:hAnsi="Arial"/>
          <w:sz w:val="17"/>
          <w:szCs w:val="17"/>
          <w:color w:val="auto"/>
        </w:rPr>
      </w:pPr>
    </w:p>
    <w:p>
      <w:pPr>
        <w:ind w:left="100" w:firstLine="1505"/>
        <w:spacing w:after="0" w:line="274" w:lineRule="auto"/>
        <w:tabs>
          <w:tab w:leader="none" w:pos="185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Annual Bonus will be fifty percent (50%)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45" w:lineRule="exact"/>
        <w:rPr>
          <w:rFonts w:ascii="Arial" w:cs="Arial" w:eastAsia="Arial" w:hAnsi="Arial"/>
          <w:sz w:val="17"/>
          <w:szCs w:val="17"/>
          <w:color w:val="auto"/>
        </w:rPr>
      </w:pPr>
    </w:p>
    <w:p>
      <w:pPr>
        <w:ind w:left="100" w:right="40" w:firstLine="1505"/>
        <w:spacing w:after="0" w:line="275" w:lineRule="auto"/>
        <w:tabs>
          <w:tab w:leader="none" w:pos="184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279" w:lineRule="exact"/>
        <w:rPr>
          <w:rFonts w:ascii="Arial" w:cs="Arial" w:eastAsia="Arial" w:hAnsi="Arial"/>
          <w:sz w:val="18"/>
          <w:szCs w:val="18"/>
          <w:color w:val="auto"/>
        </w:rPr>
      </w:pPr>
    </w:p>
    <w:p>
      <w:pPr>
        <w:ind w:left="100" w:right="380" w:firstLine="1505"/>
        <w:spacing w:after="0" w:line="293" w:lineRule="auto"/>
        <w:tabs>
          <w:tab w:leader="none" w:pos="185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264" w:lineRule="exact"/>
        <w:rPr>
          <w:rFonts w:ascii="Arial" w:cs="Arial" w:eastAsia="Arial" w:hAnsi="Arial"/>
          <w:sz w:val="18"/>
          <w:szCs w:val="18"/>
          <w:color w:val="auto"/>
        </w:rPr>
      </w:pPr>
    </w:p>
    <w:p>
      <w:pPr>
        <w:ind w:left="100" w:right="60" w:firstLine="1505"/>
        <w:spacing w:after="0" w:line="293" w:lineRule="auto"/>
        <w:tabs>
          <w:tab w:leader="none" w:pos="184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264" w:lineRule="exact"/>
        <w:rPr>
          <w:rFonts w:ascii="Arial" w:cs="Arial" w:eastAsia="Arial" w:hAnsi="Arial"/>
          <w:sz w:val="18"/>
          <w:szCs w:val="18"/>
          <w:color w:val="auto"/>
        </w:rPr>
      </w:pPr>
    </w:p>
    <w:p>
      <w:pPr>
        <w:ind w:left="100" w:right="220" w:firstLine="1505"/>
        <w:spacing w:after="0" w:line="293" w:lineRule="auto"/>
        <w:tabs>
          <w:tab w:leader="none" w:pos="182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250" w:lineRule="exact"/>
        <w:rPr>
          <w:rFonts w:ascii="Arial" w:cs="Arial" w:eastAsia="Arial" w:hAnsi="Arial"/>
          <w:sz w:val="18"/>
          <w:szCs w:val="18"/>
          <w:color w:val="auto"/>
        </w:rPr>
      </w:pPr>
    </w:p>
    <w:p>
      <w:pPr>
        <w:ind w:left="100" w:right="40" w:firstLine="1505"/>
        <w:spacing w:after="0" w:line="292" w:lineRule="auto"/>
        <w:tabs>
          <w:tab w:leader="none" w:pos="185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Treatment of Equity Awards upon a Change in Control</w:t>
      </w:r>
      <w:r>
        <w:rPr>
          <w:rFonts w:ascii="Arial" w:cs="Arial" w:eastAsia="Arial" w:hAnsi="Arial"/>
          <w:sz w:val="17"/>
          <w:szCs w:val="17"/>
          <w:color w:val="auto"/>
        </w:rPr>
        <w:t>. The following provisions shall apply to any award granted under the Adagio Therapeutics, Inc. 2021 Equity Incentive Plan (the “</w:t>
      </w:r>
      <w:r>
        <w:rPr>
          <w:rFonts w:ascii="Arial" w:cs="Arial" w:eastAsia="Arial" w:hAnsi="Arial"/>
          <w:sz w:val="17"/>
          <w:szCs w:val="17"/>
          <w:b w:val="1"/>
          <w:bCs w:val="1"/>
          <w:i w:val="1"/>
          <w:iCs w:val="1"/>
          <w:u w:val="single" w:color="auto"/>
          <w:color w:val="auto"/>
        </w:rPr>
        <w:t>Plan</w:t>
      </w:r>
      <w:r>
        <w:rPr>
          <w:rFonts w:ascii="Arial" w:cs="Arial" w:eastAsia="Arial" w:hAnsi="Arial"/>
          <w:sz w:val="17"/>
          <w:szCs w:val="17"/>
          <w:color w:val="auto"/>
        </w:rPr>
        <w:t>”) or any other plan, agreement or arrangement based on the value of a share of the Company’s common stock on or after the Effective Date (collectively, the “</w:t>
      </w:r>
      <w:r>
        <w:rPr>
          <w:rFonts w:ascii="Arial" w:cs="Arial" w:eastAsia="Arial" w:hAnsi="Arial"/>
          <w:sz w:val="17"/>
          <w:szCs w:val="17"/>
          <w:b w:val="1"/>
          <w:bCs w:val="1"/>
          <w:i w:val="1"/>
          <w:iCs w:val="1"/>
          <w:u w:val="single" w:color="auto"/>
          <w:color w:val="auto"/>
        </w:rPr>
        <w:t>Equity Awards</w:t>
      </w:r>
      <w:r>
        <w:rPr>
          <w:rFonts w:ascii="Arial" w:cs="Arial" w:eastAsia="Arial" w:hAnsi="Arial"/>
          <w:sz w:val="17"/>
          <w:szCs w:val="17"/>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269" w:lineRule="exact"/>
        <w:rPr>
          <w:sz w:val="20"/>
          <w:szCs w:val="20"/>
          <w:color w:val="auto"/>
        </w:rPr>
      </w:pPr>
    </w:p>
    <w:p>
      <w:pPr>
        <w:ind w:left="860" w:right="320" w:firstLine="1494"/>
        <w:spacing w:after="0" w:line="266" w:lineRule="auto"/>
        <w:tabs>
          <w:tab w:leader="none" w:pos="25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611" w:right="519" w:bottom="1440" w:gutter="0" w:footer="0" w:header="0"/>
        </w:sectPr>
      </w:pPr>
    </w:p>
    <w:bookmarkStart w:id="99" w:name="page100"/>
    <w:bookmarkEnd w:id="99"/>
    <w:p>
      <w:pPr>
        <w:ind w:left="860" w:right="440" w:firstLine="1494"/>
        <w:spacing w:after="0" w:line="279" w:lineRule="auto"/>
        <w:tabs>
          <w:tab w:leader="none" w:pos="2622" w:val="left"/>
        </w:tabs>
        <w:numPr>
          <w:ilvl w:val="2"/>
          <w:numId w:val="19"/>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196" w:lineRule="exact"/>
        <w:rPr>
          <w:rFonts w:ascii="Arial" w:cs="Arial" w:eastAsia="Arial" w:hAnsi="Arial"/>
          <w:sz w:val="18"/>
          <w:szCs w:val="18"/>
          <w:color w:val="auto"/>
        </w:rPr>
      </w:pPr>
    </w:p>
    <w:p>
      <w:pPr>
        <w:ind w:left="100" w:right="720" w:firstLine="757"/>
        <w:spacing w:after="0" w:line="293" w:lineRule="auto"/>
        <w:tabs>
          <w:tab w:leader="none" w:pos="102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196" w:lineRule="exact"/>
        <w:rPr>
          <w:rFonts w:ascii="Arial" w:cs="Arial" w:eastAsia="Arial" w:hAnsi="Arial"/>
          <w:sz w:val="18"/>
          <w:szCs w:val="18"/>
          <w:color w:val="auto"/>
        </w:rPr>
      </w:pPr>
    </w:p>
    <w:p>
      <w:pPr>
        <w:ind w:left="1840" w:hanging="235"/>
        <w:spacing w:after="0"/>
        <w:tabs>
          <w:tab w:leader="none" w:pos="184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265" w:lineRule="exact"/>
        <w:rPr>
          <w:rFonts w:ascii="Arial" w:cs="Arial" w:eastAsia="Arial" w:hAnsi="Arial"/>
          <w:sz w:val="18"/>
          <w:szCs w:val="18"/>
          <w:color w:val="auto"/>
        </w:rPr>
      </w:pPr>
    </w:p>
    <w:p>
      <w:pPr>
        <w:ind w:left="100" w:firstLine="1505"/>
        <w:spacing w:after="0" w:line="286" w:lineRule="auto"/>
        <w:tabs>
          <w:tab w:leader="none" w:pos="1852"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91" w:lineRule="exact"/>
        <w:rPr>
          <w:rFonts w:ascii="Arial" w:cs="Arial" w:eastAsia="Arial" w:hAnsi="Arial"/>
          <w:sz w:val="17"/>
          <w:szCs w:val="17"/>
          <w:color w:val="auto"/>
        </w:rPr>
      </w:pPr>
    </w:p>
    <w:p>
      <w:pPr>
        <w:ind w:left="100" w:right="340" w:firstLine="1505"/>
        <w:spacing w:after="0" w:line="293" w:lineRule="auto"/>
        <w:tabs>
          <w:tab w:leader="none" w:pos="1842"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196" w:lineRule="exact"/>
        <w:rPr>
          <w:rFonts w:ascii="Arial" w:cs="Arial" w:eastAsia="Arial" w:hAnsi="Arial"/>
          <w:sz w:val="18"/>
          <w:szCs w:val="18"/>
          <w:color w:val="auto"/>
        </w:rPr>
      </w:pPr>
    </w:p>
    <w:p>
      <w:pPr>
        <w:ind w:left="1600" w:right="240" w:firstLine="754"/>
        <w:spacing w:after="0" w:line="272" w:lineRule="auto"/>
        <w:tabs>
          <w:tab w:leader="none" w:pos="2564"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 provided, however, that any such disclosure under the collaboration agreement entered into by Adimab, LLC and the Company shall not constitute Cause under this Agreement;</w:t>
      </w:r>
    </w:p>
    <w:p>
      <w:pPr>
        <w:spacing w:after="0" w:line="217" w:lineRule="exact"/>
        <w:rPr>
          <w:rFonts w:ascii="Arial" w:cs="Arial" w:eastAsia="Arial" w:hAnsi="Arial"/>
          <w:sz w:val="18"/>
          <w:szCs w:val="18"/>
          <w:color w:val="auto"/>
        </w:rPr>
      </w:pPr>
    </w:p>
    <w:p>
      <w:pPr>
        <w:ind w:left="1600" w:right="520" w:firstLine="754"/>
        <w:spacing w:after="0" w:line="279" w:lineRule="auto"/>
        <w:tabs>
          <w:tab w:leader="none" w:pos="2614"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196" w:lineRule="exact"/>
        <w:rPr>
          <w:rFonts w:ascii="Arial" w:cs="Arial" w:eastAsia="Arial" w:hAnsi="Arial"/>
          <w:sz w:val="18"/>
          <w:szCs w:val="18"/>
          <w:color w:val="auto"/>
        </w:rPr>
      </w:pPr>
    </w:p>
    <w:p>
      <w:pPr>
        <w:ind w:left="1600" w:right="180" w:firstLine="754"/>
        <w:spacing w:after="0" w:line="314" w:lineRule="auto"/>
        <w:tabs>
          <w:tab w:leader="none" w:pos="2663"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254" w:lineRule="exact"/>
        <w:rPr>
          <w:rFonts w:ascii="Arial" w:cs="Arial" w:eastAsia="Arial" w:hAnsi="Arial"/>
          <w:sz w:val="16"/>
          <w:szCs w:val="16"/>
          <w:color w:val="auto"/>
        </w:rPr>
      </w:pPr>
    </w:p>
    <w:p>
      <w:pPr>
        <w:ind w:left="2660" w:hanging="306"/>
        <w:spacing w:after="0"/>
        <w:tabs>
          <w:tab w:leader="none" w:pos="2660" w:val="left"/>
        </w:tabs>
        <w:numPr>
          <w:ilvl w:val="3"/>
          <w:numId w:val="22"/>
        </w:numPr>
        <w:rPr>
          <w:rFonts w:ascii="Arial" w:cs="Arial" w:eastAsia="Arial" w:hAnsi="Arial"/>
          <w:sz w:val="17"/>
          <w:szCs w:val="17"/>
          <w:color w:val="auto"/>
        </w:rPr>
      </w:pPr>
      <w:r>
        <w:rPr>
          <w:rFonts w:ascii="Arial" w:cs="Arial" w:eastAsia="Arial" w:hAnsi="Arial"/>
          <w:sz w:val="17"/>
          <w:szCs w:val="17"/>
          <w:color w:val="auto"/>
        </w:rPr>
        <w:t>any act of fraud, embezzlement or material misappropriation committed by the Executive against the Company</w:t>
      </w:r>
    </w:p>
    <w:p>
      <w:pPr>
        <w:spacing w:after="0" w:line="3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(other than good faith expense account disputes);</w:t>
      </w:r>
    </w:p>
    <w:p>
      <w:pPr>
        <w:spacing w:after="0" w:line="103" w:lineRule="exact"/>
        <w:rPr>
          <w:sz w:val="20"/>
          <w:szCs w:val="20"/>
          <w:color w:val="auto"/>
        </w:rPr>
      </w:pPr>
    </w:p>
    <w:p>
      <w:pPr>
        <w:ind w:left="1600" w:right="1060" w:firstLine="754"/>
        <w:spacing w:after="0" w:line="324" w:lineRule="auto"/>
        <w:tabs>
          <w:tab w:leader="none" w:pos="26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willful engaging by the Executive in any act that brings the Company into public disrepute or disgrace or causes material harm to the customer relations, operations or business prospects of the Company; or</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100" w:name="page101"/>
    <w:bookmarkEnd w:id="100"/>
    <w:p>
      <w:pPr>
        <w:ind w:left="1600" w:right="260" w:firstLine="754"/>
        <w:spacing w:after="0" w:line="296" w:lineRule="auto"/>
        <w:tabs>
          <w:tab w:leader="none" w:pos="26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97" w:lineRule="exact"/>
        <w:rPr>
          <w:sz w:val="20"/>
          <w:szCs w:val="20"/>
          <w:color w:val="auto"/>
        </w:rPr>
      </w:pPr>
    </w:p>
    <w:p>
      <w:pPr>
        <w:ind w:left="120" w:right="820"/>
        <w:spacing w:after="0" w:line="359" w:lineRule="auto"/>
        <w:rPr>
          <w:sz w:val="20"/>
          <w:szCs w:val="20"/>
          <w:color w:val="auto"/>
        </w:rPr>
      </w:pPr>
      <w:r>
        <w:rPr>
          <w:rFonts w:ascii="Arial" w:cs="Arial" w:eastAsia="Arial" w:hAnsi="Arial"/>
          <w:sz w:val="16"/>
          <w:szCs w:val="16"/>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38" w:lineRule="exact"/>
        <w:rPr>
          <w:sz w:val="20"/>
          <w:szCs w:val="20"/>
          <w:color w:val="auto"/>
        </w:rPr>
      </w:pPr>
    </w:p>
    <w:p>
      <w:pPr>
        <w:ind w:left="120" w:right="460"/>
        <w:spacing w:after="0" w:line="275"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212"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257" w:lineRule="exact"/>
        <w:rPr>
          <w:sz w:val="20"/>
          <w:szCs w:val="20"/>
          <w:color w:val="auto"/>
        </w:rPr>
      </w:pPr>
    </w:p>
    <w:p>
      <w:pPr>
        <w:ind w:left="100" w:right="140" w:firstLine="1489"/>
        <w:spacing w:after="0" w:line="275" w:lineRule="auto"/>
        <w:tabs>
          <w:tab w:leader="none" w:pos="1836"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212" w:lineRule="exact"/>
        <w:rPr>
          <w:rFonts w:ascii="Arial" w:cs="Arial" w:eastAsia="Arial" w:hAnsi="Arial"/>
          <w:sz w:val="18"/>
          <w:szCs w:val="18"/>
          <w:color w:val="auto"/>
        </w:rPr>
      </w:pPr>
    </w:p>
    <w:p>
      <w:pPr>
        <w:ind w:left="100" w:right="200" w:firstLine="1505"/>
        <w:spacing w:after="0" w:line="275" w:lineRule="auto"/>
        <w:tabs>
          <w:tab w:leader="none" w:pos="184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Condition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2560" w:hanging="206"/>
        <w:spacing w:after="0"/>
        <w:tabs>
          <w:tab w:leader="none" w:pos="25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w:t>
      </w:r>
    </w:p>
    <w:p>
      <w:pPr>
        <w:spacing w:after="0" w:line="103" w:lineRule="exact"/>
        <w:rPr>
          <w:rFonts w:ascii="Arial" w:cs="Arial" w:eastAsia="Arial" w:hAnsi="Arial"/>
          <w:sz w:val="18"/>
          <w:szCs w:val="18"/>
          <w:color w:val="auto"/>
        </w:rPr>
      </w:pPr>
    </w:p>
    <w:p>
      <w:pPr>
        <w:jc w:val="both"/>
        <w:ind w:left="1600" w:right="60" w:firstLine="754"/>
        <w:spacing w:after="0" w:line="303" w:lineRule="auto"/>
        <w:tabs>
          <w:tab w:leader="none" w:pos="2613" w:val="left"/>
        </w:tabs>
        <w:numPr>
          <w:ilvl w:val="2"/>
          <w:numId w:val="25"/>
        </w:numPr>
        <w:rPr>
          <w:rFonts w:ascii="Arial" w:cs="Arial" w:eastAsia="Arial" w:hAnsi="Arial"/>
          <w:sz w:val="17"/>
          <w:szCs w:val="17"/>
          <w:color w:val="auto"/>
        </w:rPr>
      </w:pPr>
      <w:r>
        <w:rPr>
          <w:rFonts w:ascii="Arial" w:cs="Arial" w:eastAsia="Arial" w:hAnsi="Arial"/>
          <w:sz w:val="17"/>
          <w:szCs w:val="17"/>
          <w:color w:val="auto"/>
        </w:rPr>
        <w:t>a Change in Control following which either: (A) there is a material reduction in the budget over which the Executive retains authority or (B) the Executive is not CEO of the Company or, if the Company becomes a subsidiary of one or more entities following the Change in Control, the post-consummation ultimate parent entity of the Company; or</w:t>
      </w:r>
    </w:p>
    <w:p>
      <w:pPr>
        <w:spacing w:after="0" w:line="177" w:lineRule="exact"/>
        <w:rPr>
          <w:rFonts w:ascii="Arial" w:cs="Arial" w:eastAsia="Arial" w:hAnsi="Arial"/>
          <w:sz w:val="17"/>
          <w:szCs w:val="17"/>
          <w:color w:val="auto"/>
        </w:rPr>
      </w:pPr>
    </w:p>
    <w:p>
      <w:pPr>
        <w:ind w:left="1600" w:right="40" w:firstLine="754"/>
        <w:spacing w:after="0" w:line="271" w:lineRule="auto"/>
        <w:tabs>
          <w:tab w:leader="none" w:pos="2664" w:val="left"/>
        </w:tabs>
        <w:numPr>
          <w:ilvl w:val="2"/>
          <w:numId w:val="25"/>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217" w:lineRule="exact"/>
        <w:rPr>
          <w:rFonts w:ascii="Arial" w:cs="Arial" w:eastAsia="Arial" w:hAnsi="Arial"/>
          <w:sz w:val="18"/>
          <w:szCs w:val="18"/>
          <w:color w:val="auto"/>
        </w:rPr>
      </w:pPr>
    </w:p>
    <w:p>
      <w:pPr>
        <w:ind w:left="1840" w:hanging="235"/>
        <w:spacing w:after="0"/>
        <w:tabs>
          <w:tab w:leader="none" w:pos="1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333" w:lineRule="exact"/>
        <w:rPr>
          <w:rFonts w:ascii="Arial" w:cs="Arial" w:eastAsia="Arial" w:hAnsi="Arial"/>
          <w:sz w:val="18"/>
          <w:szCs w:val="18"/>
          <w:color w:val="auto"/>
        </w:rPr>
      </w:pPr>
    </w:p>
    <w:p>
      <w:pPr>
        <w:ind w:left="2560" w:hanging="206"/>
        <w:spacing w:after="0"/>
        <w:tabs>
          <w:tab w:leader="none" w:pos="25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68" w:right="479" w:bottom="1440" w:gutter="0" w:footer="0" w:header="0"/>
        </w:sectPr>
      </w:pPr>
    </w:p>
    <w:bookmarkStart w:id="101" w:name="page102"/>
    <w:bookmarkEnd w:id="101"/>
    <w:p>
      <w:pPr>
        <w:ind w:left="1600" w:right="700" w:firstLine="754"/>
        <w:spacing w:after="0" w:line="293" w:lineRule="auto"/>
        <w:tabs>
          <w:tab w:leader="none" w:pos="26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196" w:lineRule="exact"/>
        <w:rPr>
          <w:rFonts w:ascii="Arial" w:cs="Arial" w:eastAsia="Arial" w:hAnsi="Arial"/>
          <w:sz w:val="18"/>
          <w:szCs w:val="18"/>
          <w:color w:val="auto"/>
        </w:rPr>
      </w:pPr>
    </w:p>
    <w:p>
      <w:pPr>
        <w:ind w:left="1600" w:right="360" w:firstLine="754"/>
        <w:spacing w:after="0" w:line="293" w:lineRule="auto"/>
        <w:tabs>
          <w:tab w:leader="none" w:pos="26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183" w:lineRule="exact"/>
        <w:rPr>
          <w:rFonts w:ascii="Arial" w:cs="Arial" w:eastAsia="Arial" w:hAnsi="Arial"/>
          <w:sz w:val="18"/>
          <w:szCs w:val="18"/>
          <w:color w:val="auto"/>
        </w:rPr>
      </w:pPr>
    </w:p>
    <w:p>
      <w:pPr>
        <w:ind w:left="2660" w:hanging="306"/>
        <w:spacing w:after="0"/>
        <w:tabs>
          <w:tab w:leader="none" w:pos="2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Period; and</w:t>
      </w:r>
    </w:p>
    <w:p>
      <w:pPr>
        <w:spacing w:after="0" w:line="265" w:lineRule="exact"/>
        <w:rPr>
          <w:sz w:val="20"/>
          <w:szCs w:val="20"/>
          <w:color w:val="auto"/>
        </w:rPr>
      </w:pPr>
    </w:p>
    <w:p>
      <w:pPr>
        <w:ind w:left="120" w:right="1720" w:firstLine="2234"/>
        <w:spacing w:after="0" w:line="607" w:lineRule="auto"/>
        <w:tabs>
          <w:tab w:leader="none" w:pos="2617"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Executive terminates employment within sixty (60) days after the end of the Cure Period. If the Company cures the Good Reason Condition during the Cure Period, Good Reason shall be deemed not to have occurred.</w:t>
      </w:r>
    </w:p>
    <w:p>
      <w:pPr>
        <w:ind w:left="1040" w:hanging="183"/>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0" w:right="340" w:firstLine="1505"/>
        <w:spacing w:after="0" w:line="275" w:lineRule="auto"/>
        <w:tabs>
          <w:tab w:leader="none" w:pos="184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8"/>
          <w:szCs w:val="18"/>
          <w:b w:val="1"/>
          <w:bCs w:val="1"/>
          <w:i w:val="1"/>
          <w:iCs w:val="1"/>
          <w:u w:val="single" w:color="auto"/>
          <w:color w:val="auto"/>
        </w:rPr>
        <w:t>Notice of Termination</w:t>
      </w:r>
      <w:r>
        <w:rPr>
          <w:rFonts w:ascii="Arial" w:cs="Arial" w:eastAsia="Arial" w:hAnsi="Arial"/>
          <w:sz w:val="18"/>
          <w:szCs w:val="18"/>
          <w:color w:val="auto"/>
        </w:rPr>
        <w:t>” shall mean a notice which shall indicate the specific termination provision in this Agreement relied upon.</w:t>
      </w:r>
    </w:p>
    <w:p>
      <w:pPr>
        <w:spacing w:after="0" w:line="36" w:lineRule="exact"/>
        <w:rPr>
          <w:rFonts w:ascii="Arial" w:cs="Arial" w:eastAsia="Arial" w:hAnsi="Arial"/>
          <w:sz w:val="18"/>
          <w:szCs w:val="18"/>
          <w:color w:val="auto"/>
        </w:rPr>
      </w:pPr>
    </w:p>
    <w:p>
      <w:pPr>
        <w:ind w:left="100" w:right="40" w:firstLine="1505"/>
        <w:spacing w:after="0" w:line="287" w:lineRule="auto"/>
        <w:tabs>
          <w:tab w:leader="none" w:pos="1852"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w:t>
      </w:r>
      <w:r>
        <w:rPr>
          <w:rFonts w:ascii="Arial" w:cs="Arial" w:eastAsia="Arial" w:hAnsi="Arial"/>
          <w:sz w:val="17"/>
          <w:szCs w:val="17"/>
          <w:b w:val="1"/>
          <w:bCs w:val="1"/>
          <w:i w:val="1"/>
          <w:iCs w:val="1"/>
          <w:u w:val="single" w:color="auto"/>
          <w:color w:val="auto"/>
        </w:rPr>
        <w:t>Date of Termination</w:t>
      </w:r>
      <w:r>
        <w:rPr>
          <w:rFonts w:ascii="Arial" w:cs="Arial" w:eastAsia="Arial" w:hAnsi="Arial"/>
          <w:sz w:val="17"/>
          <w:szCs w:val="17"/>
          <w:color w:val="auto"/>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thirty (30) days after the date on which a Notice of Termination is given or a later date otherwise specified by the Company in the Notice of Termination; (iv) if the Executive’s employment is terminated by the Executive under Section 3(e) other than for Good Reason, thirty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204" w:lineRule="exact"/>
        <w:rPr>
          <w:rFonts w:ascii="Arial" w:cs="Arial" w:eastAsia="Arial" w:hAnsi="Arial"/>
          <w:sz w:val="17"/>
          <w:szCs w:val="17"/>
          <w:color w:val="auto"/>
        </w:rPr>
      </w:pPr>
    </w:p>
    <w:p>
      <w:pPr>
        <w:ind w:left="100" w:firstLine="1505"/>
        <w:spacing w:after="0" w:line="308" w:lineRule="auto"/>
        <w:tabs>
          <w:tab w:leader="none" w:pos="184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190" w:lineRule="exact"/>
        <w:rPr>
          <w:rFonts w:ascii="Arial" w:cs="Arial" w:eastAsia="Arial" w:hAnsi="Arial"/>
          <w:sz w:val="16"/>
          <w:szCs w:val="16"/>
          <w:color w:val="auto"/>
        </w:rPr>
      </w:pPr>
    </w:p>
    <w:p>
      <w:pPr>
        <w:ind w:left="100" w:right="220" w:firstLine="1505"/>
        <w:spacing w:after="0" w:line="275" w:lineRule="auto"/>
        <w:tabs>
          <w:tab w:leader="none" w:pos="185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98" w:lineRule="exact"/>
        <w:rPr>
          <w:rFonts w:ascii="Arial" w:cs="Arial" w:eastAsia="Arial" w:hAnsi="Arial"/>
          <w:sz w:val="18"/>
          <w:szCs w:val="18"/>
          <w:color w:val="auto"/>
        </w:rPr>
      </w:pPr>
    </w:p>
    <w:p>
      <w:pPr>
        <w:jc w:val="both"/>
        <w:ind w:left="100" w:right="220" w:firstLine="756"/>
        <w:spacing w:after="0" w:line="266" w:lineRule="auto"/>
        <w:tabs>
          <w:tab w:leader="none" w:pos="102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Severance Pay and Benefits Upon Termination by the Company without Cause or by the Executive for Good Reason</w:t>
      </w:r>
      <w:r>
        <w:rPr>
          <w:rFonts w:ascii="Arial" w:cs="Arial" w:eastAsia="Arial" w:hAnsi="Arial"/>
          <w:sz w:val="18"/>
          <w:szCs w:val="18"/>
          <w:color w:val="auto"/>
        </w:rPr>
        <w:t>. If the Executive’s employment is terminated by the Company without Cause as provided in Section 3(d), or the Executive terminates employment for Good Reason as provided in Section 3(e), then, in addition to the</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5</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368" w:right="539" w:bottom="1440" w:gutter="0" w:footer="0" w:header="0"/>
        </w:sectPr>
      </w:pPr>
    </w:p>
    <w:bookmarkStart w:id="102" w:name="page103"/>
    <w:bookmarkEnd w:id="102"/>
    <w:p>
      <w:pPr>
        <w:ind w:left="100" w:right="140"/>
        <w:spacing w:after="0" w:line="275" w:lineRule="auto"/>
        <w:rPr>
          <w:sz w:val="20"/>
          <w:szCs w:val="20"/>
          <w:color w:val="auto"/>
        </w:rPr>
      </w:pPr>
      <w:r>
        <w:rPr>
          <w:rFonts w:ascii="Arial" w:cs="Arial" w:eastAsia="Arial" w:hAnsi="Arial"/>
          <w:sz w:val="18"/>
          <w:szCs w:val="18"/>
          <w:color w:val="auto"/>
        </w:rPr>
        <w:t xml:space="preserve">Accrued Obligations, and subject to (i) the Executive signing a separation agreement and release in a form substantially the same as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(the “</w:t>
      </w:r>
      <w:r>
        <w:rPr>
          <w:rFonts w:ascii="Arial" w:cs="Arial" w:eastAsia="Arial" w:hAnsi="Arial"/>
          <w:sz w:val="18"/>
          <w:szCs w:val="18"/>
          <w:b w:val="1"/>
          <w:bCs w:val="1"/>
          <w:i w:val="1"/>
          <w:iCs w:val="1"/>
          <w:u w:val="single" w:color="auto"/>
          <w:color w:val="auto"/>
        </w:rPr>
        <w:t>Separation Agreement</w:t>
      </w:r>
      <w:r>
        <w:rPr>
          <w:rFonts w:ascii="Arial" w:cs="Arial" w:eastAsia="Arial" w:hAnsi="Arial"/>
          <w:sz w:val="18"/>
          <w:szCs w:val="18"/>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37" w:lineRule="exact"/>
        <w:rPr>
          <w:sz w:val="20"/>
          <w:szCs w:val="20"/>
          <w:color w:val="auto"/>
        </w:rPr>
      </w:pPr>
    </w:p>
    <w:p>
      <w:pPr>
        <w:ind w:left="100" w:right="100" w:firstLine="1505"/>
        <w:spacing w:after="0" w:line="272" w:lineRule="auto"/>
        <w:tabs>
          <w:tab w:leader="none" w:pos="1842"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an amount equal to twelve (12) months’ of the Executive’s Base Salary (the “</w:t>
      </w:r>
      <w:r>
        <w:rPr>
          <w:rFonts w:ascii="Arial" w:cs="Arial" w:eastAsia="Arial" w:hAnsi="Arial"/>
          <w:sz w:val="18"/>
          <w:szCs w:val="18"/>
          <w:b w:val="1"/>
          <w:bCs w:val="1"/>
          <w:i w:val="1"/>
          <w:iCs w:val="1"/>
          <w:u w:val="single" w:color="auto"/>
          <w:color w:val="auto"/>
        </w:rPr>
        <w:t>Severance Amount</w:t>
      </w:r>
      <w:r>
        <w:rPr>
          <w:rFonts w:ascii="Arial" w:cs="Arial" w:eastAsia="Arial" w:hAnsi="Arial"/>
          <w:sz w:val="18"/>
          <w:szCs w:val="18"/>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w:t>
      </w:r>
      <w:r>
        <w:rPr>
          <w:rFonts w:ascii="Arial" w:cs="Arial" w:eastAsia="Arial" w:hAnsi="Arial"/>
          <w:sz w:val="18"/>
          <w:szCs w:val="18"/>
          <w:b w:val="1"/>
          <w:bCs w:val="1"/>
          <w:i w:val="1"/>
          <w:iCs w:val="1"/>
          <w:u w:val="single" w:color="auto"/>
          <w:color w:val="auto"/>
        </w:rPr>
        <w:t>Earned Bonus</w:t>
      </w:r>
      <w:r>
        <w:rPr>
          <w:rFonts w:ascii="Arial" w:cs="Arial" w:eastAsia="Arial" w:hAnsi="Arial"/>
          <w:sz w:val="18"/>
          <w:szCs w:val="18"/>
          <w:color w:val="auto"/>
        </w:rPr>
        <w:t>”).</w:t>
      </w:r>
    </w:p>
    <w:p>
      <w:pPr>
        <w:spacing w:after="0" w:line="285" w:lineRule="exact"/>
        <w:rPr>
          <w:rFonts w:ascii="Arial" w:cs="Arial" w:eastAsia="Arial" w:hAnsi="Arial"/>
          <w:sz w:val="18"/>
          <w:szCs w:val="18"/>
          <w:color w:val="auto"/>
        </w:rPr>
      </w:pPr>
    </w:p>
    <w:p>
      <w:pPr>
        <w:ind w:left="100" w:right="180" w:firstLine="1505"/>
        <w:spacing w:after="0" w:line="299" w:lineRule="auto"/>
        <w:tabs>
          <w:tab w:leader="none" w:pos="1852" w:val="left"/>
        </w:tabs>
        <w:numPr>
          <w:ilvl w:val="2"/>
          <w:numId w:val="30"/>
        </w:numPr>
        <w:rPr>
          <w:rFonts w:ascii="Arial" w:cs="Arial" w:eastAsia="Arial" w:hAnsi="Arial"/>
          <w:sz w:val="16"/>
          <w:szCs w:val="16"/>
          <w:color w:val="auto"/>
        </w:rPr>
      </w:pPr>
      <w:r>
        <w:rPr>
          <w:rFonts w:ascii="Arial" w:cs="Arial" w:eastAsia="Arial" w:hAnsi="Arial"/>
          <w:sz w:val="16"/>
          <w:szCs w:val="16"/>
          <w:u w:val="single" w:color="auto"/>
          <w:color w:val="auto"/>
        </w:rPr>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b w:val="1"/>
          <w:bCs w:val="1"/>
          <w:i w:val="1"/>
          <w:iCs w:val="1"/>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100" w:right="240" w:firstLine="8"/>
        <w:spacing w:after="0" w:line="290" w:lineRule="auto"/>
        <w:tabs>
          <w:tab w:leader="none" w:pos="3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201" w:lineRule="exact"/>
        <w:rPr>
          <w:rFonts w:ascii="Arial" w:cs="Arial" w:eastAsia="Arial" w:hAnsi="Arial"/>
          <w:sz w:val="17"/>
          <w:szCs w:val="17"/>
          <w:color w:val="auto"/>
        </w:rPr>
      </w:pPr>
    </w:p>
    <w:p>
      <w:pPr>
        <w:ind w:left="100" w:firstLine="1489"/>
        <w:spacing w:after="0" w:line="305" w:lineRule="auto"/>
        <w:tabs>
          <w:tab w:leader="none" w:pos="1826"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263" w:lineRule="exact"/>
        <w:rPr>
          <w:rFonts w:ascii="Arial" w:cs="Arial" w:eastAsia="Arial" w:hAnsi="Arial"/>
          <w:sz w:val="16"/>
          <w:szCs w:val="16"/>
          <w:color w:val="auto"/>
        </w:rPr>
      </w:pPr>
    </w:p>
    <w:p>
      <w:pPr>
        <w:ind w:left="100" w:right="140" w:firstLine="1505"/>
        <w:spacing w:after="0" w:line="309" w:lineRule="auto"/>
        <w:tabs>
          <w:tab w:leader="none" w:pos="1852" w:val="left"/>
        </w:tabs>
        <w:numPr>
          <w:ilvl w:val="2"/>
          <w:numId w:val="31"/>
        </w:numPr>
        <w:rPr>
          <w:rFonts w:ascii="Arial" w:cs="Arial" w:eastAsia="Arial" w:hAnsi="Arial"/>
          <w:sz w:val="16"/>
          <w:szCs w:val="16"/>
          <w:color w:val="auto"/>
        </w:rPr>
      </w:pPr>
      <w:r>
        <w:rPr>
          <w:rFonts w:ascii="Arial" w:cs="Arial" w:eastAsia="Arial" w:hAnsi="Arial"/>
          <w:sz w:val="16"/>
          <w:szCs w:val="16"/>
          <w:u w:val="single" w:color="auto"/>
          <w:color w:val="auto"/>
        </w:rPr>
        <w:t>Severance Payment Timing</w:t>
      </w:r>
      <w:r>
        <w:rPr>
          <w:rFonts w:ascii="Arial" w:cs="Arial" w:eastAsia="Arial" w:hAnsi="Arial"/>
          <w:sz w:val="16"/>
          <w:szCs w:val="16"/>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6"/>
          <w:szCs w:val="16"/>
          <w:b w:val="1"/>
          <w:bCs w:val="1"/>
          <w:i w:val="1"/>
          <w:iCs w:val="1"/>
          <w:u w:val="single" w:color="auto"/>
          <w:color w:val="auto"/>
        </w:rPr>
        <w:t>Code</w:t>
      </w:r>
      <w:r>
        <w:rPr>
          <w:rFonts w:ascii="Arial" w:cs="Arial" w:eastAsia="Arial" w:hAnsi="Arial"/>
          <w:sz w:val="16"/>
          <w:szCs w:val="16"/>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03" w:name="page104"/>
    <w:bookmarkEnd w:id="103"/>
    <w:p>
      <w:pPr>
        <w:ind w:left="100" w:firstLine="756"/>
        <w:spacing w:after="0" w:line="299" w:lineRule="auto"/>
        <w:tabs>
          <w:tab w:leader="none" w:pos="1029"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6"/>
          <w:szCs w:val="16"/>
          <w:b w:val="1"/>
          <w:bCs w:val="1"/>
          <w:i w:val="1"/>
          <w:iCs w:val="1"/>
          <w:u w:val="single" w:color="auto"/>
          <w:color w:val="auto"/>
        </w:rPr>
        <w:t>Change in Control Period</w:t>
      </w:r>
      <w:r>
        <w:rPr>
          <w:rFonts w:ascii="Arial" w:cs="Arial" w:eastAsia="Arial" w:hAnsi="Arial"/>
          <w:sz w:val="16"/>
          <w:szCs w:val="16"/>
          <w:color w:val="auto"/>
        </w:rPr>
        <w:t>” shall begin on the earlier of (a) the signing of a P&amp;S Agreement and (b) the date that is 3 months prior to the closing of a Change in Control, and shall end on the date that is twelve</w:t>
      </w:r>
    </w:p>
    <w:p>
      <w:pPr>
        <w:spacing w:after="0" w:line="2" w:lineRule="exact"/>
        <w:rPr>
          <w:rFonts w:ascii="Arial" w:cs="Arial" w:eastAsia="Arial" w:hAnsi="Arial"/>
          <w:sz w:val="16"/>
          <w:szCs w:val="16"/>
          <w:color w:val="auto"/>
        </w:rPr>
      </w:pPr>
    </w:p>
    <w:p>
      <w:pPr>
        <w:ind w:left="100" w:right="40" w:firstLine="8"/>
        <w:spacing w:after="0" w:line="292" w:lineRule="auto"/>
        <w:tabs>
          <w:tab w:leader="none" w:pos="4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201" w:lineRule="exact"/>
        <w:rPr>
          <w:sz w:val="20"/>
          <w:szCs w:val="20"/>
          <w:color w:val="auto"/>
        </w:rPr>
      </w:pPr>
    </w:p>
    <w:p>
      <w:pPr>
        <w:ind w:left="120" w:right="120"/>
        <w:spacing w:after="0" w:line="319"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169" w:lineRule="exact"/>
        <w:rPr>
          <w:sz w:val="20"/>
          <w:szCs w:val="20"/>
          <w:color w:val="auto"/>
        </w:rPr>
      </w:pPr>
    </w:p>
    <w:p>
      <w:pPr>
        <w:ind w:left="100" w:firstLine="1489"/>
        <w:spacing w:after="0" w:line="299" w:lineRule="auto"/>
        <w:tabs>
          <w:tab w:leader="none" w:pos="1826"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Cash Severance</w:t>
      </w:r>
      <w:r>
        <w:rPr>
          <w:rFonts w:ascii="Arial" w:cs="Arial" w:eastAsia="Arial" w:hAnsi="Arial"/>
          <w:sz w:val="16"/>
          <w:szCs w:val="16"/>
          <w:color w:val="auto"/>
        </w:rPr>
        <w:t>. The Company shall pay the Executive a lump sum in cash in an amount equal to the sum of (A) eighteen (18) months’ of the Executive’s then-current Base Salary (or the Executive’s Base Salary in effect immediately prior to the Change in Control, if higher), and</w:t>
      </w:r>
    </w:p>
    <w:p>
      <w:pPr>
        <w:spacing w:after="0" w:line="1" w:lineRule="exact"/>
        <w:rPr>
          <w:rFonts w:ascii="Arial" w:cs="Arial" w:eastAsia="Arial" w:hAnsi="Arial"/>
          <w:sz w:val="16"/>
          <w:szCs w:val="16"/>
          <w:color w:val="auto"/>
        </w:rPr>
      </w:pPr>
    </w:p>
    <w:p>
      <w:pPr>
        <w:ind w:left="100" w:right="460" w:firstLine="8"/>
        <w:spacing w:after="0" w:line="292" w:lineRule="auto"/>
        <w:tabs>
          <w:tab w:leader="none" w:pos="3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1.5 times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860" w:hanging="255"/>
        <w:spacing w:after="0"/>
        <w:tabs>
          <w:tab w:leader="none" w:pos="1860"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COBRA Premiums</w:t>
      </w:r>
      <w:r>
        <w:rPr>
          <w:rFonts w:ascii="Arial" w:cs="Arial" w:eastAsia="Arial" w:hAnsi="Arial"/>
          <w:sz w:val="16"/>
          <w:szCs w:val="16"/>
          <w:color w:val="auto"/>
        </w:rPr>
        <w:t>. Subject to the Executive’s copayment of premium amounts at the applicable active employees’ rate and</w:t>
      </w:r>
    </w:p>
    <w:p>
      <w:pPr>
        <w:spacing w:after="0" w:line="46" w:lineRule="exact"/>
        <w:rPr>
          <w:sz w:val="20"/>
          <w:szCs w:val="20"/>
          <w:color w:val="auto"/>
        </w:rPr>
      </w:pPr>
    </w:p>
    <w:p>
      <w:pPr>
        <w:ind w:left="100" w:right="60"/>
        <w:spacing w:after="0" w:line="269" w:lineRule="auto"/>
        <w:rPr>
          <w:sz w:val="20"/>
          <w:szCs w:val="20"/>
          <w:color w:val="auto"/>
        </w:rPr>
      </w:pPr>
      <w:r>
        <w:rPr>
          <w:rFonts w:ascii="Arial" w:cs="Arial" w:eastAsia="Arial" w:hAnsi="Arial"/>
          <w:sz w:val="18"/>
          <w:szCs w:val="18"/>
          <w:color w:val="auto"/>
        </w:rPr>
        <w:t>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eighteen (18)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220" w:lineRule="exact"/>
        <w:rPr>
          <w:sz w:val="20"/>
          <w:szCs w:val="20"/>
          <w:color w:val="auto"/>
        </w:rPr>
      </w:pPr>
    </w:p>
    <w:p>
      <w:pPr>
        <w:ind w:left="100" w:right="40" w:firstLine="1489"/>
        <w:spacing w:after="0" w:line="287" w:lineRule="auto"/>
        <w:tabs>
          <w:tab w:leader="none" w:pos="1826"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 Vesting Date</w:t>
      </w:r>
      <w:r>
        <w:rPr>
          <w:rFonts w:ascii="Arial" w:cs="Arial" w:eastAsia="Arial" w:hAnsi="Arial"/>
          <w:sz w:val="17"/>
          <w:szCs w:val="17"/>
          <w:color w:val="auto"/>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91" w:lineRule="exact"/>
        <w:rPr>
          <w:rFonts w:ascii="Arial" w:cs="Arial" w:eastAsia="Arial" w:hAnsi="Arial"/>
          <w:sz w:val="17"/>
          <w:szCs w:val="17"/>
          <w:color w:val="auto"/>
        </w:rPr>
      </w:pPr>
    </w:p>
    <w:p>
      <w:pPr>
        <w:ind w:left="100" w:right="480" w:firstLine="1505"/>
        <w:spacing w:after="0" w:line="266" w:lineRule="auto"/>
        <w:tabs>
          <w:tab w:leader="none" w:pos="1852"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Change in Control Payment Timing</w:t>
      </w:r>
      <w:r>
        <w:rPr>
          <w:rFonts w:ascii="Arial" w:cs="Arial" w:eastAsia="Arial" w:hAnsi="Arial"/>
          <w:sz w:val="18"/>
          <w:szCs w:val="18"/>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449" w:right="479" w:bottom="1440" w:gutter="0" w:footer="0" w:header="0"/>
        </w:sectPr>
      </w:pPr>
    </w:p>
    <w:bookmarkStart w:id="104" w:name="page105"/>
    <w:bookmarkEnd w:id="104"/>
    <w:p>
      <w:pPr>
        <w:ind w:left="100"/>
        <w:spacing w:after="0"/>
        <w:rPr>
          <w:sz w:val="20"/>
          <w:szCs w:val="20"/>
          <w:color w:val="auto"/>
        </w:rPr>
      </w:pPr>
      <w:r>
        <w:rPr>
          <w:rFonts w:ascii="Arial" w:cs="Arial" w:eastAsia="Arial" w:hAnsi="Arial"/>
          <w:sz w:val="17"/>
          <w:szCs w:val="17"/>
          <w:color w:val="auto"/>
        </w:rPr>
        <w:t>meaning of Section 409A of the Code, shall be paid or commence to be paid in the second calendar year by the last day of such 60-day period.</w:t>
      </w:r>
    </w:p>
    <w:p>
      <w:pPr>
        <w:spacing w:after="0" w:line="277" w:lineRule="exact"/>
        <w:rPr>
          <w:sz w:val="20"/>
          <w:szCs w:val="20"/>
          <w:color w:val="auto"/>
        </w:rPr>
      </w:pPr>
    </w:p>
    <w:p>
      <w:pPr>
        <w:ind w:left="1040" w:hanging="183"/>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 w:firstLine="1489"/>
        <w:spacing w:after="0" w:line="304" w:lineRule="auto"/>
        <w:tabs>
          <w:tab w:leader="none" w:pos="182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6"/>
          <w:szCs w:val="16"/>
          <w:b w:val="1"/>
          <w:bCs w:val="1"/>
          <w:i w:val="1"/>
          <w:iCs w:val="1"/>
          <w:u w:val="single" w:color="auto"/>
          <w:color w:val="auto"/>
        </w:rPr>
        <w:t>Aggregate</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Payments</w:t>
      </w:r>
      <w:r>
        <w:rPr>
          <w:rFonts w:ascii="Arial" w:cs="Arial" w:eastAsia="Arial" w:hAnsi="Arial"/>
          <w:sz w:val="16"/>
          <w:szCs w:val="16"/>
          <w:color w:val="auto"/>
        </w:rPr>
        <w:t>”), would be subject to the excise tax imposed by Section 4999 of the Code, then the Aggregate Payments shall be reduced (but not below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267" w:lineRule="exact"/>
        <w:rPr>
          <w:rFonts w:ascii="Arial" w:cs="Arial" w:eastAsia="Arial" w:hAnsi="Arial"/>
          <w:sz w:val="16"/>
          <w:szCs w:val="16"/>
          <w:color w:val="auto"/>
        </w:rPr>
      </w:pPr>
    </w:p>
    <w:p>
      <w:pPr>
        <w:ind w:left="100" w:right="40" w:firstLine="1505"/>
        <w:spacing w:after="0" w:line="271" w:lineRule="auto"/>
        <w:tabs>
          <w:tab w:leader="none" w:pos="1852" w:val="left"/>
        </w:tabs>
        <w:numPr>
          <w:ilvl w:val="2"/>
          <w:numId w:val="37"/>
        </w:numPr>
        <w:rPr>
          <w:rFonts w:ascii="Arial" w:cs="Arial" w:eastAsia="Arial" w:hAnsi="Arial"/>
          <w:sz w:val="18"/>
          <w:szCs w:val="18"/>
          <w:color w:val="auto"/>
        </w:rPr>
      </w:pPr>
      <w:r>
        <w:rPr>
          <w:rFonts w:ascii="Arial" w:cs="Arial" w:eastAsia="Arial" w:hAnsi="Arial"/>
          <w:sz w:val="18"/>
          <w:szCs w:val="18"/>
          <w:color w:val="auto"/>
        </w:rPr>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217" w:lineRule="exact"/>
        <w:rPr>
          <w:rFonts w:ascii="Arial" w:cs="Arial" w:eastAsia="Arial" w:hAnsi="Arial"/>
          <w:sz w:val="18"/>
          <w:szCs w:val="18"/>
          <w:color w:val="auto"/>
        </w:rPr>
      </w:pPr>
    </w:p>
    <w:p>
      <w:pPr>
        <w:ind w:left="100" w:firstLine="1505"/>
        <w:spacing w:after="0" w:line="285" w:lineRule="auto"/>
        <w:tabs>
          <w:tab w:leader="none" w:pos="1842" w:val="left"/>
        </w:tabs>
        <w:numPr>
          <w:ilvl w:val="2"/>
          <w:numId w:val="37"/>
        </w:numPr>
        <w:rPr>
          <w:rFonts w:ascii="Arial" w:cs="Arial" w:eastAsia="Arial" w:hAnsi="Arial"/>
          <w:sz w:val="17"/>
          <w:szCs w:val="17"/>
          <w:color w:val="auto"/>
        </w:rPr>
      </w:pPr>
      <w:r>
        <w:rPr>
          <w:rFonts w:ascii="Arial" w:cs="Arial" w:eastAsia="Arial" w:hAnsi="Arial"/>
          <w:sz w:val="17"/>
          <w:szCs w:val="17"/>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7"/>
          <w:szCs w:val="17"/>
          <w:b w:val="1"/>
          <w:bCs w:val="1"/>
          <w:i w:val="1"/>
          <w:iCs w:val="1"/>
          <w:color w:val="auto"/>
        </w:rPr>
        <w:t>Independent Advisors</w:t>
      </w:r>
      <w:r>
        <w:rPr>
          <w:rFonts w:ascii="Arial" w:cs="Arial" w:eastAsia="Arial" w:hAnsi="Arial"/>
          <w:sz w:val="17"/>
          <w:szCs w:val="17"/>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208" w:lineRule="exact"/>
        <w:rPr>
          <w:rFonts w:ascii="Arial" w:cs="Arial" w:eastAsia="Arial" w:hAnsi="Arial"/>
          <w:sz w:val="17"/>
          <w:szCs w:val="17"/>
          <w:color w:val="auto"/>
        </w:rPr>
      </w:pPr>
    </w:p>
    <w:p>
      <w:pPr>
        <w:ind w:left="1040" w:hanging="183"/>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00" w:firstLine="1505"/>
        <w:spacing w:after="0" w:line="281" w:lineRule="auto"/>
        <w:tabs>
          <w:tab w:leader="none" w:pos="1843" w:val="left"/>
        </w:tabs>
        <w:numPr>
          <w:ilvl w:val="2"/>
          <w:numId w:val="38"/>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 409A(a)(2)(B)(i) of the</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8</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368" w:right="519" w:bottom="1440" w:gutter="0" w:footer="0" w:header="0"/>
        </w:sectPr>
      </w:pPr>
    </w:p>
    <w:bookmarkStart w:id="105" w:name="page106"/>
    <w:bookmarkEnd w:id="105"/>
    <w:p>
      <w:pPr>
        <w:jc w:val="both"/>
        <w:ind w:left="100"/>
        <w:spacing w:after="0" w:line="296" w:lineRule="auto"/>
        <w:rPr>
          <w:sz w:val="20"/>
          <w:szCs w:val="20"/>
          <w:color w:val="auto"/>
        </w:rPr>
      </w:pPr>
      <w:r>
        <w:rPr>
          <w:rFonts w:ascii="Arial" w:cs="Arial" w:eastAsia="Arial" w:hAnsi="Arial"/>
          <w:sz w:val="17"/>
          <w:szCs w:val="17"/>
          <w:color w:val="auto"/>
        </w:rPr>
        <w:t>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97" w:lineRule="exact"/>
        <w:rPr>
          <w:sz w:val="20"/>
          <w:szCs w:val="20"/>
          <w:color w:val="auto"/>
        </w:rPr>
      </w:pPr>
    </w:p>
    <w:p>
      <w:pPr>
        <w:ind w:left="100" w:firstLine="1505"/>
        <w:spacing w:after="0" w:line="311" w:lineRule="auto"/>
        <w:tabs>
          <w:tab w:leader="none" w:pos="185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6" w:lineRule="exact"/>
        <w:rPr>
          <w:rFonts w:ascii="Arial" w:cs="Arial" w:eastAsia="Arial" w:hAnsi="Arial"/>
          <w:sz w:val="16"/>
          <w:szCs w:val="16"/>
          <w:color w:val="auto"/>
        </w:rPr>
      </w:pPr>
    </w:p>
    <w:p>
      <w:pPr>
        <w:ind w:left="100" w:right="120" w:firstLine="1505"/>
        <w:spacing w:after="0" w:line="296" w:lineRule="auto"/>
        <w:tabs>
          <w:tab w:leader="none" w:pos="1842" w:val="left"/>
        </w:tabs>
        <w:numPr>
          <w:ilvl w:val="1"/>
          <w:numId w:val="39"/>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264" w:lineRule="exact"/>
        <w:rPr>
          <w:rFonts w:ascii="Arial" w:cs="Arial" w:eastAsia="Arial" w:hAnsi="Arial"/>
          <w:sz w:val="17"/>
          <w:szCs w:val="17"/>
          <w:color w:val="auto"/>
        </w:rPr>
      </w:pPr>
    </w:p>
    <w:p>
      <w:pPr>
        <w:ind w:left="100" w:right="60" w:firstLine="1505"/>
        <w:spacing w:after="0" w:line="287" w:lineRule="auto"/>
        <w:tabs>
          <w:tab w:leader="none" w:pos="1852"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76" w:lineRule="exact"/>
        <w:rPr>
          <w:rFonts w:ascii="Arial" w:cs="Arial" w:eastAsia="Arial" w:hAnsi="Arial"/>
          <w:sz w:val="17"/>
          <w:szCs w:val="17"/>
          <w:color w:val="auto"/>
        </w:rPr>
      </w:pPr>
    </w:p>
    <w:p>
      <w:pPr>
        <w:ind w:left="100" w:right="140" w:firstLine="1505"/>
        <w:spacing w:after="0" w:line="279" w:lineRule="auto"/>
        <w:tabs>
          <w:tab w:leader="none" w:pos="1842"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209" w:lineRule="exact"/>
        <w:rPr>
          <w:rFonts w:ascii="Arial" w:cs="Arial" w:eastAsia="Arial" w:hAnsi="Arial"/>
          <w:sz w:val="18"/>
          <w:szCs w:val="18"/>
          <w:color w:val="auto"/>
        </w:rPr>
      </w:pPr>
    </w:p>
    <w:p>
      <w:pPr>
        <w:ind w:left="1040" w:hanging="183"/>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0" w:right="540" w:firstLine="1505"/>
        <w:spacing w:after="0" w:line="314" w:lineRule="auto"/>
        <w:tabs>
          <w:tab w:leader="none" w:pos="1842"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Restrictive Covenants Agreement</w:t>
      </w:r>
      <w:r>
        <w:rPr>
          <w:rFonts w:ascii="Arial" w:cs="Arial" w:eastAsia="Arial" w:hAnsi="Arial"/>
          <w:sz w:val="16"/>
          <w:szCs w:val="16"/>
          <w:color w:val="auto"/>
        </w:rPr>
        <w:t>. As a condition of entering into this Agreement, Executive agrees to the terms of the Employee Proprietary Information and Inventions Assignment Agreement, dated August 5, 2021 between the Company and the Executive (the “</w:t>
      </w:r>
      <w:r>
        <w:rPr>
          <w:rFonts w:ascii="Arial" w:cs="Arial" w:eastAsia="Arial" w:hAnsi="Arial"/>
          <w:sz w:val="16"/>
          <w:szCs w:val="16"/>
          <w:b w:val="1"/>
          <w:bCs w:val="1"/>
          <w:i w:val="1"/>
          <w:iCs w:val="1"/>
          <w:u w:val="single" w:color="auto"/>
          <w:color w:val="auto"/>
        </w:rPr>
        <w:t>Restrictive Covenants Agreement</w:t>
      </w:r>
      <w:r>
        <w:rPr>
          <w:rFonts w:ascii="Arial" w:cs="Arial" w:eastAsia="Arial" w:hAnsi="Arial"/>
          <w:sz w:val="16"/>
          <w:szCs w:val="16"/>
          <w:color w:val="auto"/>
        </w:rPr>
        <w:t>”) attached hereto as Appendix C. For purposes of this Agreement, the obligations in this Section 9 and those that arise in the Restrictive Covenants Agreement and any other agreement relating to confidentiality, assignment of inventions, or other restrictive covenants that may later be agreed to by the Executive shall collectively be referred to as the “</w:t>
      </w:r>
      <w:r>
        <w:rPr>
          <w:rFonts w:ascii="Arial" w:cs="Arial" w:eastAsia="Arial" w:hAnsi="Arial"/>
          <w:sz w:val="16"/>
          <w:szCs w:val="16"/>
          <w:b w:val="1"/>
          <w:bCs w:val="1"/>
          <w:i w:val="1"/>
          <w:iCs w:val="1"/>
          <w:u w:val="single" w:color="auto"/>
          <w:color w:val="auto"/>
        </w:rPr>
        <w:t>Continuing Obligations</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100" w:right="180" w:firstLine="1505"/>
        <w:spacing w:after="0" w:line="266" w:lineRule="auto"/>
        <w:tabs>
          <w:tab w:leader="none" w:pos="185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The Executive hereby confirms that, except with respect to any agreements entered into by Executive in connection with the Approved Outside Activities,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9</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368" w:right="519" w:bottom="1440" w:gutter="0" w:footer="0" w:header="0"/>
        </w:sectPr>
      </w:pPr>
    </w:p>
    <w:bookmarkStart w:id="106" w:name="page107"/>
    <w:bookmarkEnd w:id="106"/>
    <w:p>
      <w:pPr>
        <w:ind w:left="100" w:right="140"/>
        <w:spacing w:after="0" w:line="303" w:lineRule="auto"/>
        <w:rPr>
          <w:sz w:val="20"/>
          <w:szCs w:val="20"/>
          <w:color w:val="auto"/>
        </w:rPr>
      </w:pPr>
      <w:r>
        <w:rPr>
          <w:rFonts w:ascii="Arial" w:cs="Arial" w:eastAsia="Arial" w:hAnsi="Arial"/>
          <w:sz w:val="17"/>
          <w:szCs w:val="17"/>
          <w:color w:val="auto"/>
        </w:rPr>
        <w:t>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91" w:lineRule="exact"/>
        <w:rPr>
          <w:sz w:val="20"/>
          <w:szCs w:val="20"/>
          <w:color w:val="auto"/>
        </w:rPr>
      </w:pPr>
    </w:p>
    <w:p>
      <w:pPr>
        <w:ind w:left="100" w:right="100" w:firstLine="1505"/>
        <w:spacing w:after="0" w:line="285" w:lineRule="auto"/>
        <w:tabs>
          <w:tab w:leader="none" w:pos="1842"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provided, however, that Executive shall abstain from involvement in any dispute involving the Company and Adimab, LLC, including litigation and cooperation on behalf of Adimab, LLC.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36" w:lineRule="exact"/>
        <w:rPr>
          <w:rFonts w:ascii="Arial" w:cs="Arial" w:eastAsia="Arial" w:hAnsi="Arial"/>
          <w:sz w:val="17"/>
          <w:szCs w:val="17"/>
          <w:color w:val="auto"/>
        </w:rPr>
      </w:pPr>
    </w:p>
    <w:p>
      <w:pPr>
        <w:ind w:left="100" w:firstLine="1505"/>
        <w:spacing w:after="0" w:line="272" w:lineRule="auto"/>
        <w:tabs>
          <w:tab w:leader="none" w:pos="185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217" w:lineRule="exact"/>
        <w:rPr>
          <w:rFonts w:ascii="Arial" w:cs="Arial" w:eastAsia="Arial" w:hAnsi="Arial"/>
          <w:sz w:val="18"/>
          <w:szCs w:val="18"/>
          <w:color w:val="auto"/>
        </w:rPr>
      </w:pPr>
    </w:p>
    <w:p>
      <w:pPr>
        <w:ind w:left="100" w:right="160" w:firstLine="756"/>
        <w:spacing w:after="0" w:line="275" w:lineRule="auto"/>
        <w:tabs>
          <w:tab w:leader="none" w:pos="111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parties hereby consent to the jurisdiction of the state and federal courts of the State of New Hampshire.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98" w:lineRule="exact"/>
        <w:rPr>
          <w:rFonts w:ascii="Arial" w:cs="Arial" w:eastAsia="Arial" w:hAnsi="Arial"/>
          <w:sz w:val="18"/>
          <w:szCs w:val="18"/>
          <w:color w:val="auto"/>
        </w:rPr>
      </w:pPr>
    </w:p>
    <w:p>
      <w:pPr>
        <w:ind w:left="100" w:right="80" w:firstLine="756"/>
        <w:spacing w:after="0" w:line="279" w:lineRule="auto"/>
        <w:tabs>
          <w:tab w:leader="none" w:pos="111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Prior Agreement, provided that the Restrictive Covenants Agreement and the agreements governing any Equity Awards remain in full force and effect.</w:t>
      </w:r>
    </w:p>
    <w:p>
      <w:pPr>
        <w:spacing w:after="0" w:line="277" w:lineRule="exact"/>
        <w:rPr>
          <w:rFonts w:ascii="Arial" w:cs="Arial" w:eastAsia="Arial" w:hAnsi="Arial"/>
          <w:sz w:val="18"/>
          <w:szCs w:val="18"/>
          <w:color w:val="auto"/>
        </w:rPr>
      </w:pPr>
    </w:p>
    <w:p>
      <w:pPr>
        <w:ind w:left="100" w:right="140" w:firstLine="756"/>
        <w:spacing w:after="0" w:line="275" w:lineRule="auto"/>
        <w:tabs>
          <w:tab w:leader="none" w:pos="111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212" w:lineRule="exact"/>
        <w:rPr>
          <w:rFonts w:ascii="Arial" w:cs="Arial" w:eastAsia="Arial" w:hAnsi="Arial"/>
          <w:sz w:val="18"/>
          <w:szCs w:val="18"/>
          <w:color w:val="auto"/>
        </w:rPr>
      </w:pPr>
    </w:p>
    <w:p>
      <w:pPr>
        <w:ind w:left="100" w:right="100" w:firstLine="757"/>
        <w:spacing w:after="0" w:line="281" w:lineRule="auto"/>
        <w:tabs>
          <w:tab w:leader="none" w:pos="1119"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10</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68" w:right="499" w:bottom="1440" w:gutter="0" w:footer="0" w:header="0"/>
        </w:sectPr>
      </w:pPr>
    </w:p>
    <w:bookmarkStart w:id="107" w:name="page108"/>
    <w:bookmarkEnd w:id="107"/>
    <w:p>
      <w:pPr>
        <w:ind w:left="100" w:right="20"/>
        <w:spacing w:after="0" w:line="287" w:lineRule="auto"/>
        <w:rPr>
          <w:sz w:val="20"/>
          <w:szCs w:val="20"/>
          <w:color w:val="auto"/>
        </w:rPr>
      </w:pPr>
      <w:r>
        <w:rPr>
          <w:rFonts w:ascii="Arial" w:cs="Arial" w:eastAsia="Arial" w:hAnsi="Arial"/>
          <w:sz w:val="17"/>
          <w:szCs w:val="17"/>
          <w:color w:val="auto"/>
        </w:rPr>
        <w:t>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5" w:lineRule="exact"/>
        <w:rPr>
          <w:sz w:val="20"/>
          <w:szCs w:val="20"/>
          <w:color w:val="auto"/>
        </w:rPr>
      </w:pPr>
    </w:p>
    <w:p>
      <w:pPr>
        <w:ind w:left="100" w:firstLine="757"/>
        <w:spacing w:after="0" w:line="319" w:lineRule="auto"/>
        <w:tabs>
          <w:tab w:leader="none" w:pos="1119"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50" w:lineRule="exact"/>
        <w:rPr>
          <w:rFonts w:ascii="Arial" w:cs="Arial" w:eastAsia="Arial" w:hAnsi="Arial"/>
          <w:sz w:val="16"/>
          <w:szCs w:val="16"/>
          <w:color w:val="auto"/>
        </w:rPr>
      </w:pPr>
    </w:p>
    <w:p>
      <w:pPr>
        <w:ind w:left="100" w:right="100" w:firstLine="756"/>
        <w:spacing w:after="0" w:line="303" w:lineRule="auto"/>
        <w:tabs>
          <w:tab w:leader="none" w:pos="1118"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77" w:lineRule="exact"/>
        <w:rPr>
          <w:rFonts w:ascii="Arial" w:cs="Arial" w:eastAsia="Arial" w:hAnsi="Arial"/>
          <w:sz w:val="17"/>
          <w:szCs w:val="17"/>
          <w:color w:val="auto"/>
        </w:rPr>
      </w:pPr>
    </w:p>
    <w:p>
      <w:pPr>
        <w:ind w:left="100" w:right="120" w:firstLine="756"/>
        <w:spacing w:after="0" w:line="303" w:lineRule="auto"/>
        <w:tabs>
          <w:tab w:leader="none" w:pos="1118"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91" w:lineRule="exact"/>
        <w:rPr>
          <w:rFonts w:ascii="Arial" w:cs="Arial" w:eastAsia="Arial" w:hAnsi="Arial"/>
          <w:sz w:val="17"/>
          <w:szCs w:val="17"/>
          <w:color w:val="auto"/>
        </w:rPr>
      </w:pPr>
    </w:p>
    <w:p>
      <w:pPr>
        <w:ind w:left="1120" w:hanging="264"/>
        <w:spacing w:after="0"/>
        <w:tabs>
          <w:tab w:leader="none" w:pos="112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requests, demands and other communications provided for by this Agreement shall be sufficient if in writing and</w:t>
      </w:r>
    </w:p>
    <w:p>
      <w:pPr>
        <w:spacing w:after="0" w:line="46" w:lineRule="exact"/>
        <w:rPr>
          <w:rFonts w:ascii="Arial" w:cs="Arial" w:eastAsia="Arial" w:hAnsi="Arial"/>
          <w:sz w:val="16"/>
          <w:szCs w:val="16"/>
          <w:color w:val="auto"/>
        </w:rPr>
      </w:pPr>
    </w:p>
    <w:p>
      <w:pPr>
        <w:jc w:val="both"/>
        <w:ind w:left="100" w:right="160" w:firstLine="8"/>
        <w:spacing w:after="0" w:line="279" w:lineRule="auto"/>
        <w:tabs>
          <w:tab w:leader="none" w:pos="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w:t>
      </w:r>
    </w:p>
    <w:p>
      <w:pPr>
        <w:spacing w:after="0" w:line="208" w:lineRule="exact"/>
        <w:rPr>
          <w:rFonts w:ascii="Arial" w:cs="Arial" w:eastAsia="Arial" w:hAnsi="Arial"/>
          <w:sz w:val="18"/>
          <w:szCs w:val="18"/>
          <w:color w:val="auto"/>
        </w:rPr>
      </w:pPr>
    </w:p>
    <w:p>
      <w:pPr>
        <w:ind w:left="100" w:right="700" w:firstLine="756"/>
        <w:spacing w:after="0" w:line="293" w:lineRule="auto"/>
        <w:tabs>
          <w:tab w:leader="none" w:pos="1118"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83" w:lineRule="exact"/>
        <w:rPr>
          <w:rFonts w:ascii="Arial" w:cs="Arial" w:eastAsia="Arial" w:hAnsi="Arial"/>
          <w:sz w:val="18"/>
          <w:szCs w:val="18"/>
          <w:color w:val="auto"/>
        </w:rPr>
      </w:pPr>
    </w:p>
    <w:p>
      <w:pPr>
        <w:ind w:left="100" w:right="140" w:firstLine="757"/>
        <w:spacing w:after="0" w:line="304" w:lineRule="auto"/>
        <w:tabs>
          <w:tab w:leader="none" w:pos="1119"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he reasonably believed to be in or not opposed to the best interests of the Company and, with respect to any criminal action or proceeding, had no reasonable cause to believe that his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 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11</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368" w:right="559" w:bottom="1440" w:gutter="0" w:footer="0" w:header="0"/>
        </w:sectPr>
      </w:pPr>
    </w:p>
    <w:bookmarkStart w:id="108" w:name="page109"/>
    <w:bookmarkEnd w:id="108"/>
    <w:p>
      <w:pPr>
        <w:ind w:left="100" w:firstLine="756"/>
        <w:spacing w:after="0" w:line="319" w:lineRule="auto"/>
        <w:tabs>
          <w:tab w:leader="none" w:pos="111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82" w:lineRule="exact"/>
        <w:rPr>
          <w:rFonts w:ascii="Arial" w:cs="Arial" w:eastAsia="Arial" w:hAnsi="Arial"/>
          <w:sz w:val="16"/>
          <w:szCs w:val="16"/>
          <w:color w:val="auto"/>
        </w:rPr>
      </w:pPr>
    </w:p>
    <w:p>
      <w:pPr>
        <w:ind w:left="100" w:right="80" w:firstLine="757"/>
        <w:spacing w:after="0" w:line="287" w:lineRule="auto"/>
        <w:tabs>
          <w:tab w:leader="none" w:pos="1119"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191" w:lineRule="exact"/>
        <w:rPr>
          <w:rFonts w:ascii="Arial" w:cs="Arial" w:eastAsia="Arial" w:hAnsi="Arial"/>
          <w:sz w:val="17"/>
          <w:szCs w:val="17"/>
          <w:color w:val="auto"/>
        </w:rPr>
      </w:pPr>
    </w:p>
    <w:p>
      <w:pPr>
        <w:ind w:left="1120" w:hanging="263"/>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0" w:right="460" w:firstLine="1505"/>
        <w:spacing w:after="0" w:line="296" w:lineRule="auto"/>
        <w:tabs>
          <w:tab w:leader="none" w:pos="1842"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This Agreement will be governed by and construed in accordance with applicable federal laws and, to the extent not inconsistent therewith or preempted thereby, with the laws of the State of New Hampshire, including any applicable statutes of limitation, without regard to any otherwise applicable principles of conflicts of laws or choice of law rules (whether of the State of New Hampshire or any other jurisdiction) that would result in the application of the substantive or procedural rules or law of any other jurisdiction.</w:t>
      </w:r>
    </w:p>
    <w:p>
      <w:pPr>
        <w:spacing w:after="0" w:line="196" w:lineRule="exact"/>
        <w:rPr>
          <w:rFonts w:ascii="Arial" w:cs="Arial" w:eastAsia="Arial" w:hAnsi="Arial"/>
          <w:sz w:val="17"/>
          <w:szCs w:val="17"/>
          <w:color w:val="auto"/>
        </w:rPr>
      </w:pPr>
    </w:p>
    <w:p>
      <w:pPr>
        <w:ind w:left="100" w:right="220" w:firstLine="1505"/>
        <w:spacing w:after="0" w:line="272" w:lineRule="auto"/>
        <w:tabs>
          <w:tab w:leader="none" w:pos="185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District of Massachusetts, or if that court does not have or will not accept jurisdiction, in any court of general jurisdiction in the Commonwealth of Massachusetts,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204" w:lineRule="exact"/>
        <w:rPr>
          <w:rFonts w:ascii="Arial" w:cs="Arial" w:eastAsia="Arial" w:hAnsi="Arial"/>
          <w:sz w:val="18"/>
          <w:szCs w:val="18"/>
          <w:color w:val="auto"/>
        </w:rPr>
      </w:pPr>
    </w:p>
    <w:p>
      <w:pPr>
        <w:ind w:left="100" w:right="40" w:firstLine="1505"/>
        <w:spacing w:after="0" w:line="275" w:lineRule="auto"/>
        <w:tabs>
          <w:tab w:leader="none" w:pos="18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212" w:lineRule="exact"/>
        <w:rPr>
          <w:rFonts w:ascii="Arial" w:cs="Arial" w:eastAsia="Arial" w:hAnsi="Arial"/>
          <w:sz w:val="18"/>
          <w:szCs w:val="18"/>
          <w:color w:val="auto"/>
        </w:rPr>
      </w:pPr>
    </w:p>
    <w:p>
      <w:pPr>
        <w:ind w:left="100" w:right="60" w:firstLine="1505"/>
        <w:spacing w:after="0" w:line="306" w:lineRule="auto"/>
        <w:tabs>
          <w:tab w:leader="none" w:pos="185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92" w:lineRule="exact"/>
        <w:rPr>
          <w:rFonts w:ascii="Arial" w:cs="Arial" w:eastAsia="Arial" w:hAnsi="Arial"/>
          <w:sz w:val="16"/>
          <w:szCs w:val="16"/>
          <w:color w:val="auto"/>
        </w:rPr>
      </w:pPr>
    </w:p>
    <w:p>
      <w:pPr>
        <w:ind w:left="100" w:right="220" w:firstLine="757"/>
        <w:spacing w:after="0" w:line="266" w:lineRule="auto"/>
        <w:tabs>
          <w:tab w:leader="none" w:pos="111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Executive shall be required to repay incentive pay to the Company as described in this Section 23, and the Company may offset payments otherwise due and payable under this Agreement by the</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68" w:right="479" w:bottom="1440" w:gutter="0" w:footer="0" w:header="0"/>
        </w:sectPr>
      </w:pPr>
    </w:p>
    <w:bookmarkStart w:id="109" w:name="page110"/>
    <w:bookmarkEnd w:id="109"/>
    <w:p>
      <w:pPr>
        <w:ind w:left="100"/>
        <w:spacing w:after="0" w:line="306" w:lineRule="auto"/>
        <w:rPr>
          <w:sz w:val="20"/>
          <w:szCs w:val="20"/>
          <w:color w:val="auto"/>
        </w:rPr>
      </w:pPr>
      <w:r>
        <w:rPr>
          <w:rFonts w:ascii="Arial" w:cs="Arial" w:eastAsia="Arial" w:hAnsi="Arial"/>
          <w:sz w:val="16"/>
          <w:szCs w:val="16"/>
          <w:color w:val="auto"/>
        </w:rPr>
        <w:t>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 (i) 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w:t>
      </w:r>
    </w:p>
    <w:p>
      <w:pPr>
        <w:spacing w:after="0" w:line="3" w:lineRule="exact"/>
        <w:rPr>
          <w:sz w:val="20"/>
          <w:szCs w:val="20"/>
          <w:color w:val="auto"/>
        </w:rPr>
      </w:pPr>
    </w:p>
    <w:p>
      <w:pPr>
        <w:ind w:left="100" w:right="60" w:firstLine="756"/>
        <w:spacing w:after="0" w:line="293"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00" w:lineRule="exact"/>
        <w:rPr>
          <w:sz w:val="20"/>
          <w:szCs w:val="20"/>
          <w:color w:val="auto"/>
        </w:rPr>
      </w:pPr>
    </w:p>
    <w:p>
      <w:pPr>
        <w:spacing w:after="0" w:line="326"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18"/>
          <w:szCs w:val="18"/>
          <w:color w:val="auto"/>
        </w:rPr>
        <w:t>By:</w:t>
        <w:tab/>
        <w:t>/s/ René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23495</wp:posOffset>
            </wp:positionV>
            <wp:extent cx="32315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René Russo</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Chair of the Board of Directors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3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Tillman Gerngross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23495</wp:posOffset>
            </wp:positionV>
            <wp:extent cx="35661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Tillman Gerngross</w:t>
      </w: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368" w:right="679" w:bottom="1440" w:gutter="0" w:footer="0" w:header="0"/>
        </w:sectPr>
      </w:pPr>
    </w:p>
    <w:bookmarkStart w:id="110" w:name="page111"/>
    <w:bookmarkEnd w:id="110"/>
    <w:p>
      <w:pPr>
        <w:ind w:left="5140"/>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Outside Activities</w:t>
      </w:r>
    </w:p>
    <w:p>
      <w:pPr>
        <w:spacing w:after="0" w:line="297" w:lineRule="exact"/>
        <w:rPr>
          <w:sz w:val="20"/>
          <w:szCs w:val="20"/>
          <w:color w:val="auto"/>
        </w:rPr>
      </w:pPr>
    </w:p>
    <w:p>
      <w:pPr>
        <w:ind w:left="440" w:right="2379" w:firstLine="1"/>
        <w:spacing w:after="0" w:line="313" w:lineRule="auto"/>
        <w:rPr>
          <w:sz w:val="20"/>
          <w:szCs w:val="20"/>
          <w:color w:val="auto"/>
        </w:rPr>
      </w:pPr>
      <w:r>
        <w:rPr>
          <w:rFonts w:ascii="Arial" w:cs="Arial" w:eastAsia="Arial" w:hAnsi="Arial"/>
          <w:sz w:val="18"/>
          <w:szCs w:val="18"/>
          <w:color w:val="auto"/>
        </w:rPr>
        <w:t>Executive is a co-founder of Adimab, LLC and serves as its Chief Executive Officer and as a director Executive is a co-founder and Chairman of Avitide, Inc. Executive is a co-founder and Chairman of Alector, Inc.</w:t>
      </w:r>
    </w:p>
    <w:p>
      <w:pPr>
        <w:ind w:left="440"/>
        <w:spacing w:after="0"/>
        <w:rPr>
          <w:sz w:val="20"/>
          <w:szCs w:val="20"/>
          <w:color w:val="auto"/>
        </w:rPr>
      </w:pPr>
      <w:r>
        <w:rPr>
          <w:rFonts w:ascii="Arial" w:cs="Arial" w:eastAsia="Arial" w:hAnsi="Arial"/>
          <w:sz w:val="18"/>
          <w:szCs w:val="18"/>
          <w:color w:val="auto"/>
        </w:rPr>
        <w:t>Executive is a co-founder and Chairman of Amagma,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co-founder and Chairman of Ankyra Therapeutics,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Venture Partner at SV Life Sciences Advisors,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full professor at the Thayer School of Engineering, at Dartmouth College</w:t>
      </w:r>
    </w:p>
    <w:p>
      <w:pPr>
        <w:spacing w:after="0" w:line="2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32" w:right="1440" w:bottom="1440" w:gutter="0" w:footer="0" w:header="0"/>
        </w:sectPr>
      </w:pPr>
    </w:p>
    <w:bookmarkStart w:id="111" w:name="page112"/>
    <w:bookmarkEnd w:id="111"/>
    <w:p>
      <w:pPr>
        <w:jc w:val="center"/>
        <w:ind w:right="-119"/>
        <w:spacing w:after="0"/>
        <w:rPr>
          <w:sz w:val="20"/>
          <w:szCs w:val="20"/>
          <w:color w:val="auto"/>
        </w:rPr>
      </w:pPr>
      <w:r>
        <w:rPr>
          <w:rFonts w:ascii="Arial" w:cs="Arial" w:eastAsia="Arial" w:hAnsi="Arial"/>
          <w:sz w:val="18"/>
          <w:szCs w:val="18"/>
          <w:b w:val="1"/>
          <w:bCs w:val="1"/>
          <w:color w:val="auto"/>
        </w:rPr>
        <w:t>Appendix B</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SEPARATION AGREEMENT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[Address]</w:t>
      </w: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 Separation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[Name]:</w:t>
      </w:r>
    </w:p>
    <w:p>
      <w:pPr>
        <w:spacing w:after="0" w:line="252" w:lineRule="exact"/>
        <w:rPr>
          <w:sz w:val="20"/>
          <w:szCs w:val="20"/>
          <w:color w:val="auto"/>
        </w:rPr>
      </w:pPr>
    </w:p>
    <w:p>
      <w:pPr>
        <w:ind w:left="120" w:right="140"/>
        <w:spacing w:after="0" w:line="293"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193" w:lineRule="exact"/>
        <w:rPr>
          <w:sz w:val="20"/>
          <w:szCs w:val="20"/>
          <w:color w:val="auto"/>
        </w:rPr>
      </w:pPr>
    </w:p>
    <w:p>
      <w:pPr>
        <w:ind w:left="280" w:hanging="172"/>
        <w:spacing w:after="0"/>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265" w:lineRule="exact"/>
        <w:rPr>
          <w:rFonts w:ascii="Arial" w:cs="Arial" w:eastAsia="Arial" w:hAnsi="Arial"/>
          <w:sz w:val="18"/>
          <w:szCs w:val="18"/>
          <w:b w:val="1"/>
          <w:bCs w:val="1"/>
          <w:color w:val="auto"/>
        </w:rPr>
      </w:pPr>
    </w:p>
    <w:p>
      <w:pPr>
        <w:ind w:left="100" w:firstLine="8"/>
        <w:spacing w:after="0" w:line="297" w:lineRule="auto"/>
        <w:tabs>
          <w:tab w:leader="none" w:pos="30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Salary. </w:t>
      </w:r>
      <w:r>
        <w:rPr>
          <w:rFonts w:ascii="Arial" w:cs="Arial" w:eastAsia="Arial" w:hAnsi="Arial"/>
          <w:sz w:val="18"/>
          <w:szCs w:val="18"/>
          <w:color w:val="auto"/>
        </w:rPr>
        <w:t>On the Separation Date, the Company will pay you all accrued salary earned through the Separation Date, subject to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deductions and withholdings. You will receive these payments regardless of whether or not you sign this Agreement.</w:t>
      </w:r>
    </w:p>
    <w:p>
      <w:pPr>
        <w:spacing w:after="0" w:line="176" w:lineRule="exact"/>
        <w:rPr>
          <w:rFonts w:ascii="Arial" w:cs="Arial" w:eastAsia="Arial" w:hAnsi="Arial"/>
          <w:sz w:val="18"/>
          <w:szCs w:val="18"/>
          <w:b w:val="1"/>
          <w:bCs w:val="1"/>
          <w:color w:val="auto"/>
        </w:rPr>
      </w:pPr>
    </w:p>
    <w:p>
      <w:pPr>
        <w:ind w:left="100" w:firstLine="8"/>
        <w:spacing w:after="0" w:line="297" w:lineRule="auto"/>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194" w:lineRule="exact"/>
        <w:rPr>
          <w:sz w:val="20"/>
          <w:szCs w:val="20"/>
          <w:color w:val="auto"/>
        </w:rPr>
      </w:pPr>
    </w:p>
    <w:p>
      <w:pPr>
        <w:ind w:left="120" w:right="100" w:firstLine="749"/>
        <w:spacing w:after="0" w:line="292" w:lineRule="auto"/>
        <w:rPr>
          <w:sz w:val="20"/>
          <w:szCs w:val="20"/>
          <w:color w:val="auto"/>
        </w:rPr>
      </w:pPr>
      <w:r>
        <w:rPr>
          <w:rFonts w:ascii="Arial" w:cs="Arial" w:eastAsia="Arial" w:hAnsi="Arial"/>
          <w:sz w:val="17"/>
          <w:szCs w:val="17"/>
          <w:color w:val="auto"/>
        </w:rPr>
        <w:t>The Company is offering severance to you in reliance on Treasury Regulation Section 1.409A-1(b)(9) and the short term deferral exemption in Treasury Regulation Section 1.409A- 1(b)(4). Any payments made in reliance on Treasury Regulation Section 1.409A-1(b)(4) will be made not later than March 15, 20 .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-342265</wp:posOffset>
            </wp:positionV>
            <wp:extent cx="285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Benefit Plans.</w:t>
      </w:r>
    </w:p>
    <w:p>
      <w:pPr>
        <w:spacing w:after="0" w:line="256" w:lineRule="exact"/>
        <w:rPr>
          <w:sz w:val="20"/>
          <w:szCs w:val="20"/>
          <w:color w:val="auto"/>
        </w:rPr>
      </w:pPr>
    </w:p>
    <w:p>
      <w:pPr>
        <w:ind w:left="120" w:right="40"/>
        <w:spacing w:after="0" w:line="319"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21" w:lineRule="exact"/>
        <w:rPr>
          <w:sz w:val="20"/>
          <w:szCs w:val="20"/>
          <w:color w:val="auto"/>
        </w:rPr>
      </w:pPr>
    </w:p>
    <w:p>
      <w:pPr>
        <w:ind w:left="120" w:right="720"/>
        <w:spacing w:after="0" w:line="293" w:lineRule="auto"/>
        <w:rPr>
          <w:sz w:val="20"/>
          <w:szCs w:val="20"/>
          <w:color w:val="auto"/>
        </w:rPr>
      </w:pPr>
      <w:r>
        <w:rPr>
          <w:rFonts w:ascii="Arial" w:cs="Arial" w:eastAsia="Arial" w:hAnsi="Arial"/>
          <w:sz w:val="18"/>
          <w:szCs w:val="18"/>
          <w:color w:val="auto"/>
        </w:rPr>
        <w:t>Deductions for the 401(k) Plan will end with your last regular paycheck. You will receive information by mail concerning 401(k) plan rollover procedures should you be a participant in this program.</w:t>
      </w:r>
    </w:p>
    <w:p>
      <w:pPr>
        <w:spacing w:after="0" w:line="183" w:lineRule="exact"/>
        <w:rPr>
          <w:sz w:val="20"/>
          <w:szCs w:val="20"/>
          <w:color w:val="auto"/>
        </w:rPr>
      </w:pPr>
    </w:p>
    <w:p>
      <w:pPr>
        <w:ind w:left="120" w:right="20"/>
        <w:spacing w:after="0" w:line="293"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260" w:lineRule="exact"/>
        <w:rPr>
          <w:sz w:val="20"/>
          <w:szCs w:val="20"/>
          <w:color w:val="auto"/>
        </w:rPr>
      </w:pPr>
    </w:p>
    <w:p>
      <w:pPr>
        <w:ind w:left="100" w:right="20" w:firstLine="8"/>
        <w:spacing w:after="0" w:line="365" w:lineRule="auto"/>
        <w:tabs>
          <w:tab w:leader="none" w:pos="298"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purchase__________shares of the Company’s common stock, pursuant to the Company’s [correct</w:t>
      </w:r>
      <w:r>
        <w:rPr>
          <w:rFonts w:ascii="Arial" w:cs="Arial" w:eastAsia="Arial" w:hAnsi="Arial"/>
          <w:sz w:val="16"/>
          <w:szCs w:val="16"/>
          <w:b w:val="1"/>
          <w:bCs w:val="1"/>
          <w:color w:val="auto"/>
        </w:rPr>
        <w:t xml:space="preserve"> </w:t>
      </w:r>
      <w:r>
        <w:rPr>
          <w:rFonts w:ascii="Arial" w:cs="Arial" w:eastAsia="Arial" w:hAnsi="Arial"/>
          <w:sz w:val="16"/>
          <w:szCs w:val="16"/>
          <w:color w:val="auto"/>
        </w:rPr>
        <w:t>name of Stock or incentive plan] (the “Plan”). Under the terms of the Plan and your stock option grant, vesting will cease as of the Separation Date.</w:t>
      </w:r>
    </w:p>
    <w:p>
      <w:pPr>
        <w:spacing w:after="0" w:line="142" w:lineRule="exact"/>
        <w:rPr>
          <w:rFonts w:ascii="Arial" w:cs="Arial" w:eastAsia="Arial" w:hAnsi="Arial"/>
          <w:sz w:val="16"/>
          <w:szCs w:val="16"/>
          <w:b w:val="1"/>
          <w:bCs w:val="1"/>
          <w:color w:val="auto"/>
        </w:rPr>
      </w:pPr>
    </w:p>
    <w:p>
      <w:pPr>
        <w:ind w:left="100" w:right="20" w:firstLine="8"/>
        <w:spacing w:after="0" w:line="297" w:lineRule="auto"/>
        <w:tabs>
          <w:tab w:leader="none" w:pos="30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32" w:right="459" w:bottom="1440" w:gutter="0" w:footer="0" w:header="0"/>
        </w:sectPr>
      </w:pPr>
    </w:p>
    <w:bookmarkStart w:id="112" w:name="page113"/>
    <w:bookmarkEnd w:id="112"/>
    <w:p>
      <w:pPr>
        <w:jc w:val="both"/>
        <w:ind w:left="100" w:firstLine="8"/>
        <w:spacing w:after="0" w:line="281" w:lineRule="auto"/>
        <w:tabs>
          <w:tab w:leader="none" w:pos="32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204" w:lineRule="exact"/>
        <w:rPr>
          <w:rFonts w:ascii="Arial" w:cs="Arial" w:eastAsia="Arial" w:hAnsi="Arial"/>
          <w:sz w:val="18"/>
          <w:szCs w:val="18"/>
          <w:b w:val="1"/>
          <w:bCs w:val="1"/>
          <w:color w:val="auto"/>
        </w:rPr>
      </w:pPr>
    </w:p>
    <w:p>
      <w:pPr>
        <w:jc w:val="both"/>
        <w:ind w:left="100" w:firstLine="8"/>
        <w:spacing w:after="0" w:line="312" w:lineRule="auto"/>
        <w:tabs>
          <w:tab w:leader="none" w:pos="293"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By the Separation Date, you agree to return to the Company all Company documents (and all copies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Company property that you have had in your possession at any time, including, but not limited to, Company files, notes, drawings, records, business plans and forecasts, financial information, specifications, computer- 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Arial" w:cs="Arial" w:eastAsia="Arial" w:hAnsi="Arial"/>
          <w:sz w:val="16"/>
          <w:szCs w:val="16"/>
          <w:b w:val="1"/>
          <w:bCs w:val="1"/>
          <w:color w:val="auto"/>
        </w:rPr>
        <w:t>Receipt of</w:t>
      </w:r>
      <w:r>
        <w:rPr>
          <w:rFonts w:ascii="Arial" w:cs="Arial" w:eastAsia="Arial" w:hAnsi="Arial"/>
          <w:sz w:val="16"/>
          <w:szCs w:val="16"/>
          <w:color w:val="auto"/>
        </w:rPr>
        <w:t xml:space="preserve"> </w:t>
      </w:r>
      <w:r>
        <w:rPr>
          <w:rFonts w:ascii="Arial" w:cs="Arial" w:eastAsia="Arial" w:hAnsi="Arial"/>
          <w:sz w:val="16"/>
          <w:szCs w:val="16"/>
          <w:b w:val="1"/>
          <w:bCs w:val="1"/>
          <w:color w:val="auto"/>
        </w:rPr>
        <w:t>the severance benefits described in Section 3 of this Agreement is expressly conditioned upon return of all Company Property.</w:t>
      </w:r>
    </w:p>
    <w:p>
      <w:pPr>
        <w:spacing w:after="0" w:line="171" w:lineRule="exact"/>
        <w:rPr>
          <w:rFonts w:ascii="Arial" w:cs="Arial" w:eastAsia="Arial" w:hAnsi="Arial"/>
          <w:sz w:val="16"/>
          <w:szCs w:val="16"/>
          <w:b w:val="1"/>
          <w:bCs w:val="1"/>
          <w:color w:val="auto"/>
        </w:rPr>
      </w:pPr>
    </w:p>
    <w:p>
      <w:pPr>
        <w:jc w:val="both"/>
        <w:ind w:left="100" w:firstLine="8"/>
        <w:spacing w:after="0" w:line="286" w:lineRule="auto"/>
        <w:tabs>
          <w:tab w:leader="none" w:pos="329"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 Information and Post-Termination Obligations. </w:t>
      </w:r>
      <w:r>
        <w:rPr>
          <w:rFonts w:ascii="Arial" w:cs="Arial" w:eastAsia="Arial" w:hAnsi="Arial"/>
          <w:sz w:val="17"/>
          <w:szCs w:val="17"/>
          <w:color w:val="auto"/>
        </w:rPr>
        <w:t>Both during and after your employment you acknowledge your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205" w:lineRule="exact"/>
        <w:rPr>
          <w:rFonts w:ascii="Arial" w:cs="Arial" w:eastAsia="Arial" w:hAnsi="Arial"/>
          <w:sz w:val="17"/>
          <w:szCs w:val="17"/>
          <w:b w:val="1"/>
          <w:bCs w:val="1"/>
          <w:color w:val="auto"/>
        </w:rPr>
      </w:pPr>
    </w:p>
    <w:p>
      <w:pPr>
        <w:jc w:val="both"/>
        <w:ind w:left="100" w:firstLine="8"/>
        <w:spacing w:after="0" w:line="269" w:lineRule="auto"/>
        <w:tabs>
          <w:tab w:leader="none" w:pos="383"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Non-Compete. </w:t>
      </w:r>
      <w:r>
        <w:rPr>
          <w:rFonts w:ascii="Arial" w:cs="Arial" w:eastAsia="Arial" w:hAnsi="Arial"/>
          <w:sz w:val="18"/>
          <w:szCs w:val="18"/>
          <w:color w:val="auto"/>
        </w:rPr>
        <w:t>In exchange for the payments and other consideration under this Agreement, to which you would not otherwise be entitled, you</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provided, however, that the restriction in this Section 10 shall not apply to your employment or engagement with Adimab, LLC.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222" w:lineRule="exact"/>
        <w:rPr>
          <w:rFonts w:ascii="Arial" w:cs="Arial" w:eastAsia="Arial" w:hAnsi="Arial"/>
          <w:sz w:val="18"/>
          <w:szCs w:val="18"/>
          <w:b w:val="1"/>
          <w:bCs w:val="1"/>
          <w:color w:val="auto"/>
        </w:rPr>
      </w:pPr>
    </w:p>
    <w:p>
      <w:pPr>
        <w:ind w:left="100" w:right="20" w:firstLine="748"/>
        <w:spacing w:after="0" w:line="293" w:lineRule="auto"/>
        <w:tabs>
          <w:tab w:leader="none" w:pos="1040"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83" w:lineRule="exact"/>
        <w:rPr>
          <w:rFonts w:ascii="Arial" w:cs="Arial" w:eastAsia="Arial" w:hAnsi="Arial"/>
          <w:sz w:val="18"/>
          <w:szCs w:val="18"/>
          <w:b w:val="1"/>
          <w:bCs w:val="1"/>
          <w:color w:val="auto"/>
        </w:rPr>
      </w:pPr>
    </w:p>
    <w:p>
      <w:pPr>
        <w:ind w:left="100" w:firstLine="748"/>
        <w:spacing w:after="0" w:line="324" w:lineRule="auto"/>
        <w:tabs>
          <w:tab w:leader="none" w:pos="1061"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70" w:lineRule="exact"/>
        <w:rPr>
          <w:rFonts w:ascii="Arial" w:cs="Arial" w:eastAsia="Arial" w:hAnsi="Arial"/>
          <w:sz w:val="17"/>
          <w:szCs w:val="17"/>
          <w:b w:val="1"/>
          <w:bCs w:val="1"/>
          <w:color w:val="auto"/>
        </w:rPr>
      </w:pPr>
    </w:p>
    <w:p>
      <w:pPr>
        <w:jc w:val="both"/>
        <w:ind w:left="100" w:firstLine="8"/>
        <w:spacing w:after="0" w:line="267" w:lineRule="auto"/>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The provisions of this Agreement will be held in strictest confidence by you and will not be publicized or disclosed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w:t>
      </w:r>
    </w:p>
    <w:p>
      <w:pPr>
        <w:jc w:val="center"/>
        <w:ind w:right="-99"/>
        <w:spacing w:after="0"/>
        <w:rPr>
          <w:sz w:val="20"/>
          <w:szCs w:val="20"/>
          <w:color w:val="auto"/>
        </w:rPr>
      </w:pPr>
      <w:r>
        <w:rPr>
          <w:rFonts w:ascii="Arial" w:cs="Arial" w:eastAsia="Arial" w:hAnsi="Arial"/>
          <w:sz w:val="22"/>
          <w:szCs w:val="22"/>
          <w:color w:val="auto"/>
        </w:rPr>
        <w:t>16</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4" w:right="459" w:bottom="1440" w:gutter="0" w:footer="0" w:header="0"/>
        </w:sectPr>
      </w:pPr>
    </w:p>
    <w:bookmarkStart w:id="113" w:name="page114"/>
    <w:bookmarkEnd w:id="113"/>
    <w:p>
      <w:pPr>
        <w:ind w:left="100" w:right="20"/>
        <w:spacing w:after="0" w:line="293" w:lineRule="auto"/>
        <w:rPr>
          <w:sz w:val="20"/>
          <w:szCs w:val="20"/>
          <w:color w:val="auto"/>
        </w:rPr>
      </w:pPr>
      <w:r>
        <w:rPr>
          <w:rFonts w:ascii="Arial" w:cs="Arial" w:eastAsia="Arial" w:hAnsi="Arial"/>
          <w:sz w:val="18"/>
          <w:szCs w:val="18"/>
          <w:color w:val="auto"/>
        </w:rPr>
        <w:t>agency or to discuss the terms and conditions of your employment with others to the extent expressly permitted by Section 7 of the National Labor Relations Act.</w:t>
      </w:r>
    </w:p>
    <w:p>
      <w:pPr>
        <w:spacing w:after="0" w:line="193" w:lineRule="exact"/>
        <w:rPr>
          <w:sz w:val="20"/>
          <w:szCs w:val="20"/>
          <w:color w:val="auto"/>
        </w:rPr>
      </w:pPr>
    </w:p>
    <w:p>
      <w:pPr>
        <w:jc w:val="both"/>
        <w:ind w:left="100" w:firstLine="8"/>
        <w:spacing w:after="0" w:line="287" w:lineRule="auto"/>
        <w:tabs>
          <w:tab w:leader="none" w:pos="37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Non-Disparagement. </w:t>
      </w:r>
      <w:r>
        <w:rPr>
          <w:rFonts w:ascii="Arial" w:cs="Arial" w:eastAsia="Arial" w:hAnsi="Arial"/>
          <w:sz w:val="17"/>
          <w:szCs w:val="17"/>
          <w:color w:val="auto"/>
        </w:rPr>
        <w:t>You agree not to disparage the Company, and the Company’s attorneys, directors, managers, partners, employees,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91" w:lineRule="exact"/>
        <w:rPr>
          <w:rFonts w:ascii="Arial" w:cs="Arial" w:eastAsia="Arial" w:hAnsi="Arial"/>
          <w:sz w:val="17"/>
          <w:szCs w:val="17"/>
          <w:b w:val="1"/>
          <w:bCs w:val="1"/>
          <w:color w:val="auto"/>
        </w:rPr>
      </w:pPr>
    </w:p>
    <w:p>
      <w:pPr>
        <w:jc w:val="both"/>
        <w:ind w:left="100" w:firstLine="8"/>
        <w:spacing w:after="0" w:line="276" w:lineRule="auto"/>
        <w:tabs>
          <w:tab w:leader="none" w:pos="40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208" w:lineRule="exact"/>
        <w:rPr>
          <w:rFonts w:ascii="Arial" w:cs="Arial" w:eastAsia="Arial" w:hAnsi="Arial"/>
          <w:sz w:val="18"/>
          <w:szCs w:val="18"/>
          <w:b w:val="1"/>
          <w:bCs w:val="1"/>
          <w:color w:val="auto"/>
        </w:rPr>
      </w:pPr>
    </w:p>
    <w:p>
      <w:pPr>
        <w:jc w:val="both"/>
        <w:ind w:left="100" w:firstLine="8"/>
        <w:spacing w:after="0" w:line="285" w:lineRule="auto"/>
        <w:tabs>
          <w:tab w:leader="none" w:pos="377"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214" w:lineRule="exact"/>
        <w:rPr>
          <w:rFonts w:ascii="Arial" w:cs="Arial" w:eastAsia="Arial" w:hAnsi="Arial"/>
          <w:sz w:val="17"/>
          <w:szCs w:val="17"/>
          <w:b w:val="1"/>
          <w:bCs w:val="1"/>
          <w:color w:val="auto"/>
        </w:rPr>
      </w:pPr>
    </w:p>
    <w:p>
      <w:pPr>
        <w:ind w:left="1500" w:hanging="639"/>
        <w:spacing w:after="0"/>
        <w:tabs>
          <w:tab w:leader="none" w:pos="1500" w:val="left"/>
        </w:tabs>
        <w:numPr>
          <w:ilvl w:val="1"/>
          <w:numId w:val="50"/>
        </w:numPr>
        <w:rPr>
          <w:rFonts w:ascii="Arial" w:cs="Arial" w:eastAsia="Arial" w:hAnsi="Arial"/>
          <w:sz w:val="22"/>
          <w:szCs w:val="22"/>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269" w:lineRule="exact"/>
        <w:rPr>
          <w:rFonts w:ascii="Arial" w:cs="Arial" w:eastAsia="Arial" w:hAnsi="Arial"/>
          <w:sz w:val="22"/>
          <w:szCs w:val="22"/>
          <w:color w:val="auto"/>
        </w:rPr>
      </w:pPr>
    </w:p>
    <w:p>
      <w:pPr>
        <w:ind w:left="1500" w:right="200" w:hanging="639"/>
        <w:spacing w:after="0" w:line="275" w:lineRule="auto"/>
        <w:tabs>
          <w:tab w:leader="none" w:pos="1500" w:val="left"/>
        </w:tabs>
        <w:numPr>
          <w:ilvl w:val="1"/>
          <w:numId w:val="50"/>
        </w:numPr>
        <w:rPr>
          <w:rFonts w:ascii="Arial" w:cs="Arial" w:eastAsia="Arial" w:hAnsi="Arial"/>
          <w:sz w:val="21"/>
          <w:szCs w:val="21"/>
          <w:color w:val="auto"/>
        </w:rPr>
      </w:pPr>
      <w:r>
        <w:rPr>
          <w:rFonts w:ascii="Arial" w:cs="Arial" w:eastAsia="Arial" w:hAnsi="Arial"/>
          <w:sz w:val="17"/>
          <w:szCs w:val="17"/>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17</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14" w:name="page115"/>
    <w:bookmarkEnd w:id="114"/>
    <w:p>
      <w:pPr>
        <w:ind w:left="1500" w:right="420"/>
        <w:spacing w:after="0" w:line="279" w:lineRule="auto"/>
        <w:rPr>
          <w:sz w:val="20"/>
          <w:szCs w:val="20"/>
          <w:color w:val="auto"/>
        </w:rPr>
      </w:pPr>
      <w:r>
        <w:rPr>
          <w:rFonts w:ascii="Arial" w:cs="Arial" w:eastAsia="Arial" w:hAnsi="Arial"/>
          <w:sz w:val="18"/>
          <w:szCs w:val="18"/>
          <w:color w:val="auto"/>
        </w:rPr>
        <w:t>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237" w:lineRule="exact"/>
        <w:rPr>
          <w:sz w:val="20"/>
          <w:szCs w:val="20"/>
          <w:color w:val="auto"/>
        </w:rPr>
      </w:pPr>
    </w:p>
    <w:p>
      <w:pPr>
        <w:ind w:left="1500" w:right="60" w:hanging="639"/>
        <w:spacing w:after="0" w:line="278" w:lineRule="auto"/>
        <w:tabs>
          <w:tab w:leader="none" w:pos="1500" w:val="left"/>
        </w:tabs>
        <w:numPr>
          <w:ilvl w:val="0"/>
          <w:numId w:val="51"/>
        </w:numPr>
        <w:rPr>
          <w:rFonts w:ascii="Arial" w:cs="Arial" w:eastAsia="Arial" w:hAnsi="Arial"/>
          <w:sz w:val="21"/>
          <w:szCs w:val="21"/>
          <w:color w:val="auto"/>
        </w:rPr>
      </w:pPr>
      <w:r>
        <w:rPr>
          <w:rFonts w:ascii="Arial" w:cs="Arial" w:eastAsia="Arial" w:hAnsi="Arial"/>
          <w:sz w:val="17"/>
          <w:szCs w:val="17"/>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230" w:lineRule="exact"/>
        <w:rPr>
          <w:rFonts w:ascii="Arial" w:cs="Arial" w:eastAsia="Arial" w:hAnsi="Arial"/>
          <w:sz w:val="21"/>
          <w:szCs w:val="21"/>
          <w:color w:val="auto"/>
        </w:rPr>
      </w:pPr>
    </w:p>
    <w:p>
      <w:pPr>
        <w:ind w:left="1500" w:right="80" w:hanging="639"/>
        <w:spacing w:after="0" w:line="300" w:lineRule="auto"/>
        <w:tabs>
          <w:tab w:leader="none" w:pos="1500" w:val="left"/>
        </w:tabs>
        <w:numPr>
          <w:ilvl w:val="0"/>
          <w:numId w:val="51"/>
        </w:numPr>
        <w:rPr>
          <w:rFonts w:ascii="Arial" w:cs="Arial" w:eastAsia="Arial" w:hAnsi="Arial"/>
          <w:sz w:val="19"/>
          <w:szCs w:val="19"/>
          <w:color w:val="auto"/>
        </w:rPr>
      </w:pPr>
      <w:r>
        <w:rPr>
          <w:rFonts w:ascii="Arial" w:cs="Arial" w:eastAsia="Arial" w:hAnsi="Arial"/>
          <w:sz w:val="16"/>
          <w:szCs w:val="16"/>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97" w:lineRule="exact"/>
        <w:rPr>
          <w:sz w:val="20"/>
          <w:szCs w:val="20"/>
          <w:color w:val="auto"/>
        </w:rPr>
      </w:pPr>
    </w:p>
    <w:p>
      <w:pPr>
        <w:ind w:left="120" w:right="100"/>
        <w:spacing w:after="0" w:line="303" w:lineRule="auto"/>
        <w:rPr>
          <w:sz w:val="20"/>
          <w:szCs w:val="20"/>
          <w:color w:val="auto"/>
        </w:rPr>
      </w:pPr>
      <w:r>
        <w:rPr>
          <w:rFonts w:ascii="Arial" w:cs="Arial" w:eastAsia="Arial" w:hAnsi="Arial"/>
          <w:sz w:val="16"/>
          <w:szCs w:val="16"/>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92" w:lineRule="exact"/>
        <w:rPr>
          <w:sz w:val="20"/>
          <w:szCs w:val="20"/>
          <w:color w:val="auto"/>
        </w:rPr>
      </w:pPr>
    </w:p>
    <w:p>
      <w:pPr>
        <w:jc w:val="both"/>
        <w:ind w:left="100" w:firstLine="8"/>
        <w:spacing w:after="0" w:line="283" w:lineRule="auto"/>
        <w:tabs>
          <w:tab w:leader="none" w:pos="374"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Your Acknowledgments and Affirmations/ Effective Date of Agreement. </w:t>
      </w:r>
      <w:r>
        <w:rPr>
          <w:rFonts w:ascii="Arial" w:cs="Arial" w:eastAsia="Arial" w:hAnsi="Arial"/>
          <w:sz w:val="17"/>
          <w:szCs w:val="17"/>
          <w:color w:val="auto"/>
        </w:rPr>
        <w:t>You acknowledge that you are knowingly and voluntarily waiving and</w:t>
      </w:r>
      <w:r>
        <w:rPr>
          <w:rFonts w:ascii="Arial" w:cs="Arial" w:eastAsia="Arial" w:hAnsi="Arial"/>
          <w:sz w:val="17"/>
          <w:szCs w:val="17"/>
          <w:b w:val="1"/>
          <w:bCs w:val="1"/>
          <w:color w:val="auto"/>
        </w:rPr>
        <w:t xml:space="preserve"> </w:t>
      </w:r>
      <w:r>
        <w:rPr>
          <w:rFonts w:ascii="Arial" w:cs="Arial" w:eastAsia="Arial" w:hAnsi="Arial"/>
          <w:sz w:val="17"/>
          <w:szCs w:val="17"/>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18</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15" w:name="page116"/>
    <w:bookmarkEnd w:id="115"/>
    <w:p>
      <w:pPr>
        <w:jc w:val="both"/>
        <w:ind w:left="100"/>
        <w:spacing w:after="0" w:line="304" w:lineRule="auto"/>
        <w:rPr>
          <w:sz w:val="20"/>
          <w:szCs w:val="20"/>
          <w:color w:val="auto"/>
        </w:rPr>
      </w:pPr>
      <w:r>
        <w:rPr>
          <w:rFonts w:ascii="Arial" w:cs="Arial" w:eastAsia="Arial" w:hAnsi="Arial"/>
          <w:sz w:val="16"/>
          <w:szCs w:val="16"/>
          <w:color w:val="auto"/>
        </w:rPr>
        <w:t>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193" w:lineRule="exact"/>
        <w:rPr>
          <w:sz w:val="20"/>
          <w:szCs w:val="20"/>
          <w:color w:val="auto"/>
        </w:rPr>
      </w:pPr>
    </w:p>
    <w:p>
      <w:pPr>
        <w:jc w:val="both"/>
        <w:ind w:left="100" w:firstLine="8"/>
        <w:spacing w:after="0" w:line="281" w:lineRule="auto"/>
        <w:tabs>
          <w:tab w:leader="none" w:pos="37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190" w:lineRule="exact"/>
        <w:rPr>
          <w:rFonts w:ascii="Arial" w:cs="Arial" w:eastAsia="Arial" w:hAnsi="Arial"/>
          <w:sz w:val="18"/>
          <w:szCs w:val="18"/>
          <w:b w:val="1"/>
          <w:bCs w:val="1"/>
          <w:color w:val="auto"/>
        </w:rPr>
      </w:pPr>
    </w:p>
    <w:p>
      <w:pPr>
        <w:jc w:val="both"/>
        <w:ind w:left="100" w:firstLine="8"/>
        <w:spacing w:after="0" w:line="270" w:lineRule="auto"/>
        <w:tabs>
          <w:tab w:leader="none" w:pos="37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216" w:lineRule="exact"/>
        <w:rPr>
          <w:rFonts w:ascii="Arial" w:cs="Arial" w:eastAsia="Arial" w:hAnsi="Arial"/>
          <w:sz w:val="18"/>
          <w:szCs w:val="18"/>
          <w:b w:val="1"/>
          <w:bCs w:val="1"/>
          <w:color w:val="auto"/>
        </w:rPr>
      </w:pPr>
    </w:p>
    <w:p>
      <w:pPr>
        <w:jc w:val="both"/>
        <w:ind w:left="100" w:firstLine="8"/>
        <w:spacing w:after="0" w:line="287" w:lineRule="auto"/>
        <w:tabs>
          <w:tab w:leader="none" w:pos="377"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208" w:lineRule="exact"/>
        <w:rPr>
          <w:rFonts w:ascii="Arial" w:cs="Arial" w:eastAsia="Arial" w:hAnsi="Arial"/>
          <w:sz w:val="17"/>
          <w:szCs w:val="17"/>
          <w:b w:val="1"/>
          <w:bCs w:val="1"/>
          <w:color w:val="auto"/>
        </w:rPr>
      </w:pPr>
    </w:p>
    <w:p>
      <w:pPr>
        <w:jc w:val="both"/>
        <w:ind w:left="100" w:firstLine="8"/>
        <w:spacing w:after="0" w:line="299" w:lineRule="auto"/>
        <w:tabs>
          <w:tab w:leader="none" w:pos="392"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Arial" w:cs="Arial" w:eastAsia="Arial" w:hAnsi="Arial"/>
          <w:sz w:val="16"/>
          <w:szCs w:val="16"/>
          <w:b w:val="1"/>
          <w:bCs w:val="1"/>
          <w:color w:val="auto"/>
        </w:rPr>
        <w:t>You acknowledge that by agreeing to this arbitration procedure, both you and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Company waive the right to resolve any such dispute through a trial by jury or judge or administrative proceeding. </w:t>
      </w:r>
      <w:r>
        <w:rPr>
          <w:rFonts w:ascii="Arial" w:cs="Arial" w:eastAsia="Arial" w:hAnsi="Arial"/>
          <w:sz w:val="16"/>
          <w:szCs w:val="16"/>
          <w:color w:val="auto"/>
        </w:rPr>
        <w:t>You will have the right to be</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16" w:name="page117"/>
    <w:bookmarkEnd w:id="116"/>
    <w:p>
      <w:pPr>
        <w:jc w:val="both"/>
        <w:ind w:left="100"/>
        <w:spacing w:after="0" w:line="272" w:lineRule="auto"/>
        <w:rPr>
          <w:sz w:val="20"/>
          <w:szCs w:val="20"/>
          <w:color w:val="auto"/>
        </w:rPr>
      </w:pPr>
      <w:r>
        <w:rPr>
          <w:rFonts w:ascii="Arial" w:cs="Arial" w:eastAsia="Arial" w:hAnsi="Arial"/>
          <w:sz w:val="18"/>
          <w:szCs w:val="18"/>
          <w:color w:val="auto"/>
        </w:rPr>
        <w:t>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218" w:lineRule="exact"/>
        <w:rPr>
          <w:sz w:val="20"/>
          <w:szCs w:val="20"/>
          <w:color w:val="auto"/>
        </w:rPr>
      </w:pPr>
    </w:p>
    <w:p>
      <w:pPr>
        <w:jc w:val="both"/>
        <w:ind w:left="120"/>
        <w:spacing w:after="0" w:line="324"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wish you good luck in your future endeavors.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Adagio Therapeutics, Inc.</w:t>
      </w: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23495</wp:posOffset>
            </wp:positionV>
            <wp:extent cx="31375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AGREED TO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35661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20</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17" w:name="page118"/>
    <w:bookmarkEnd w:id="117"/>
    <w:p>
      <w:pPr>
        <w:ind w:left="4460"/>
        <w:spacing w:after="0"/>
        <w:rPr>
          <w:sz w:val="20"/>
          <w:szCs w:val="20"/>
          <w:color w:val="auto"/>
        </w:rPr>
      </w:pPr>
      <w:r>
        <w:rPr>
          <w:rFonts w:ascii="Arial" w:cs="Arial" w:eastAsia="Arial" w:hAnsi="Arial"/>
          <w:sz w:val="18"/>
          <w:szCs w:val="18"/>
          <w:b w:val="1"/>
          <w:bCs w:val="1"/>
          <w:color w:val="auto"/>
        </w:rPr>
        <w:t>CONSIDERATION PERIOD</w:t>
      </w:r>
    </w:p>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 understand that I have the right to take at least 21 days to consider whether to sign this Agreement, which I 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3810</wp:posOffset>
            </wp:positionV>
            <wp:extent cx="10566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1056640" cy="8255"/>
                    </a:xfrm>
                    <a:prstGeom prst="rect">
                      <a:avLst/>
                    </a:prstGeom>
                    <a:noFill/>
                  </pic:spPr>
                </pic:pic>
              </a:graphicData>
            </a:graphic>
          </wp:anchor>
        </w:drawing>
        <w:drawing>
          <wp:anchor simplePos="0" relativeHeight="251657728" behindDoc="1" locked="0" layoutInCell="0" allowOverlap="1">
            <wp:simplePos x="0" y="0"/>
            <wp:positionH relativeFrom="column">
              <wp:posOffset>6699250</wp:posOffset>
            </wp:positionH>
            <wp:positionV relativeFrom="paragraph">
              <wp:posOffset>3810</wp:posOffset>
            </wp:positionV>
            <wp:extent cx="1638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163830" cy="8255"/>
                    </a:xfrm>
                    <a:prstGeom prst="rect">
                      <a:avLst/>
                    </a:prstGeom>
                    <a:noFill/>
                  </pic:spPr>
                </pic:pic>
              </a:graphicData>
            </a:graphic>
          </wp:anchor>
        </w:drawing>
      </w:r>
    </w:p>
    <w:p>
      <w:pPr>
        <w:spacing w:after="0" w:line="26" w:lineRule="exact"/>
        <w:rPr>
          <w:sz w:val="20"/>
          <w:szCs w:val="20"/>
          <w:color w:val="auto"/>
        </w:rPr>
      </w:pPr>
    </w:p>
    <w:p>
      <w:pPr>
        <w:ind w:left="120" w:right="380" w:hanging="8"/>
        <w:spacing w:after="0" w:line="292" w:lineRule="auto"/>
        <w:tabs>
          <w:tab w:leader="none" w:pos="21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 If I elect to sign this Agreement before 21 days have passed, I understand I am to sign and date below this paragraph to confirm that I knowingly and voluntarily agree to waive the 21-day consideration period.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3566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3566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7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21</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40" w:top="445" w:right="999" w:bottom="1440" w:gutter="0" w:footer="0" w:header="0"/>
        </w:sectPr>
      </w:pPr>
    </w:p>
    <w:bookmarkStart w:id="118" w:name="page119"/>
    <w:bookmarkEnd w:id="118"/>
    <w:p>
      <w:pPr>
        <w:jc w:val="center"/>
        <w:ind w:right="-99"/>
        <w:spacing w:after="0"/>
        <w:rPr>
          <w:sz w:val="20"/>
          <w:szCs w:val="20"/>
          <w:color w:val="auto"/>
        </w:rPr>
      </w:pPr>
      <w:r>
        <w:rPr>
          <w:rFonts w:ascii="Arial" w:cs="Arial" w:eastAsia="Arial" w:hAnsi="Arial"/>
          <w:sz w:val="18"/>
          <w:szCs w:val="18"/>
          <w:b w:val="1"/>
          <w:bCs w:val="1"/>
          <w:color w:val="auto"/>
        </w:rPr>
        <w:t>Appendix C</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EMPLOYEE PROPRIETARY INFORMATION AND INVENTIONS ASSIGNMENT AGREEMENT</w:t>
      </w:r>
    </w:p>
    <w:p>
      <w:pPr>
        <w:spacing w:after="0" w:line="256"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In consideration and as a condition of my employment by Adagio Therapeutics, Inc., a Delaware corporation (together with any of its subsidiaries or parent companies, and any of their successors or assigns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and my receipt of the compensation paid to me by the Company in the context of that employment and the issuance to me of an option to purchase shares of common stock of the Company, and for other good and valuable consideration, the receipt and sufficiency of which is hereby acknowledged, effective as of the date of my signature below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unless specified otherwise in this Employee Proprietary Information and Inventions Assignment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 the undersigned, agree as follows:</w:t>
      </w:r>
    </w:p>
    <w:p>
      <w:pPr>
        <w:spacing w:after="0" w:line="218" w:lineRule="exact"/>
        <w:rPr>
          <w:sz w:val="20"/>
          <w:szCs w:val="20"/>
          <w:color w:val="auto"/>
        </w:rPr>
      </w:pPr>
    </w:p>
    <w:p>
      <w:pPr>
        <w:jc w:val="both"/>
        <w:ind w:left="100" w:firstLine="748"/>
        <w:spacing w:after="0" w:line="302" w:lineRule="auto"/>
        <w:tabs>
          <w:tab w:leader="none" w:pos="102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Proprietary Information</w:t>
      </w:r>
      <w:r>
        <w:rPr>
          <w:rFonts w:ascii="Arial" w:cs="Arial" w:eastAsia="Arial" w:hAnsi="Arial"/>
          <w:sz w:val="16"/>
          <w:szCs w:val="16"/>
          <w:color w:val="auto"/>
        </w:rPr>
        <w:t>. During the term of my employment, I may receive and otherwise be exposed, directly or indirectly, to confidential and proprietary information of the Company whether in graphic, written, electronic or oral form, including without limitation information relating to the Company’s business, strategies, designs, products, services and technologies and any derivatives, improvements and enhancements relating to any of the foregoing, or to the Company’s suppliers, customers or business partners (collectively “</w:t>
      </w:r>
      <w:r>
        <w:rPr>
          <w:rFonts w:ascii="Arial" w:cs="Arial" w:eastAsia="Arial" w:hAnsi="Arial"/>
          <w:sz w:val="16"/>
          <w:szCs w:val="16"/>
          <w:u w:val="single" w:color="auto"/>
          <w:color w:val="auto"/>
        </w:rPr>
        <w:t>Proprietary Information</w:t>
      </w:r>
      <w:r>
        <w:rPr>
          <w:rFonts w:ascii="Arial" w:cs="Arial" w:eastAsia="Arial" w:hAnsi="Arial"/>
          <w:sz w:val="16"/>
          <w:szCs w:val="16"/>
          <w:color w:val="auto"/>
        </w:rPr>
        <w:t>”). Proprietary Information may be identified at the time of disclosure as confidential or proprietary or information which by its context would reasonably be deemed to be confidential or proprietary. “Proprietary Information” may also include without limitation (a)(i) unpublished patent disclosures and patent applications and other filings, know-how, trade secrets, works of authorship and other intellectual property, as well as any information regarding ideas, Inventions (as defined in Section 5), technology, and processes, including without limitation assays, sketches, schematics, techniques, drawings, designs, descriptions, specifications and technical documentation, (ii) information relating to physical, chemical or biological materials and compounds (including without limitation reagents, gene sequences, nucleic acids, amino acids, cell lines, media, antibodies, antibody fragments, compounds, c-DNAs, antisense nucleotides, proteins, peptides and vectors), their structures, compositions, and formulations, and methods for their handling, use, and manufacture, and processes, apparatus, models relating thereto, (iii) specifications, protocols, models, designs, equipment, engineering, algorithms, software programs, software source documents, formulae, (iv) information concerning or resulting from any research and development or other project, including without limitation nonclinical and clinical data, experimental work, clinical and product development plans, results from clinical studies, regulatory compliance information, and research, development and regulatory strategies, and (v) business and financial information, including without limitation purchasing, procurement, manufacturing, customer lists, information relating to investors, employees, business and contractual relationships, business forecasts, sales and merchandising, business and marketing plans, product plans, and business strategies, including without limitation information the Company provides regarding third parties, such as, but not limited to, suppliers, customers, employees, investors, or vendors; and (b) any other information, to the extent such information contains, reflects or is based upon any of the foregoing Proprietary Information. The Proprietary Information may also include information of a third party that is disclosed to me by the Company or such third party at the Company’s direction.</w:t>
      </w:r>
    </w:p>
    <w:p>
      <w:pPr>
        <w:spacing w:after="0" w:line="202" w:lineRule="exact"/>
        <w:rPr>
          <w:rFonts w:ascii="Arial" w:cs="Arial" w:eastAsia="Arial" w:hAnsi="Arial"/>
          <w:sz w:val="16"/>
          <w:szCs w:val="16"/>
          <w:color w:val="auto"/>
        </w:rPr>
      </w:pPr>
    </w:p>
    <w:p>
      <w:pPr>
        <w:jc w:val="both"/>
        <w:ind w:left="100" w:firstLine="748"/>
        <w:spacing w:after="0" w:line="281" w:lineRule="auto"/>
        <w:tabs>
          <w:tab w:leader="none" w:pos="102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Obligations of Non-Use and Nondisclosure</w:t>
      </w:r>
      <w:r>
        <w:rPr>
          <w:rFonts w:ascii="Arial" w:cs="Arial" w:eastAsia="Arial" w:hAnsi="Arial"/>
          <w:sz w:val="17"/>
          <w:szCs w:val="17"/>
          <w:color w:val="auto"/>
        </w:rPr>
        <w:t>. I acknowledge the confidential and secret character of the Proprietary Information, and agree that the Proprietary Information is the sole, exclusive and valuable property of the Company. Accordingly, I agree not to use the Proprietary Information except in the performance of my authorized duties as an employee of the Company, and not to disclose all or any part of the Proprietary Information in any form to any third party, either during or after the term of my employment, without the prior written consent of the Company on a case-by-case basis. Upon termination of my employment, I agree to cease using and to return to the Company all whole and partial copies and derivatives of the Proprietary Information, whether in my possession or under my direct or indirect control, provided that I am entitled to retain my personal copies of (a) my compensation records, (b) materials distributed to stockholders generally, and (c) this Agreement. I understand that my obligations of nondisclosure with respect to Proprietary Information shall not apply to information that I can establish by competent proof (x) was actually in the public domain at the time of disclosure or enters the public domain following disclosure other than as a result of a breach of this Agreement, (y) is already in my possession without breach of any obligations of confidentiality at the time of disclosure by the Company as shown by my files and records immediately prior to the time of disclosure, or (z) is obtained by me from a third party not under confidentiality obligations and without a breach of any obligations of confidentiality. If I become compelled by law, regulation (including without limitation the rules of any applicable securities exchange), court order, or other governmental authority to disclose the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22</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32" w:right="459" w:bottom="1440" w:gutter="0" w:footer="0" w:header="0"/>
        </w:sectPr>
      </w:pPr>
    </w:p>
    <w:bookmarkStart w:id="119" w:name="page120"/>
    <w:bookmarkEnd w:id="119"/>
    <w:p>
      <w:pPr>
        <w:jc w:val="both"/>
        <w:ind w:left="100"/>
        <w:spacing w:after="0" w:line="287" w:lineRule="auto"/>
        <w:rPr>
          <w:sz w:val="20"/>
          <w:szCs w:val="20"/>
          <w:color w:val="auto"/>
        </w:rPr>
      </w:pPr>
      <w:r>
        <w:rPr>
          <w:rFonts w:ascii="Arial" w:cs="Arial" w:eastAsia="Arial" w:hAnsi="Arial"/>
          <w:sz w:val="17"/>
          <w:szCs w:val="17"/>
          <w:color w:val="auto"/>
        </w:rPr>
        <w:t>Proprietary Information, I shall, to the extent possible and permissible under applicable law, first give the Company prompt notice. I agree to cooperate reasonably with the Company in any proceeding to obtain a protective order or other remedy. If such protective order or other remedy is not obtained, I shall only disclose that portion of such Proprietary Information required to be disclosed, in the opinion of my legal counsel. I shall request that confidential treatment be accorded such Proprietary Information, where available. Compulsory disclosures made pursuant to this section shall not relieve me of my obligations of confidentiality and non-use with respect to non-compulsory disclosures. I understand that nothing herein is intended to or shall prevent me from communicating directly with, cooperating with, or providing information to, any federal, state or local government regulator, including, but not limited to, the U.S. Securities and Exchange Commission, the U.S. Commodity Futures Trading Commission, or the U.S. Department of Justice. I shall promptly notify my supervisor or any officer of the Company if I learn of any possible unauthorized use or disclosure of Proprietary Information and shall cooperate fully with the Company to enforce its rights in such information.</w:t>
      </w:r>
    </w:p>
    <w:p>
      <w:pPr>
        <w:spacing w:after="0" w:line="205" w:lineRule="exact"/>
        <w:rPr>
          <w:sz w:val="20"/>
          <w:szCs w:val="20"/>
          <w:color w:val="auto"/>
        </w:rPr>
      </w:pPr>
    </w:p>
    <w:p>
      <w:pPr>
        <w:jc w:val="both"/>
        <w:ind w:left="100" w:firstLine="748"/>
        <w:spacing w:after="0" w:line="287" w:lineRule="auto"/>
        <w:tabs>
          <w:tab w:leader="none" w:pos="103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Defend Trade Secrets Act Notice of Immunity Rights</w:t>
      </w:r>
      <w:r>
        <w:rPr>
          <w:rFonts w:ascii="Arial" w:cs="Arial" w:eastAsia="Arial" w:hAnsi="Arial"/>
          <w:sz w:val="17"/>
          <w:szCs w:val="17"/>
          <w:color w:val="auto"/>
        </w:rPr>
        <w:t>. I acknowledge that the Company has provided me with the following notice of immunity rights in compliance with the requirements of the Defend Trade Secrets Act: (a)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(b) I shall not be held criminally or civilly liable under any Federal or State trade secret law for the disclosure of Proprietary Information that is made in a complaint or other document filed in a lawsuit or other proceeding, if such filing is made under seal and (c) if I file a lawsuit for retaliation by my employer for reporting a suspected violation of law, I may disclose the Proprietary Information to my attorney and use the Proprietary Information in the court proceeding, if I file any document containing the Proprietary Information under seal, and do not disclose the Proprietary Information, except pursuant to court order.</w:t>
      </w:r>
    </w:p>
    <w:p>
      <w:pPr>
        <w:spacing w:after="0" w:line="195" w:lineRule="exact"/>
        <w:rPr>
          <w:rFonts w:ascii="Arial" w:cs="Arial" w:eastAsia="Arial" w:hAnsi="Arial"/>
          <w:sz w:val="17"/>
          <w:szCs w:val="17"/>
          <w:color w:val="auto"/>
        </w:rPr>
      </w:pPr>
    </w:p>
    <w:p>
      <w:pPr>
        <w:jc w:val="both"/>
        <w:ind w:left="100" w:firstLine="748"/>
        <w:spacing w:after="0" w:line="309" w:lineRule="auto"/>
        <w:tabs>
          <w:tab w:leader="none" w:pos="103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Property of the Company</w:t>
      </w:r>
      <w:r>
        <w:rPr>
          <w:rFonts w:ascii="Arial" w:cs="Arial" w:eastAsia="Arial" w:hAnsi="Arial"/>
          <w:sz w:val="16"/>
          <w:szCs w:val="16"/>
          <w:color w:val="auto"/>
        </w:rPr>
        <w:t>. I acknowledge and agree that all notes, memoranda, reports, drawings, blueprints, manuals, materials, data, emails and other papers and records of every kind, or other tangible or intangible materials which shall come into my possession in the course of my employment with the Company, relating to any Proprietary Information, shall be the sole and exclusive property of the Company and I hereby assign any rights or interests I may obtain in any of the foregoing to my employer, subject to the collaboration agreement entered into by the Company and Adimab LLC. I agree to surrender this property to my employer upon termination of my employment, or at any time upon request by my employer. I further agree that any property situated on my employer’s data systems or on my employer’s premises and owned by my employer, including without limitation electronic storage media, filing cabinets or other work areas, is subject to inspection by my employer at any time with or without notice.</w:t>
      </w:r>
    </w:p>
    <w:p>
      <w:pPr>
        <w:spacing w:after="0" w:line="191" w:lineRule="exact"/>
        <w:rPr>
          <w:rFonts w:ascii="Arial" w:cs="Arial" w:eastAsia="Arial" w:hAnsi="Arial"/>
          <w:sz w:val="16"/>
          <w:szCs w:val="16"/>
          <w:color w:val="auto"/>
        </w:rPr>
      </w:pPr>
    </w:p>
    <w:p>
      <w:pPr>
        <w:ind w:left="1040" w:hanging="183"/>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66" w:lineRule="exact"/>
        <w:rPr>
          <w:sz w:val="20"/>
          <w:szCs w:val="20"/>
          <w:color w:val="auto"/>
        </w:rPr>
      </w:pPr>
    </w:p>
    <w:p>
      <w:pPr>
        <w:jc w:val="both"/>
        <w:ind w:left="100" w:firstLine="1481"/>
        <w:spacing w:after="0" w:line="28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Disclosure and Assignment of Inventions</w:t>
      </w:r>
      <w:r>
        <w:rPr>
          <w:rFonts w:ascii="Arial" w:cs="Arial" w:eastAsia="Arial" w:hAnsi="Arial"/>
          <w:sz w:val="17"/>
          <w:szCs w:val="17"/>
          <w:color w:val="auto"/>
        </w:rPr>
        <w:t>. For purposes of this Agreement, an “Invention” shall mean any idea, invention or work of authorship, including, without limitation, any documentation, formula, design, device, code, method, software, technique, process, discovery, concept, improvement, enhancement, development, machine or contribution, in each case whether or not patentable or copyrightable and for purposes of this Section 5, “</w:t>
      </w:r>
      <w:r>
        <w:rPr>
          <w:rFonts w:ascii="Arial" w:cs="Arial" w:eastAsia="Arial" w:hAnsi="Arial"/>
          <w:sz w:val="17"/>
          <w:szCs w:val="17"/>
          <w:u w:val="single" w:color="auto"/>
          <w:color w:val="auto"/>
        </w:rPr>
        <w:t>Company</w:t>
      </w:r>
      <w:r>
        <w:rPr>
          <w:rFonts w:ascii="Arial" w:cs="Arial" w:eastAsia="Arial" w:hAnsi="Arial"/>
          <w:sz w:val="17"/>
          <w:szCs w:val="17"/>
          <w:color w:val="auto"/>
        </w:rPr>
        <w:t>” shall mean the Company entity that is my employer as of the Effective Date or, if I am subsequently employed by any subsidiary or parent of such Company entity, the applicable subsidiary or parent by which I am employed. I will disclose all Inventions promptly in writing to an officer of the Company or to attorneys of the Company in accordance with the Company’s policies and procedures. I will, and hereby do, assign to the Company, without requirement of further writing, without royalty or any other further consideration, my entire right, title and interest throughout the world in and to all Inventions created, conceived, made, developed, and/or reduced to practice by me in the course of my employment by the Company and all intellectual property rights therein, subject to the collaboration agreement entered into by the Company and Adimab LLC. I hereby waive, and agree to waive, any moral rights I may have in any copyrightable work I create or have created on behalf of the Company. I also hereby agree, that for a period of one year after my employment with the Company, I shall disclose to the Company any Inventions that I create, conceive, make, develop, reduce to practice or work on that relate to the work I performed for the Company. The Company agrees that it will use commercially reasonable measures to keep Inventions disclosed to it pursuant to this Section 5.1 that do not constitute Inventions to be owned by the Company in confidence and shall not use any Inventions for its own advantage, unless in either case those Inventions are assigned or assignable to the Company pursuant to this Section 5.1 or otherwise.</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23</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20" w:name="page121"/>
    <w:bookmarkEnd w:id="120"/>
    <w:p>
      <w:pPr>
        <w:jc w:val="both"/>
        <w:ind w:left="100" w:firstLine="1481"/>
        <w:spacing w:after="0" w:line="30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Certain Exemptions</w:t>
      </w:r>
      <w:r>
        <w:rPr>
          <w:rFonts w:ascii="Arial" w:cs="Arial" w:eastAsia="Arial" w:hAnsi="Arial"/>
          <w:sz w:val="16"/>
          <w:szCs w:val="16"/>
          <w:color w:val="auto"/>
        </w:rPr>
        <w:t>. The obligations to assign Inventions set forth in Section 5.1 apply with respect to all Inventions (a) whether or not such Inventions are conceived, made, developed or worked on by me during my regular hours of employment with the Company; (b) whether or not the Invention was made at the suggestion of the Company; (c) whether or not the Invention was reduced to drawings, written description, documentation, models or other tangible form; and (d) whether or not the Invention is related to the general line of business engaged in by the Company, but do not apply to Inventions that (x) I develop entirely on my own time or after the date of this Agreement without using the Company’s equipment, supplies, facilities or Proprietary Information; (y) do not relate to the Company’s business, or actual or demonstrably anticipated research or development of the Company at the time of conception or reduction to practice of the Invention; and (z) do not result from and are not related to any work performed by me for the Company. I hereby acknowledge and agree that the Company has notified me that, if I reside in the state of California, assignments provided for in Section 5.1 do not apply to any Invention which qualifies fully for exemption from assignment under the provisions of Section 2870 of the California Labor Code (“</w:t>
      </w:r>
      <w:r>
        <w:rPr>
          <w:rFonts w:ascii="Arial" w:cs="Arial" w:eastAsia="Arial" w:hAnsi="Arial"/>
          <w:sz w:val="16"/>
          <w:szCs w:val="16"/>
          <w:u w:val="single" w:color="auto"/>
          <w:color w:val="auto"/>
        </w:rPr>
        <w:t>Section 2870</w:t>
      </w:r>
      <w:r>
        <w:rPr>
          <w:rFonts w:ascii="Arial" w:cs="Arial" w:eastAsia="Arial" w:hAnsi="Arial"/>
          <w:sz w:val="16"/>
          <w:szCs w:val="16"/>
          <w:color w:val="auto"/>
        </w:rPr>
        <w:t xml:space="preserve">”), a copy of which is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If applicable, at the time of disclosure of an Invention that I believe qualifies under Section 2870, I shall provide to the Company, in writing, evidence to substantiate the belief that such Invention qualifies under Section 2870. I further understand that, to the extent this Agreement shall be construed in accordance with the laws of any state which precludes a requirement in an employee agreement to assign certain classes of inventions made by an employee, Section 5.1 shall be interpreted not to apply to any Invention which a court rules and/or the Company agrees falls within such classes.</w:t>
      </w:r>
    </w:p>
    <w:p>
      <w:pPr>
        <w:spacing w:after="0" w:line="180" w:lineRule="exact"/>
        <w:rPr>
          <w:sz w:val="20"/>
          <w:szCs w:val="20"/>
          <w:color w:val="auto"/>
        </w:rPr>
      </w:pPr>
    </w:p>
    <w:p>
      <w:pPr>
        <w:jc w:val="both"/>
        <w:ind w:left="100" w:firstLine="1481"/>
        <w:spacing w:after="0" w:line="30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Records</w:t>
      </w:r>
      <w:r>
        <w:rPr>
          <w:rFonts w:ascii="Arial" w:cs="Arial" w:eastAsia="Arial" w:hAnsi="Arial"/>
          <w:sz w:val="17"/>
          <w:szCs w:val="17"/>
          <w:color w:val="auto"/>
        </w:rPr>
        <w:t>. I will make and maintain adequate and current written records of all Inventions covered by Section 5.1. These records may be in the form of notes, sketches, drawings, flow charts, electronic data or recordings, notebooks and any other format. These records shall be and remain the property of the Company at all times and shall be made available to the Company at all times.</w:t>
      </w:r>
    </w:p>
    <w:p>
      <w:pPr>
        <w:spacing w:after="0" w:line="191" w:lineRule="exact"/>
        <w:rPr>
          <w:sz w:val="20"/>
          <w:szCs w:val="20"/>
          <w:color w:val="auto"/>
        </w:rPr>
      </w:pPr>
    </w:p>
    <w:p>
      <w:pPr>
        <w:jc w:val="both"/>
        <w:ind w:left="100" w:firstLine="1481"/>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Patents and Other Rights</w:t>
      </w:r>
      <w:r>
        <w:rPr>
          <w:rFonts w:ascii="Arial" w:cs="Arial" w:eastAsia="Arial" w:hAnsi="Arial"/>
          <w:sz w:val="17"/>
          <w:szCs w:val="17"/>
          <w:color w:val="auto"/>
        </w:rPr>
        <w:t>. I agree to assist the Company in obtaining, maintaining and enforcing patents, invention assignments and copyright assignments, and other proprietary rights in connection with any Invention covered by Section 5.1, and will otherwise assist the Company as reasonably required by the Company to perfect in the Company the rights, title and other interests in my work product granted to the Company under this Agreement (both in the United States and foreign countries). I further agree that my obligations under this Section 5.4 shall continue beyond the termination of my employment with the Company, but if I am requested by the Company to render such assistance after the termination of such employment, I shall be entitled to a fair and reasonable rate of compensation for such assistance, and to reimbursement of any expenses incurred at the request of the Company relating to such assistance. If the Company is unable for any reason, after reasonable effort, to secure my signature on any document needed in connection with the actions specified above,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this Section 5.4 with the same legal force and effect as if executed by me.</w:t>
      </w:r>
    </w:p>
    <w:p>
      <w:pPr>
        <w:spacing w:after="0" w:line="205" w:lineRule="exact"/>
        <w:rPr>
          <w:sz w:val="20"/>
          <w:szCs w:val="20"/>
          <w:color w:val="auto"/>
        </w:rPr>
      </w:pPr>
    </w:p>
    <w:p>
      <w:pPr>
        <w:jc w:val="both"/>
        <w:ind w:left="100" w:firstLine="1481"/>
        <w:spacing w:after="0" w:line="29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Prior Contracts and Inventions; Information Belonging to Third Parties</w:t>
      </w:r>
      <w:r>
        <w:rPr>
          <w:rFonts w:ascii="Arial" w:cs="Arial" w:eastAsia="Arial" w:hAnsi="Arial"/>
          <w:sz w:val="16"/>
          <w:szCs w:val="16"/>
          <w:color w:val="auto"/>
        </w:rPr>
        <w:t xml:space="preserve">. I represent and warrant that, except as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(which shall not include agreements entered into by me in connection with the Approved Outside Activities, as defined in the employment agreement dated August 5, 2021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xml:space="preserve">”) between the Company and me), I am not required, and I have not been required during the course of work for the Company or its predecessors, to assign Inventions under any other contracts that are now or were previously in existence between me and any other person or entity. I further represent that (a) I am not obligated under any consulting, employment or other agreement that would affect the Company’s rights or my duties under this Agreement, and I shall not enter into any such agreement or obligation during the period of my employment by the Company, (b) there is no action, investigation, or proceeding pending or threatened, or any basis therefor known to me involving my prior employment or any consultancy or the use of any information or techniques alleged to be proprietary to any former employer, and (c) the performance of my duties as an employee of the Company do not and will not breach, or constitute a default under any agreement to which I am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I will not, in connection with my employment by the Company, use or disclose to the Company any confidential, trade secret or other proprietary information of any previous employer or other person to which I am not lawfully entitled. As a matter of record, I attach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 brief description of all Inventions made or conceived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24</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611" w:right="459" w:bottom="1440" w:gutter="0" w:footer="0" w:header="0"/>
        </w:sectPr>
      </w:pPr>
    </w:p>
    <w:bookmarkStart w:id="121" w:name="page122"/>
    <w:bookmarkEnd w:id="121"/>
    <w:p>
      <w:pPr>
        <w:jc w:val="both"/>
        <w:ind w:left="100"/>
        <w:spacing w:after="0" w:line="286" w:lineRule="auto"/>
        <w:rPr>
          <w:sz w:val="20"/>
          <w:szCs w:val="20"/>
          <w:color w:val="auto"/>
        </w:rPr>
      </w:pPr>
      <w:r>
        <w:rPr>
          <w:rFonts w:ascii="Arial" w:cs="Arial" w:eastAsia="Arial" w:hAnsi="Arial"/>
          <w:sz w:val="17"/>
          <w:szCs w:val="17"/>
          <w:color w:val="auto"/>
        </w:rPr>
        <w:t>by me prior to my employment with the Company which I desire to be excluded from this Agreement (“</w:t>
      </w:r>
      <w:r>
        <w:rPr>
          <w:rFonts w:ascii="Arial" w:cs="Arial" w:eastAsia="Arial" w:hAnsi="Arial"/>
          <w:sz w:val="17"/>
          <w:szCs w:val="17"/>
          <w:u w:val="single" w:color="auto"/>
          <w:color w:val="auto"/>
        </w:rPr>
        <w:t>Background Technology</w:t>
      </w:r>
      <w:r>
        <w:rPr>
          <w:rFonts w:ascii="Arial" w:cs="Arial" w:eastAsia="Arial" w:hAnsi="Arial"/>
          <w:sz w:val="17"/>
          <w:szCs w:val="17"/>
          <w:color w:val="auto"/>
        </w:rPr>
        <w:t>”). If full disclosure of any Background Technology would breach or constitute a default under any agreement to which I am bound, including any agreement limiting the use or disclosure of proprietary information acquired in confidence prior to engagement by the Company, I understand that I am to describe such Background Technology in Exhibit B at the most specific level possible without violating any such prior agreement. Without limiting my obligations or representations under this Section 5.5, if I use (i) any Background Technology or (ii) any other Inventions in which I have an interest and that are excluded from the assignment of Inventions set forth in Section 5.1 (collectively (i) and (ii), the “</w:t>
      </w:r>
      <w:r>
        <w:rPr>
          <w:rFonts w:ascii="Arial" w:cs="Arial" w:eastAsia="Arial" w:hAnsi="Arial"/>
          <w:sz w:val="17"/>
          <w:szCs w:val="17"/>
          <w:u w:val="single" w:color="auto"/>
          <w:color w:val="auto"/>
        </w:rPr>
        <w:t>Excluded Technology</w:t>
      </w:r>
      <w:r>
        <w:rPr>
          <w:rFonts w:ascii="Arial" w:cs="Arial" w:eastAsia="Arial" w:hAnsi="Arial"/>
          <w:sz w:val="17"/>
          <w:szCs w:val="17"/>
          <w:color w:val="auto"/>
        </w:rPr>
        <w:t>”) in the course of my employment or incorporate any Excluded Technology in any product, service or other offering of the Company, I hereby grant the Company a non-exclusive, royalty-free, perpetual and irrevocable, worldwide right to use and sublicense the use of Excluded Technology for the purpose of developing, marketing, selling and supporting Company technology, products and services, either directly or through multiple tiers of distribution, but not for the purpose of marketing Excluded Technology separately from Company products or services.</w:t>
      </w:r>
    </w:p>
    <w:p>
      <w:pPr>
        <w:spacing w:after="0" w:line="209" w:lineRule="exact"/>
        <w:rPr>
          <w:sz w:val="20"/>
          <w:szCs w:val="20"/>
          <w:color w:val="auto"/>
        </w:rPr>
      </w:pPr>
    </w:p>
    <w:p>
      <w:pPr>
        <w:jc w:val="both"/>
        <w:ind w:left="100" w:firstLine="1481"/>
        <w:spacing w:after="0" w:line="27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Works Made for Hire</w:t>
      </w:r>
      <w:r>
        <w:rPr>
          <w:rFonts w:ascii="Arial" w:cs="Arial" w:eastAsia="Arial" w:hAnsi="Arial"/>
          <w:sz w:val="18"/>
          <w:szCs w:val="18"/>
          <w:color w:val="auto"/>
        </w:rPr>
        <w:t>. I acknowledge that all original works of authorship which are made by me (solely or jointly with others) within the scope of my employment with the Company and which are eligible for copyright protection are “works made for hire” as that term is defined in the United States Copyright Act (17 U.S.C., Section 101).</w:t>
      </w:r>
    </w:p>
    <w:p>
      <w:pPr>
        <w:spacing w:after="0" w:line="196" w:lineRule="exact"/>
        <w:rPr>
          <w:sz w:val="20"/>
          <w:szCs w:val="20"/>
          <w:color w:val="auto"/>
        </w:rPr>
      </w:pPr>
    </w:p>
    <w:p>
      <w:pPr>
        <w:jc w:val="both"/>
        <w:ind w:left="100" w:firstLine="748"/>
        <w:spacing w:after="0" w:line="271" w:lineRule="auto"/>
        <w:tabs>
          <w:tab w:leader="none" w:pos="103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I agree to fully comply with the covenants set forth in this Section 6 (the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which shall become effective 10 business days from the Effective Date. I further acknowledge and agree that the Restrictive Covenants are reasonable and necessary to protect the Company’s legitimate business interests, including its Proprietary Information and goodwill, and that the Restrictive Covenants are supported by the option to purchase the common stock of the Company noted above, and the increased salary and bonus provisions and severance payments and benefits to be provided pursuant to the Employment Agreement for other good and valuable consideration, which I acknowledge is fair and reasonable consideration independent from my employment.</w:t>
      </w:r>
    </w:p>
    <w:p>
      <w:pPr>
        <w:spacing w:after="0" w:line="21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66" w:lineRule="exact"/>
        <w:rPr>
          <w:sz w:val="20"/>
          <w:szCs w:val="20"/>
          <w:color w:val="auto"/>
        </w:rPr>
      </w:pPr>
    </w:p>
    <w:p>
      <w:pPr>
        <w:jc w:val="both"/>
        <w:ind w:left="100" w:firstLine="2230"/>
        <w:spacing w:after="0" w:line="302" w:lineRule="auto"/>
        <w:tabs>
          <w:tab w:leader="none" w:pos="256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of my employment with the Company, and, if I am terminated by the Company for Cause or if I resign for any reason, for a period of one year immediately following the termination of such employment (the “</w:t>
      </w:r>
      <w:r>
        <w:rPr>
          <w:rFonts w:ascii="Arial" w:cs="Arial" w:eastAsia="Arial" w:hAnsi="Arial"/>
          <w:sz w:val="16"/>
          <w:szCs w:val="16"/>
          <w:u w:val="single" w:color="auto"/>
          <w:color w:val="auto"/>
        </w:rPr>
        <w:t>Non- Competition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Restricted Period</w:t>
      </w:r>
      <w:r>
        <w:rPr>
          <w:rFonts w:ascii="Arial" w:cs="Arial" w:eastAsia="Arial" w:hAnsi="Arial"/>
          <w:sz w:val="16"/>
          <w:szCs w:val="16"/>
          <w:color w:val="auto"/>
        </w:rPr>
        <w:t>”), I will not, directly or indirectly, for my own benefit or for the benefit of any other individual or entity other than the Company: (i) operate, conduct, or engage in, or prepare to operate, conduct, or engage in the Business; (ii) own, finance, or invest in (except as the holder of not more than one percent of the outstanding stock of a publicly-held company) any Business, or (iii) participate in, render services to, or assist any person or entity that engages in or is preparing to engage in the Business in any capacity (whether as an employee, consultant, contractor, partner, officer, director, or otherwise) (x) which involves the same or similar types of services I performed for the Company at any time during the last two years of my employment with the Company or (y) in which I could reasonably be expected to use or disclose Proprietary Information, in each case (i), (ii), or (iii) in the Restricted Territory; provided, however, that the restriction in this Section 6 shall not apply to any of the Approved Outside Activities, as defined in the Employment Agreement. For the avoidance of doubt, if I reside in the Commonwealth of Massachusetts, the non-competition obligations set forth above in this Section 6.1(a) shall not apply to me following the termination of my employment with the Company if I am terminated by the Company without Cause or if and to the extent the Company elects to waive any of such obligations as provided in Section 6.6 below. If I reside in the Commonwealth of Massachusetts, in the event the Company determines at any time that I engaged in conduct constituting Cause during or after my employment has ended, then the Company may retroactively designate my termination as a termination with Cause, and the non-competition covenants set forth in this Section 6. 1, and each subpart, shall remain in full force and effect pursuant to their terms. Notwithstanding the foregoing, if I reside in the Commonwealth of Massachusetts and I am (x) classified as non-exempt under the Fair Labor Standards Act or (y) an undergraduate or graduate student partaking in an internship or short-term employment with the Company while enrolled in a full-time or part-time undergraduate or graduate educational institution, then Section 6.1 shall not apply to me after the termination of my employment with the Company for any reason.</w:t>
      </w:r>
    </w:p>
    <w:p>
      <w:pPr>
        <w:spacing w:after="0" w:line="193" w:lineRule="exact"/>
        <w:rPr>
          <w:rFonts w:ascii="Arial" w:cs="Arial" w:eastAsia="Arial" w:hAnsi="Arial"/>
          <w:sz w:val="16"/>
          <w:szCs w:val="16"/>
          <w:color w:val="auto"/>
        </w:rPr>
      </w:pPr>
    </w:p>
    <w:p>
      <w:pPr>
        <w:jc w:val="both"/>
        <w:ind w:left="100" w:firstLine="2230"/>
        <w:spacing w:after="0" w:line="266" w:lineRule="auto"/>
        <w:tabs>
          <w:tab w:leader="none" w:pos="261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Extension of Non-Competition Restricted Period</w:t>
      </w:r>
      <w:r>
        <w:rPr>
          <w:rFonts w:ascii="Arial" w:cs="Arial" w:eastAsia="Arial" w:hAnsi="Arial"/>
          <w:sz w:val="18"/>
          <w:szCs w:val="18"/>
          <w:color w:val="auto"/>
        </w:rPr>
        <w:t>. In the event I breach my fiduciary duty to the Company or unlawfully take, physically or electronically, property belonging to the Company as reasonably determined by the Company, the Non-Competition Restricted Period as defined above shall be extended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25</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22" w:name="page123"/>
    <w:bookmarkEnd w:id="122"/>
    <w:p>
      <w:pPr>
        <w:ind w:left="100"/>
        <w:spacing w:after="0"/>
        <w:rPr>
          <w:sz w:val="20"/>
          <w:szCs w:val="20"/>
          <w:color w:val="auto"/>
        </w:rPr>
      </w:pPr>
      <w:r>
        <w:rPr>
          <w:rFonts w:ascii="Arial" w:cs="Arial" w:eastAsia="Arial" w:hAnsi="Arial"/>
          <w:sz w:val="18"/>
          <w:szCs w:val="18"/>
          <w:color w:val="auto"/>
        </w:rPr>
        <w:t>for one additional year, for a maximum period of two years immediately following my termination of employment from the Company.</w:t>
      </w:r>
    </w:p>
    <w:p>
      <w:pPr>
        <w:spacing w:after="0" w:line="266" w:lineRule="exact"/>
        <w:rPr>
          <w:sz w:val="20"/>
          <w:szCs w:val="20"/>
          <w:color w:val="auto"/>
        </w:rPr>
      </w:pPr>
    </w:p>
    <w:p>
      <w:pPr>
        <w:jc w:val="both"/>
        <w:ind w:left="100" w:firstLine="2230"/>
        <w:spacing w:after="0" w:line="299" w:lineRule="auto"/>
        <w:tabs>
          <w:tab w:leader="none" w:pos="2567"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Garden Leave</w:t>
      </w:r>
      <w:r>
        <w:rPr>
          <w:rFonts w:ascii="Arial" w:cs="Arial" w:eastAsia="Arial" w:hAnsi="Arial"/>
          <w:sz w:val="16"/>
          <w:szCs w:val="16"/>
          <w:color w:val="auto"/>
        </w:rPr>
        <w:t xml:space="preserve">. The Company agrees to pay me during the post- termination Non-Competition Restricted Period at a rate that equals fifty (50) percent of my highest annualized base salary within the two years prior to my termination, less applicable taxes and withholdings, in accordance with the Company’s regular payroll procedure;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Company shall not be required to provide such pay</w:t>
      </w:r>
    </w:p>
    <w:p>
      <w:pPr>
        <w:spacing w:after="0" w:line="1" w:lineRule="exact"/>
        <w:rPr>
          <w:rFonts w:ascii="Arial" w:cs="Arial" w:eastAsia="Arial" w:hAnsi="Arial"/>
          <w:sz w:val="16"/>
          <w:szCs w:val="16"/>
          <w:color w:val="auto"/>
        </w:rPr>
      </w:pPr>
    </w:p>
    <w:p>
      <w:pPr>
        <w:jc w:val="both"/>
        <w:ind w:left="100" w:firstLine="8"/>
        <w:spacing w:after="0" w:line="306" w:lineRule="auto"/>
        <w:tabs>
          <w:tab w:leader="none" w:pos="321"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my employment with the Company is terminated by the Company without Cause; (ii) if, for either reason set forth in clauses (x) or (y) of Section 6.1(a), the post-termination non-competition covenants set forth in Section 6.1(a) shall not apply to me; (iii) if on or prior to my termination date, the Company elects pursuant to Section 6.6 to waive my non-competition covenants set forth in Section 6.1(a); (iv) if I violate any of my non-competition covenants set forth in Section 6.1(a) as reasonably determined by the Company; (v) during any Non-Competition Restricted Period that has been increased beyond one year post-termination for the reasons set forth in Section 6.1(b); or (vi) if on or following my termination date, the Company and I so mutually agree. I expressly acknowledge and agree that, in the event the Company reasonably determines that I have breached any of my non-competition covenants set forth in Section 6.1(a), the Company may refuse to make any payments, and I shall immediately return to the Company any payments already received, pursuant to this Section 6.1(c), in addition to and without limiting any other legal or equitable relief available to the Company. Notwithstanding the foregoing, this Subsection 6.1(c) shall only apply if I reside in the Commonwealth of Massachusetts.</w:t>
      </w:r>
    </w:p>
    <w:p>
      <w:pPr>
        <w:spacing w:after="0" w:line="183" w:lineRule="exact"/>
        <w:rPr>
          <w:sz w:val="20"/>
          <w:szCs w:val="20"/>
          <w:color w:val="auto"/>
        </w:rPr>
      </w:pPr>
    </w:p>
    <w:p>
      <w:pPr>
        <w:jc w:val="both"/>
        <w:ind w:left="100" w:firstLine="1481"/>
        <w:spacing w:after="0" w:line="31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Non-Solicitation of Company Personnel</w:t>
      </w:r>
      <w:r>
        <w:rPr>
          <w:rFonts w:ascii="Arial" w:cs="Arial" w:eastAsia="Arial" w:hAnsi="Arial"/>
          <w:sz w:val="16"/>
          <w:szCs w:val="16"/>
          <w:color w:val="auto"/>
        </w:rPr>
        <w:t>. During the term of my employment with the Company, and for a period of one year immediately following the termination of such employment for any reason (the “</w:t>
      </w:r>
      <w:r>
        <w:rPr>
          <w:rFonts w:ascii="Arial" w:cs="Arial" w:eastAsia="Arial" w:hAnsi="Arial"/>
          <w:sz w:val="16"/>
          <w:szCs w:val="16"/>
          <w:u w:val="single" w:color="auto"/>
          <w:color w:val="auto"/>
        </w:rPr>
        <w:t>Non-Solicitation Restricted Period</w:t>
      </w:r>
      <w:r>
        <w:rPr>
          <w:rFonts w:ascii="Arial" w:cs="Arial" w:eastAsia="Arial" w:hAnsi="Arial"/>
          <w:sz w:val="16"/>
          <w:szCs w:val="16"/>
          <w:color w:val="auto"/>
        </w:rPr>
        <w:t>”), I will not, directly or indirectly, for my own benefit or for the benefit of any other individual or entity: (a) solicit or attempt to solicit for employment or hire any Company Personnel in any capacity; (b) entice or induce any Company Personnel to leave his or her or their employment with the Company; or (c) otherwise negatively interfere with the Company’s relationship with any Company Personnel. Notwithstanding the foregoing, a general solicitation or advertisement for job opportunities that I may publish without targeting any Company Personnel shall not be considered a violation of Section 6.2(b).</w:t>
      </w:r>
    </w:p>
    <w:p>
      <w:pPr>
        <w:spacing w:after="0" w:line="190" w:lineRule="exact"/>
        <w:rPr>
          <w:sz w:val="20"/>
          <w:szCs w:val="20"/>
          <w:color w:val="auto"/>
        </w:rPr>
      </w:pPr>
    </w:p>
    <w:p>
      <w:pPr>
        <w:jc w:val="both"/>
        <w:ind w:left="100" w:firstLine="1481"/>
        <w:spacing w:after="0" w:line="29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Non-Solicitation of Company Customer</w:t>
      </w:r>
      <w:r>
        <w:rPr>
          <w:rFonts w:ascii="Arial" w:cs="Arial" w:eastAsia="Arial" w:hAnsi="Arial"/>
          <w:sz w:val="16"/>
          <w:szCs w:val="16"/>
          <w:color w:val="auto"/>
        </w:rPr>
        <w:t xml:space="preserve">. During the </w:t>
      </w:r>
      <w:r>
        <w:rPr>
          <w:rFonts w:ascii="Arial" w:cs="Arial" w:eastAsia="Arial" w:hAnsi="Arial"/>
          <w:sz w:val="16"/>
          <w:szCs w:val="16"/>
          <w:u w:val="single" w:color="auto"/>
          <w:color w:val="auto"/>
        </w:rPr>
        <w:t>Non-Solicitation Restricted Period</w:t>
      </w:r>
      <w:r>
        <w:rPr>
          <w:rFonts w:ascii="Arial" w:cs="Arial" w:eastAsia="Arial" w:hAnsi="Arial"/>
          <w:sz w:val="16"/>
          <w:szCs w:val="16"/>
          <w:color w:val="auto"/>
        </w:rPr>
        <w:t>, I will not, directly or indirectly, for my own benefit or for the benefit of any other individual or entity: (a) solicit business from, or offer to provide products or services that are similar to any product or service provided or that could be provided by the Company or that are otherwise competitive with the Business to, any Company Customer;</w:t>
      </w:r>
    </w:p>
    <w:p>
      <w:pPr>
        <w:spacing w:after="0" w:line="2" w:lineRule="exact"/>
        <w:rPr>
          <w:sz w:val="20"/>
          <w:szCs w:val="20"/>
          <w:color w:val="auto"/>
        </w:rPr>
      </w:pPr>
    </w:p>
    <w:p>
      <w:pPr>
        <w:ind w:left="100" w:firstLine="8"/>
        <w:spacing w:after="0" w:line="292" w:lineRule="auto"/>
        <w:tabs>
          <w:tab w:leader="none" w:pos="3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cause or encourage any Company Customer to reduce or cease doing business with the Company, or (c) otherwise negatively interfere with the Company’s relationships with any Company Customer.</w:t>
      </w:r>
    </w:p>
    <w:p>
      <w:pPr>
        <w:spacing w:after="0" w:line="197" w:lineRule="exact"/>
        <w:rPr>
          <w:sz w:val="20"/>
          <w:szCs w:val="20"/>
          <w:color w:val="auto"/>
        </w:rPr>
      </w:pPr>
    </w:p>
    <w:p>
      <w:pPr>
        <w:jc w:val="both"/>
        <w:ind w:left="100" w:firstLine="1481"/>
        <w:spacing w:after="0" w:line="27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Tolling Period</w:t>
      </w:r>
      <w:r>
        <w:rPr>
          <w:rFonts w:ascii="Arial" w:cs="Arial" w:eastAsia="Arial" w:hAnsi="Arial"/>
          <w:sz w:val="18"/>
          <w:szCs w:val="18"/>
          <w:color w:val="auto"/>
        </w:rPr>
        <w:t>. Without limiting the Company’s ability to seek other remedies available in law or equity, if I violate any of the provisions of Sections 6.2 or 6.3, the Non- Solicitation Restricted Period shall be extended by one day for each day that I am in violation of such provisions, up to a maximum extension equal to the length of the Non- Solicitation Restricted Period, so as to give the Company the full benefit of the bargained-for length of forbearance.</w:t>
      </w:r>
    </w:p>
    <w:p>
      <w:pPr>
        <w:spacing w:after="0" w:line="199" w:lineRule="exact"/>
        <w:rPr>
          <w:sz w:val="20"/>
          <w:szCs w:val="20"/>
          <w:color w:val="auto"/>
        </w:rPr>
      </w:pPr>
    </w:p>
    <w:p>
      <w:pPr>
        <w:jc w:val="both"/>
        <w:ind w:left="100" w:firstLine="1481"/>
        <w:spacing w:after="0" w:line="30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Interpretation</w:t>
      </w:r>
      <w:r>
        <w:rPr>
          <w:rFonts w:ascii="Arial" w:cs="Arial" w:eastAsia="Arial" w:hAnsi="Arial"/>
          <w:sz w:val="17"/>
          <w:szCs w:val="17"/>
          <w:color w:val="auto"/>
        </w:rPr>
        <w:t>. If any restriction set forth in the Restrictive Covenants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91" w:lineRule="exact"/>
        <w:rPr>
          <w:sz w:val="20"/>
          <w:szCs w:val="20"/>
          <w:color w:val="auto"/>
        </w:rPr>
      </w:pPr>
    </w:p>
    <w:p>
      <w:pPr>
        <w:jc w:val="both"/>
        <w:ind w:left="100" w:firstLine="1481"/>
        <w:spacing w:after="0" w:line="27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Waiver</w:t>
      </w:r>
      <w:r>
        <w:rPr>
          <w:rFonts w:ascii="Arial" w:cs="Arial" w:eastAsia="Arial" w:hAnsi="Arial"/>
          <w:sz w:val="18"/>
          <w:szCs w:val="18"/>
          <w:color w:val="auto"/>
        </w:rPr>
        <w:t>. At any time, the Company may in its sole discretion elect to waive any or part of the Restrictive Covenants, provided any such waiver is expressly agreed to in writing by an executive officer of the Company, or, if I am an executive officer of the Company, by the Board of Directors of the Company.</w:t>
      </w:r>
    </w:p>
    <w:p>
      <w:pPr>
        <w:spacing w:after="0" w:line="21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the Restrictive Covenants:</w:t>
      </w:r>
    </w:p>
    <w:p>
      <w:pPr>
        <w:spacing w:after="0" w:line="252" w:lineRule="exact"/>
        <w:rPr>
          <w:sz w:val="20"/>
          <w:szCs w:val="20"/>
          <w:color w:val="auto"/>
        </w:rPr>
      </w:pPr>
    </w:p>
    <w:p>
      <w:pPr>
        <w:ind w:left="100" w:firstLine="2230"/>
        <w:spacing w:after="0" w:line="266" w:lineRule="auto"/>
        <w:tabs>
          <w:tab w:leader="none" w:pos="25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Business</w:t>
      </w:r>
      <w:r>
        <w:rPr>
          <w:rFonts w:ascii="Arial" w:cs="Arial" w:eastAsia="Arial" w:hAnsi="Arial"/>
          <w:sz w:val="18"/>
          <w:szCs w:val="18"/>
          <w:color w:val="auto"/>
        </w:rPr>
        <w:t>” means any business or part thereof that develops, manufactures, markets, licenses, sells or provides any product or service that competes with any product or service developed,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26</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23" w:name="page124"/>
    <w:bookmarkEnd w:id="123"/>
    <w:p>
      <w:pPr>
        <w:ind w:left="100"/>
        <w:spacing w:after="0" w:line="293" w:lineRule="auto"/>
        <w:rPr>
          <w:sz w:val="20"/>
          <w:szCs w:val="20"/>
          <w:color w:val="auto"/>
        </w:rPr>
      </w:pPr>
      <w:r>
        <w:rPr>
          <w:rFonts w:ascii="Arial" w:cs="Arial" w:eastAsia="Arial" w:hAnsi="Arial"/>
          <w:sz w:val="18"/>
          <w:szCs w:val="18"/>
          <w:color w:val="auto"/>
        </w:rPr>
        <w:t>manufactured, marketed, licensed, sold or provided, or planned to be developed, manufactured, marketed, licensed, sold or provided, by the Company, in each case at any time during my employment with the Company.</w:t>
      </w:r>
    </w:p>
    <w:p>
      <w:pPr>
        <w:spacing w:after="0" w:line="197" w:lineRule="exact"/>
        <w:rPr>
          <w:sz w:val="20"/>
          <w:szCs w:val="20"/>
          <w:color w:val="auto"/>
        </w:rPr>
      </w:pPr>
    </w:p>
    <w:p>
      <w:pPr>
        <w:jc w:val="both"/>
        <w:ind w:left="100" w:firstLine="2230"/>
        <w:spacing w:after="0" w:line="290" w:lineRule="auto"/>
        <w:tabs>
          <w:tab w:leader="none" w:pos="2617"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Cause</w:t>
      </w:r>
      <w:r>
        <w:rPr>
          <w:rFonts w:ascii="Arial" w:cs="Arial" w:eastAsia="Arial" w:hAnsi="Arial"/>
          <w:sz w:val="17"/>
          <w:szCs w:val="17"/>
          <w:color w:val="auto"/>
        </w:rPr>
        <w:t>” means Cause as defined in any employment agreement or offer letter between me and the Company that contains a definition of Cause or, if no such agreement or offer letter exists, or if such agreement or offer letter does not contain a definition of Cause, then Cause means (i) a material breach of this Agreement or any other agreement I may have entered into with the Company; (ii) the commission of fraud, embezzlement, or other intentional act that could reasonably harm the Company or third parties; (iii) a material violation of the Company’s personnel policies, my ethical obligations, or applicable laws or regulations; or (iv) willful or gross negligence in the performance of my job duties that could reasonably harm the Company or third parties, in each case as reasonably determined by the Company.</w:t>
      </w:r>
    </w:p>
    <w:p>
      <w:pPr>
        <w:spacing w:after="0" w:line="270" w:lineRule="exact"/>
        <w:rPr>
          <w:rFonts w:ascii="Arial" w:cs="Arial" w:eastAsia="Arial" w:hAnsi="Arial"/>
          <w:sz w:val="17"/>
          <w:szCs w:val="17"/>
          <w:color w:val="auto"/>
        </w:rPr>
      </w:pPr>
    </w:p>
    <w:p>
      <w:pPr>
        <w:jc w:val="both"/>
        <w:ind w:left="100" w:firstLine="2230"/>
        <w:spacing w:after="0" w:line="271" w:lineRule="auto"/>
        <w:tabs>
          <w:tab w:leader="none" w:pos="258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 Customer</w:t>
      </w:r>
      <w:r>
        <w:rPr>
          <w:rFonts w:ascii="Arial" w:cs="Arial" w:eastAsia="Arial" w:hAnsi="Arial"/>
          <w:sz w:val="18"/>
          <w:szCs w:val="18"/>
          <w:color w:val="auto"/>
        </w:rPr>
        <w:t>” means any individual or entity who (i) is, or was at any time during the one year period prior to the termination of my employment with the Company, a customer, supplier, or vendor of the Company of whom I learned, with whom I had business contact or about whom I obtained Proprietary Information at any time during my employment with the Company, or (ii) is a prospective customer, supplier, or vendor of the Company of whom I learned, with whom I had business contact, or about whom I obtained Proprietary Information as part of a solicitation of business on behalf of the Company at any time during the one year period prior to my termination of employment with the Company.</w:t>
      </w:r>
    </w:p>
    <w:p>
      <w:pPr>
        <w:spacing w:after="0" w:line="204" w:lineRule="exact"/>
        <w:rPr>
          <w:rFonts w:ascii="Arial" w:cs="Arial" w:eastAsia="Arial" w:hAnsi="Arial"/>
          <w:sz w:val="18"/>
          <w:szCs w:val="18"/>
          <w:color w:val="auto"/>
        </w:rPr>
      </w:pPr>
    </w:p>
    <w:p>
      <w:pPr>
        <w:jc w:val="both"/>
        <w:ind w:left="100" w:firstLine="2230"/>
        <w:spacing w:after="0" w:line="279" w:lineRule="auto"/>
        <w:tabs>
          <w:tab w:leader="none" w:pos="257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 Personnel</w:t>
      </w:r>
      <w:r>
        <w:rPr>
          <w:rFonts w:ascii="Arial" w:cs="Arial" w:eastAsia="Arial" w:hAnsi="Arial"/>
          <w:sz w:val="18"/>
          <w:szCs w:val="18"/>
          <w:color w:val="auto"/>
        </w:rPr>
        <w:t>” means any individual or entity who is or was at any time during the six-month period prior to my solicitation or other activity prohibited by Section 6.2, employed or engaged (whether as an employee, consultant, independent contractor or in any other capacity) by the Company.</w:t>
      </w:r>
    </w:p>
    <w:p>
      <w:pPr>
        <w:spacing w:after="0" w:line="209" w:lineRule="exact"/>
        <w:rPr>
          <w:rFonts w:ascii="Arial" w:cs="Arial" w:eastAsia="Arial" w:hAnsi="Arial"/>
          <w:sz w:val="18"/>
          <w:szCs w:val="18"/>
          <w:color w:val="auto"/>
        </w:rPr>
      </w:pPr>
    </w:p>
    <w:p>
      <w:pPr>
        <w:jc w:val="both"/>
        <w:ind w:left="100" w:firstLine="2230"/>
        <w:spacing w:after="0" w:line="279" w:lineRule="auto"/>
        <w:tabs>
          <w:tab w:leader="none" w:pos="256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Territory</w:t>
      </w:r>
      <w:r>
        <w:rPr>
          <w:rFonts w:ascii="Arial" w:cs="Arial" w:eastAsia="Arial" w:hAnsi="Arial"/>
          <w:sz w:val="18"/>
          <w:szCs w:val="18"/>
          <w:color w:val="auto"/>
        </w:rPr>
        <w:t>” means each city, county, state, territory and country in which (i) I provided services or had a material presence or influence at any time during the last two years of my employment with the Company or (ii) the Company is engaged in or has plans to engage in the Business as of the termination of my employment with the Company.</w:t>
      </w:r>
    </w:p>
    <w:p>
      <w:pPr>
        <w:spacing w:after="0" w:line="34" w:lineRule="exact"/>
        <w:rPr>
          <w:rFonts w:ascii="Arial" w:cs="Arial" w:eastAsia="Arial" w:hAnsi="Arial"/>
          <w:sz w:val="18"/>
          <w:szCs w:val="18"/>
          <w:color w:val="auto"/>
        </w:rPr>
      </w:pPr>
    </w:p>
    <w:p>
      <w:pPr>
        <w:ind w:left="100" w:firstLine="748"/>
        <w:spacing w:after="0" w:line="293" w:lineRule="auto"/>
        <w:tabs>
          <w:tab w:leader="none" w:pos="104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Notification to Other Parties</w:t>
      </w:r>
      <w:r>
        <w:rPr>
          <w:rFonts w:ascii="Arial" w:cs="Arial" w:eastAsia="Arial" w:hAnsi="Arial"/>
          <w:sz w:val="18"/>
          <w:szCs w:val="18"/>
          <w:color w:val="auto"/>
        </w:rPr>
        <w:t>. In the event of termination of my employment with the Company for any reason, I hereby consent to notification by the Company to my new employer or other party for whom I work about my rights and obligations under this Agreement.</w:t>
      </w:r>
    </w:p>
    <w:p>
      <w:pPr>
        <w:spacing w:after="0" w:line="196" w:lineRule="exact"/>
        <w:rPr>
          <w:rFonts w:ascii="Arial" w:cs="Arial" w:eastAsia="Arial" w:hAnsi="Arial"/>
          <w:sz w:val="18"/>
          <w:szCs w:val="18"/>
          <w:color w:val="auto"/>
        </w:rPr>
      </w:pPr>
    </w:p>
    <w:p>
      <w:pPr>
        <w:jc w:val="both"/>
        <w:ind w:left="100" w:firstLine="748"/>
        <w:spacing w:after="0" w:line="309" w:lineRule="auto"/>
        <w:tabs>
          <w:tab w:leader="none" w:pos="1034"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Employment at Will</w:t>
      </w:r>
      <w:r>
        <w:rPr>
          <w:rFonts w:ascii="Arial" w:cs="Arial" w:eastAsia="Arial" w:hAnsi="Arial"/>
          <w:sz w:val="16"/>
          <w:szCs w:val="16"/>
          <w:color w:val="auto"/>
        </w:rPr>
        <w:t>. I understand and agree that my employment with the Company is at will. Accordingly, my employment can be terminated at any time, without Cause or notice, at my option or the Company’s option. The at-will nature of my employment also means that I can be transferred or demoted, and my job title, compensation, benefits and other terms and conditions of employment can be reduced, at any time with or without Cause. I acknowledge that such changes shall not affect the enforceability of the Restrictive Covenants or other terms of this Agreement. This at-will status of my employment relationship with the Company shall remain in full force and effect throughout my employment with the Company, and the Restrictive Covenants shall remain in full force and effect pursuant to their terms. The at-will status of my employment can be modified only in a written agreement that expressly alters such status and which is signed by both an authorized officer of the Company and me.</w:t>
      </w:r>
    </w:p>
    <w:p>
      <w:pPr>
        <w:spacing w:after="0" w:line="191" w:lineRule="exact"/>
        <w:rPr>
          <w:rFonts w:ascii="Arial" w:cs="Arial" w:eastAsia="Arial" w:hAnsi="Arial"/>
          <w:sz w:val="16"/>
          <w:szCs w:val="16"/>
          <w:color w:val="auto"/>
        </w:rPr>
      </w:pPr>
    </w:p>
    <w:p>
      <w:pPr>
        <w:ind w:left="1040" w:hanging="183"/>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sz w:val="20"/>
          <w:szCs w:val="20"/>
          <w:color w:val="auto"/>
        </w:rPr>
      </w:pPr>
    </w:p>
    <w:p>
      <w:pPr>
        <w:jc w:val="both"/>
        <w:ind w:left="100" w:firstLine="1481"/>
        <w:spacing w:after="0" w:line="314" w:lineRule="auto"/>
        <w:rPr>
          <w:sz w:val="20"/>
          <w:szCs w:val="20"/>
          <w:color w:val="auto"/>
        </w:rPr>
      </w:pPr>
      <w:r>
        <w:rPr>
          <w:rFonts w:ascii="Arial" w:cs="Arial" w:eastAsia="Arial" w:hAnsi="Arial"/>
          <w:sz w:val="16"/>
          <w:szCs w:val="16"/>
          <w:color w:val="auto"/>
        </w:rPr>
        <w:t>9.1 The parties’ rights and obligations under this Agreement will bind and inure to the benefit of their respective successors, heirs, executors, and administrators and permitted assigns. I will not assign this Agreement or my obligations hereunder without the prior written consent of the Company, which consent may be withheld in the Company’s sole discretion, and any such purported assignment without consent shall be null and void from the beginning. I agree that the Company may freely assign or otherwise transfer this Agreement to any affiliate or successor in interest (whether by way of merger, sale, acquisition or corporate re-organization or any substantially similar process) of the Company.</w:t>
      </w:r>
    </w:p>
    <w:p>
      <w:pPr>
        <w:spacing w:after="0" w:line="187" w:lineRule="exact"/>
        <w:rPr>
          <w:sz w:val="20"/>
          <w:szCs w:val="20"/>
          <w:color w:val="auto"/>
        </w:rPr>
      </w:pPr>
    </w:p>
    <w:p>
      <w:pPr>
        <w:jc w:val="both"/>
        <w:ind w:left="100" w:right="20" w:firstLine="1481"/>
        <w:spacing w:after="0" w:line="359" w:lineRule="auto"/>
        <w:rPr>
          <w:sz w:val="20"/>
          <w:szCs w:val="20"/>
          <w:color w:val="auto"/>
        </w:rPr>
      </w:pPr>
      <w:r>
        <w:rPr>
          <w:rFonts w:ascii="Arial" w:cs="Arial" w:eastAsia="Arial" w:hAnsi="Arial"/>
          <w:sz w:val="16"/>
          <w:szCs w:val="16"/>
          <w:color w:val="auto"/>
        </w:rPr>
        <w:t>9.2 This Agreement constitutes the parties’ final, exclusive and complete understanding and agreement with respect to the subject matter hereof, and supersedes all prior and contemporaneous understandings and agreements, whether oral or written, relating to its subject matter.</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27</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24" w:name="page125"/>
    <w:bookmarkEnd w:id="124"/>
    <w:p>
      <w:pPr>
        <w:jc w:val="both"/>
        <w:ind w:left="100" w:firstLine="1481"/>
        <w:spacing w:after="0" w:line="319" w:lineRule="auto"/>
        <w:rPr>
          <w:sz w:val="20"/>
          <w:szCs w:val="20"/>
          <w:color w:val="auto"/>
        </w:rPr>
      </w:pPr>
      <w:r>
        <w:rPr>
          <w:rFonts w:ascii="Arial" w:cs="Arial" w:eastAsia="Arial" w:hAnsi="Arial"/>
          <w:sz w:val="16"/>
          <w:szCs w:val="16"/>
          <w:color w:val="auto"/>
        </w:rPr>
        <w:t>9.3 Any subsequent change or changes in my duties, obligations, rights or compensation will not affect the validity or scope of this Agreement. This Agreement may not be waived, modified or amended unless mutually agreed upon in writing by both parties.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183" w:lineRule="exact"/>
        <w:rPr>
          <w:sz w:val="20"/>
          <w:szCs w:val="20"/>
          <w:color w:val="auto"/>
        </w:rPr>
      </w:pPr>
    </w:p>
    <w:p>
      <w:pPr>
        <w:jc w:val="both"/>
        <w:ind w:left="100" w:firstLine="1481"/>
        <w:spacing w:after="0" w:line="272" w:lineRule="auto"/>
        <w:rPr>
          <w:sz w:val="20"/>
          <w:szCs w:val="20"/>
          <w:color w:val="auto"/>
        </w:rPr>
      </w:pPr>
      <w:r>
        <w:rPr>
          <w:rFonts w:ascii="Arial" w:cs="Arial" w:eastAsia="Arial" w:hAnsi="Arial"/>
          <w:sz w:val="18"/>
          <w:szCs w:val="18"/>
          <w:color w:val="auto"/>
        </w:rPr>
        <w:t>9.4 If any provision of this Agreement is found by a proper authority to be unenforceable or invalid such unenforceability or invalidity shall not render this Agreement unenforceable or invalid as a whole and in such event, such provision shall be changed and interpreted so as to best accomplish the objectives of such unenforceable or invalid provision within the limits of applicable law or applicable court decisions and the remainder of the terms, provisions, covenants and restrictions of this Agreement shall remain in full force and effect and shall in no way be affected, impaired or invalidated.</w:t>
      </w:r>
    </w:p>
    <w:p>
      <w:pPr>
        <w:spacing w:after="0" w:line="42" w:lineRule="exact"/>
        <w:rPr>
          <w:sz w:val="20"/>
          <w:szCs w:val="20"/>
          <w:color w:val="auto"/>
        </w:rPr>
      </w:pPr>
    </w:p>
    <w:p>
      <w:pPr>
        <w:jc w:val="both"/>
        <w:ind w:left="100" w:firstLine="1481"/>
        <w:spacing w:after="0" w:line="275" w:lineRule="auto"/>
        <w:rPr>
          <w:sz w:val="20"/>
          <w:szCs w:val="20"/>
          <w:color w:val="auto"/>
        </w:rPr>
      </w:pPr>
      <w:r>
        <w:rPr>
          <w:rFonts w:ascii="Arial" w:cs="Arial" w:eastAsia="Arial" w:hAnsi="Arial"/>
          <w:sz w:val="18"/>
          <w:szCs w:val="18"/>
          <w:color w:val="auto"/>
        </w:rPr>
        <w:t>9.5 I acknowledge that the Company will suffer substantial damages not readily ascertainable or compensable in terms of money in the event of the breach of any of my obligations under this Agreement. I therefore agree that the Company shall be entitled (without limitation of any other rights or remedies otherwise available to the Company) to obtain an injunction from any court of competent jurisdiction prohibiting the continuance or recurrence of any breach of this Agreement.</w:t>
      </w:r>
    </w:p>
    <w:p>
      <w:pPr>
        <w:spacing w:after="0" w:line="280" w:lineRule="exact"/>
        <w:rPr>
          <w:sz w:val="20"/>
          <w:szCs w:val="20"/>
          <w:color w:val="auto"/>
        </w:rPr>
      </w:pPr>
    </w:p>
    <w:p>
      <w:pPr>
        <w:jc w:val="both"/>
        <w:ind w:left="100" w:firstLine="1481"/>
        <w:spacing w:after="0" w:line="314" w:lineRule="auto"/>
        <w:rPr>
          <w:sz w:val="20"/>
          <w:szCs w:val="20"/>
          <w:color w:val="auto"/>
        </w:rPr>
      </w:pPr>
      <w:r>
        <w:rPr>
          <w:rFonts w:ascii="Arial" w:cs="Arial" w:eastAsia="Arial" w:hAnsi="Arial"/>
          <w:sz w:val="16"/>
          <w:szCs w:val="16"/>
          <w:color w:val="auto"/>
        </w:rPr>
        <w:t>9.6 The rights and obligations of the parties under this Agreement shall be governed in all respects by the laws of the Commonwealth of Massachusetts exclusively, without reference to any conflict of laws rule that would result in the application of the laws of any other jurisdiction. The parties agree that all disputes arising under this Agreement shall be adjudicated in the state and federal courts having jurisdiction over disputes arising in Suffolk County, and I hereby agree to consent to the personal jurisdiction of such court. The Company and I each hereby irrevocably waive any right to a trial by jury in any action, suit or other legal proceeding arising under or relating to any provision of this Agreement.</w:t>
      </w:r>
    </w:p>
    <w:p>
      <w:pPr>
        <w:spacing w:after="0" w:line="187" w:lineRule="exact"/>
        <w:rPr>
          <w:sz w:val="20"/>
          <w:szCs w:val="20"/>
          <w:color w:val="auto"/>
        </w:rPr>
      </w:pPr>
    </w:p>
    <w:p>
      <w:pPr>
        <w:jc w:val="both"/>
        <w:ind w:left="100" w:firstLine="1481"/>
        <w:spacing w:after="0" w:line="279" w:lineRule="auto"/>
        <w:rPr>
          <w:sz w:val="20"/>
          <w:szCs w:val="20"/>
          <w:color w:val="auto"/>
        </w:rPr>
      </w:pPr>
      <w:r>
        <w:rPr>
          <w:rFonts w:ascii="Arial" w:cs="Arial" w:eastAsia="Arial" w:hAnsi="Arial"/>
          <w:sz w:val="18"/>
          <w:szCs w:val="18"/>
          <w:color w:val="auto"/>
        </w:rPr>
        <w:t>9.7 Any notices required or permitted hereunder shall be given to the appropriate party at the address specified on the signature page to this Agreement or at such other address as the party shall specify in writing. Such notice shall be deemed given upon personal delivery, or sent by certified or registered mail, postage prepaid, three days after the date of mailing.</w:t>
      </w:r>
    </w:p>
    <w:p>
      <w:pPr>
        <w:spacing w:after="0" w:line="277" w:lineRule="exact"/>
        <w:rPr>
          <w:sz w:val="20"/>
          <w:szCs w:val="20"/>
          <w:color w:val="auto"/>
        </w:rPr>
      </w:pPr>
    </w:p>
    <w:p>
      <w:pPr>
        <w:jc w:val="both"/>
        <w:ind w:left="100" w:firstLine="1481"/>
        <w:spacing w:after="0" w:line="293" w:lineRule="auto"/>
        <w:rPr>
          <w:sz w:val="20"/>
          <w:szCs w:val="20"/>
          <w:color w:val="auto"/>
        </w:rPr>
      </w:pPr>
      <w:r>
        <w:rPr>
          <w:rFonts w:ascii="Arial" w:cs="Arial" w:eastAsia="Arial" w:hAnsi="Arial"/>
          <w:sz w:val="18"/>
          <w:szCs w:val="18"/>
          <w:color w:val="auto"/>
        </w:rPr>
        <w:t>9.8 Except as otherwise provided herein, the provisions of this Agreement shall survive the termination of my employment with the Company for any reason.</w:t>
      </w:r>
    </w:p>
    <w:p>
      <w:pPr>
        <w:spacing w:after="0" w:line="183" w:lineRule="exact"/>
        <w:rPr>
          <w:sz w:val="20"/>
          <w:szCs w:val="20"/>
          <w:color w:val="auto"/>
        </w:rPr>
      </w:pPr>
    </w:p>
    <w:p>
      <w:pPr>
        <w:jc w:val="both"/>
        <w:ind w:left="100" w:firstLine="1481"/>
        <w:spacing w:after="0" w:line="275" w:lineRule="auto"/>
        <w:rPr>
          <w:sz w:val="20"/>
          <w:szCs w:val="20"/>
          <w:color w:val="auto"/>
        </w:rPr>
      </w:pPr>
      <w:r>
        <w:rPr>
          <w:rFonts w:ascii="Arial" w:cs="Arial" w:eastAsia="Arial" w:hAnsi="Arial"/>
          <w:sz w:val="18"/>
          <w:szCs w:val="18"/>
          <w:color w:val="auto"/>
        </w:rPr>
        <w:t>9.9 This Agreement may be executed in any number of counterparts, each of which shall be deemed to be an original and all of which together shall be deemed to be one and the same instrument. A facsimile, PDF (or any electronic signature complying with the U.S. federal ESIGN Act of 2000, e.g., www.docusign.com) or any other type of copy of an executed version of this Agreement signed by a party is binding upon the signing party to the same extent as the original of the signed agreement.</w:t>
      </w:r>
    </w:p>
    <w:p>
      <w:pPr>
        <w:spacing w:after="0" w:line="208"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color w:val="auto"/>
        </w:rPr>
        <w:t>I ACKNOWLEDGE THAT I HAVE THE RIGHT TO CONSULT WITH INDEPENDENT LEGAL COUNSEL PRIOR TO SIGNING THIS AGREEMENT AND HAVE HAD A REASONABLE OPPORTUNITY TO DO SO, AND THAT I EITHER HAVE CONSULTED, OR ON MY OWN VOLITION CHOSEN NOT TO CONSULT, WITH SUCH COUNSEL. I FURTHER ACKNOWLEDGE THAT I HAVE READ THIS AGREEMENT CAREFULLY AND I UNDERSTAND AND ACCEPT THE OBLIGATIONS WHICH IT IMPOSES UPON ME WITHOUT RESERVATION. NO PROMISES OR REPRESENTATIONS HAVE BEEN MADE TO ME TO INDUCE ME TO SIGN THIS AGREEMENT. I SIGN THIS AGREEMENT VOLUNTARILY AND FREELY, IN DUPLICATE, WITH THE UNDERSTANDING THAT THE COMPANY WILL RETAIN ONE COUNTERPART AND THE OTHER COUNTERPART WILL BE RETAINED BY ME.</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28</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49" w:right="459" w:bottom="1440" w:gutter="0" w:footer="0" w:header="0"/>
        </w:sectPr>
      </w:pPr>
    </w:p>
    <w:bookmarkStart w:id="125" w:name="page126"/>
    <w:bookmarkEnd w:id="125"/>
    <w:p>
      <w:pPr>
        <w:ind w:left="120"/>
        <w:spacing w:after="0"/>
        <w:rPr>
          <w:sz w:val="20"/>
          <w:szCs w:val="20"/>
          <w:color w:val="auto"/>
        </w:rPr>
      </w:pPr>
      <w:r>
        <w:rPr>
          <w:rFonts w:ascii="Arial" w:cs="Arial" w:eastAsia="Arial" w:hAnsi="Arial"/>
          <w:sz w:val="18"/>
          <w:szCs w:val="18"/>
          <w:color w:val="auto"/>
        </w:rPr>
        <w:t>IN WITNESS WHEREOF, I have executed this document as of August 5, 2021.</w:t>
      </w:r>
    </w:p>
    <w:p>
      <w:pPr>
        <w:spacing w:after="0" w:line="200" w:lineRule="exact"/>
        <w:rPr>
          <w:sz w:val="20"/>
          <w:szCs w:val="20"/>
          <w:color w:val="auto"/>
        </w:rPr>
      </w:pPr>
    </w:p>
    <w:p>
      <w:pPr>
        <w:spacing w:after="0" w:line="30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Tillman Gerngross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23495</wp:posOffset>
            </wp:positionV>
            <wp:extent cx="39173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73"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Employee: Tillman Gerngross</w:t>
      </w:r>
    </w:p>
    <w:p>
      <w:pPr>
        <w:sectPr>
          <w:pgSz w:w="11900" w:h="16838" w:orient="portrait"/>
          <w:cols w:equalWidth="0" w:num="1">
            <w:col w:w="10119"/>
          </w:cols>
          <w:pgMar w:left="340" w:top="422" w:right="1440" w:bottom="1440" w:gutter="0" w:footer="0" w:header="0"/>
        </w:sectPr>
      </w:pPr>
    </w:p>
    <w:p>
      <w:pPr>
        <w:spacing w:after="0" w:line="27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2 Parkway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Hanover NH 03755</w:t>
      </w:r>
    </w:p>
    <w:p>
      <w:pPr>
        <w:spacing w:after="0" w:line="200" w:lineRule="exact"/>
        <w:rPr>
          <w:sz w:val="20"/>
          <w:szCs w:val="20"/>
          <w:color w:val="auto"/>
        </w:rPr>
      </w:pPr>
    </w:p>
    <w:p>
      <w:pPr>
        <w:sectPr>
          <w:pgSz w:w="11900" w:h="16838" w:orient="portrait"/>
          <w:cols w:equalWidth="0" w:num="2">
            <w:col w:w="5700" w:space="500"/>
            <w:col w:w="3919"/>
          </w:cols>
          <w:pgMar w:left="340" w:top="422" w:right="1440" w:bottom="1440" w:gutter="0" w:footer="0" w:header="0"/>
          <w:type w:val="continuous"/>
        </w:sectPr>
      </w:pPr>
    </w:p>
    <w:p>
      <w:pPr>
        <w:spacing w:after="0" w:line="81"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29</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22" w:right="1440" w:bottom="1440" w:gutter="0" w:footer="0" w:header="0"/>
          <w:type w:val="continuous"/>
        </w:sectPr>
      </w:pPr>
    </w:p>
    <w:bookmarkStart w:id="126" w:name="page127"/>
    <w:bookmarkEnd w:id="126"/>
    <w:p>
      <w:pPr>
        <w:ind w:left="120"/>
        <w:spacing w:after="0"/>
        <w:rPr>
          <w:sz w:val="20"/>
          <w:szCs w:val="20"/>
          <w:color w:val="auto"/>
        </w:rPr>
      </w:pPr>
      <w:r>
        <w:rPr>
          <w:rFonts w:ascii="Arial" w:cs="Arial" w:eastAsia="Arial" w:hAnsi="Arial"/>
          <w:sz w:val="18"/>
          <w:szCs w:val="18"/>
          <w:color w:val="auto"/>
        </w:rPr>
        <w:t>IN WITNESS WHEREOF, I have executed this document as of August 5, 2021.</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AGREED AND ACKNOWLEDGED:</w:t>
      </w:r>
    </w:p>
    <w:p>
      <w:pPr>
        <w:spacing w:after="0" w:line="10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ADAGIO THERAPEUTICS, INC.</w:t>
      </w:r>
    </w:p>
    <w:p>
      <w:pPr>
        <w:spacing w:after="0" w:line="200" w:lineRule="exact"/>
        <w:rPr>
          <w:sz w:val="20"/>
          <w:szCs w:val="20"/>
          <w:color w:val="auto"/>
        </w:rPr>
      </w:pPr>
    </w:p>
    <w:p>
      <w:pPr>
        <w:spacing w:after="0" w:line="322"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René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23495</wp:posOffset>
            </wp:positionV>
            <wp:extent cx="35490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7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René Russo</w:t>
      </w:r>
    </w:p>
    <w:p>
      <w:pPr>
        <w:spacing w:after="0" w:line="27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Chair of the Board of Directors</w:t>
      </w:r>
    </w:p>
    <w:p>
      <w:pPr>
        <w:spacing w:after="0" w:line="279" w:lineRule="exact"/>
        <w:rPr>
          <w:sz w:val="20"/>
          <w:szCs w:val="20"/>
          <w:color w:val="auto"/>
        </w:rPr>
      </w:pPr>
    </w:p>
    <w:p>
      <w:pPr>
        <w:jc w:val="right"/>
        <w:ind w:right="1479"/>
        <w:spacing w:after="0"/>
        <w:rPr>
          <w:sz w:val="20"/>
          <w:szCs w:val="20"/>
          <w:color w:val="auto"/>
        </w:rPr>
      </w:pPr>
      <w:r>
        <w:rPr>
          <w:rFonts w:ascii="Arial" w:cs="Arial" w:eastAsia="Arial" w:hAnsi="Arial"/>
          <w:sz w:val="18"/>
          <w:szCs w:val="18"/>
          <w:color w:val="auto"/>
        </w:rPr>
        <w:t>Address: 303 Wyman Street, Waltham, Ma 02451</w:t>
      </w:r>
    </w:p>
    <w:p>
      <w:pPr>
        <w:spacing w:after="0" w:line="200" w:lineRule="exact"/>
        <w:rPr>
          <w:sz w:val="20"/>
          <w:szCs w:val="20"/>
          <w:color w:val="auto"/>
        </w:rPr>
      </w:pPr>
    </w:p>
    <w:p>
      <w:pPr>
        <w:spacing w:after="0" w:line="301"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30</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22" w:right="1440" w:bottom="1440" w:gutter="0" w:footer="0" w:header="0"/>
        </w:sectPr>
      </w:pPr>
    </w:p>
    <w:bookmarkStart w:id="127" w:name="page128"/>
    <w:bookmarkEnd w:id="127"/>
    <w:p>
      <w:pPr>
        <w:jc w:val="center"/>
        <w:ind w:right="-119"/>
        <w:spacing w:after="0"/>
        <w:rPr>
          <w:sz w:val="20"/>
          <w:szCs w:val="20"/>
          <w:color w:val="auto"/>
        </w:rPr>
      </w:pPr>
      <w:r>
        <w:rPr>
          <w:rFonts w:ascii="Arial" w:cs="Arial" w:eastAsia="Arial" w:hAnsi="Arial"/>
          <w:sz w:val="18"/>
          <w:szCs w:val="18"/>
          <w:u w:val="single" w:color="auto"/>
          <w:color w:val="auto"/>
        </w:rPr>
        <w:t>EXHIBIT A</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CALIFORNIA LABOR CODE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California Labor Code § 2870</w:t>
      </w:r>
      <w:r>
        <w:rPr>
          <w:rFonts w:ascii="Arial" w:cs="Arial" w:eastAsia="Arial" w:hAnsi="Arial"/>
          <w:sz w:val="17"/>
          <w:szCs w:val="17"/>
          <w:color w:val="auto"/>
        </w:rPr>
        <w:t>. Application of provision providing that employee shall assign or offer to assign rights in invention to employer.</w:t>
      </w:r>
    </w:p>
    <w:p>
      <w:pPr>
        <w:spacing w:after="0" w:line="264" w:lineRule="exact"/>
        <w:rPr>
          <w:sz w:val="20"/>
          <w:szCs w:val="20"/>
          <w:color w:val="auto"/>
        </w:rPr>
      </w:pPr>
    </w:p>
    <w:p>
      <w:pPr>
        <w:jc w:val="both"/>
        <w:ind w:left="100" w:firstLine="2230"/>
        <w:spacing w:after="0" w:line="303" w:lineRule="auto"/>
        <w:tabs>
          <w:tab w:leader="none" w:pos="2577"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91" w:lineRule="exact"/>
        <w:rPr>
          <w:rFonts w:ascii="Arial" w:cs="Arial" w:eastAsia="Arial" w:hAnsi="Arial"/>
          <w:sz w:val="17"/>
          <w:szCs w:val="17"/>
          <w:color w:val="auto"/>
        </w:rPr>
      </w:pPr>
    </w:p>
    <w:p>
      <w:pPr>
        <w:ind w:left="1160" w:right="860" w:hanging="486"/>
        <w:spacing w:after="0" w:line="293" w:lineRule="auto"/>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196" w:lineRule="exact"/>
        <w:rPr>
          <w:rFonts w:ascii="Arial" w:cs="Arial" w:eastAsia="Arial" w:hAnsi="Arial"/>
          <w:sz w:val="18"/>
          <w:szCs w:val="18"/>
          <w:color w:val="auto"/>
        </w:rPr>
      </w:pPr>
    </w:p>
    <w:p>
      <w:pPr>
        <w:ind w:left="1160" w:hanging="486"/>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252" w:lineRule="exact"/>
        <w:rPr>
          <w:rFonts w:ascii="Arial" w:cs="Arial" w:eastAsia="Arial" w:hAnsi="Arial"/>
          <w:sz w:val="18"/>
          <w:szCs w:val="18"/>
          <w:color w:val="auto"/>
        </w:rPr>
      </w:pPr>
    </w:p>
    <w:p>
      <w:pPr>
        <w:jc w:val="both"/>
        <w:ind w:left="100" w:firstLine="2230"/>
        <w:spacing w:after="0" w:line="299" w:lineRule="auto"/>
        <w:tabs>
          <w:tab w:leader="none" w:pos="2611" w:val="left"/>
        </w:tabs>
        <w:numPr>
          <w:ilvl w:val="1"/>
          <w:numId w:val="66"/>
        </w:numPr>
        <w:rPr>
          <w:rFonts w:ascii="Arial" w:cs="Arial" w:eastAsia="Arial" w:hAnsi="Arial"/>
          <w:sz w:val="16"/>
          <w:szCs w:val="16"/>
          <w:color w:val="auto"/>
        </w:rPr>
      </w:pPr>
      <w:r>
        <w:rPr>
          <w:rFonts w:ascii="Arial" w:cs="Arial" w:eastAsia="Arial" w:hAnsi="Arial"/>
          <w:sz w:val="16"/>
          <w:szCs w:val="16"/>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31</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36" w:right="459" w:bottom="1440" w:gutter="0" w:footer="0" w:header="0"/>
        </w:sectPr>
      </w:pPr>
    </w:p>
    <w:bookmarkStart w:id="128" w:name="page129"/>
    <w:bookmarkEnd w:id="128"/>
    <w:p>
      <w:pPr>
        <w:jc w:val="center"/>
        <w:ind w:right="-819"/>
        <w:spacing w:after="0"/>
        <w:rPr>
          <w:sz w:val="20"/>
          <w:szCs w:val="20"/>
          <w:color w:val="auto"/>
        </w:rPr>
      </w:pPr>
      <w:r>
        <w:rPr>
          <w:rFonts w:ascii="Arial" w:cs="Arial" w:eastAsia="Arial" w:hAnsi="Arial"/>
          <w:sz w:val="18"/>
          <w:szCs w:val="18"/>
          <w:u w:val="single" w:color="auto"/>
          <w:color w:val="auto"/>
        </w:rPr>
        <w:t>EXHIBIT B</w:t>
      </w:r>
    </w:p>
    <w:p>
      <w:pPr>
        <w:spacing w:after="0" w:line="26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BACKGROUND TECHNOLOGY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List here prior contracts to assign Inventions that are now in existence between any other person or entity and you.</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 am involved in the following entities and as such have assigned inventions to them:</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co-founder of Adimab, LLC and serves as its Chief Executive Officer and as a director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co-founder and Chairman of Avitide,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co-founder and Chairman of Alector,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co-founder and Chairman of Amagma,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co-founder, and Chairman of Ankyra Therapeutics, Inc.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Venture Partner at SV Life Sciences Advisors, LLC</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is a full professor at the Thayer School of Engineering, at Dartmouth College</w:t>
      </w:r>
    </w:p>
    <w:p>
      <w:pPr>
        <w:spacing w:after="0" w:line="200" w:lineRule="exact"/>
        <w:rPr>
          <w:sz w:val="20"/>
          <w:szCs w:val="20"/>
          <w:color w:val="auto"/>
        </w:rPr>
      </w:pPr>
    </w:p>
    <w:p>
      <w:pPr>
        <w:spacing w:after="0" w:line="241"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color w:val="auto"/>
        </w:rPr>
        <w:t>List here previous Inventions which you desire to have specifically excluded from the operation of this Agreement. Continue on reverse side if necessary.</w:t>
      </w:r>
    </w:p>
    <w:p>
      <w:pPr>
        <w:spacing w:after="0" w:line="1"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32</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254046936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40" w:top="436" w:right="117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10.6</w:t>
      </w:r>
    </w:p>
    <w:p>
      <w:pPr>
        <w:spacing w:after="0" w:line="7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56" w:lineRule="exact"/>
        <w:rPr>
          <w:sz w:val="20"/>
          <w:szCs w:val="20"/>
          <w:color w:val="auto"/>
        </w:rPr>
      </w:pPr>
    </w:p>
    <w:p>
      <w:pPr>
        <w:ind w:left="120" w:right="260" w:firstLine="749"/>
        <w:spacing w:after="0" w:line="329" w:lineRule="auto"/>
        <w:rPr>
          <w:sz w:val="20"/>
          <w:szCs w:val="20"/>
          <w:color w:val="auto"/>
        </w:rPr>
      </w:pPr>
      <w:r>
        <w:rPr>
          <w:rFonts w:ascii="Arial" w:cs="Arial" w:eastAsia="Arial" w:hAnsi="Arial"/>
          <w:sz w:val="16"/>
          <w:szCs w:val="16"/>
          <w:color w:val="auto"/>
        </w:rPr>
        <w:t>This Amended and Restated Employment Agreement (“</w:t>
      </w:r>
      <w:r>
        <w:rPr>
          <w:rFonts w:ascii="Arial" w:cs="Arial" w:eastAsia="Arial" w:hAnsi="Arial"/>
          <w:sz w:val="16"/>
          <w:szCs w:val="16"/>
          <w:b w:val="1"/>
          <w:bCs w:val="1"/>
          <w:i w:val="1"/>
          <w:iCs w:val="1"/>
          <w:u w:val="single" w:color="auto"/>
          <w:color w:val="auto"/>
        </w:rPr>
        <w:t>Agreement</w:t>
      </w:r>
      <w:r>
        <w:rPr>
          <w:rFonts w:ascii="Arial" w:cs="Arial" w:eastAsia="Arial" w:hAnsi="Arial"/>
          <w:sz w:val="16"/>
          <w:szCs w:val="16"/>
          <w:color w:val="auto"/>
        </w:rPr>
        <w:t>”) is made between Adagio Therapeutics, Inc., a Delaware corporation (the “</w:t>
      </w:r>
      <w:r>
        <w:rPr>
          <w:rFonts w:ascii="Arial" w:cs="Arial" w:eastAsia="Arial" w:hAnsi="Arial"/>
          <w:sz w:val="16"/>
          <w:szCs w:val="16"/>
          <w:b w:val="1"/>
          <w:bCs w:val="1"/>
          <w:i w:val="1"/>
          <w:iCs w:val="1"/>
          <w:u w:val="single" w:color="auto"/>
          <w:color w:val="auto"/>
        </w:rPr>
        <w:t>Company</w:t>
      </w:r>
      <w:r>
        <w:rPr>
          <w:rFonts w:ascii="Arial" w:cs="Arial" w:eastAsia="Arial" w:hAnsi="Arial"/>
          <w:sz w:val="16"/>
          <w:szCs w:val="16"/>
          <w:color w:val="auto"/>
        </w:rPr>
        <w:t>”), and Lynn Connolly (the “</w:t>
      </w:r>
      <w:r>
        <w:rPr>
          <w:rFonts w:ascii="Arial" w:cs="Arial" w:eastAsia="Arial" w:hAnsi="Arial"/>
          <w:sz w:val="16"/>
          <w:szCs w:val="16"/>
          <w:b w:val="1"/>
          <w:bCs w:val="1"/>
          <w:i w:val="1"/>
          <w:iCs w:val="1"/>
          <w:u w:val="single" w:color="auto"/>
          <w:color w:val="auto"/>
        </w:rPr>
        <w:t>Executive</w:t>
      </w:r>
      <w:r>
        <w:rPr>
          <w:rFonts w:ascii="Arial" w:cs="Arial" w:eastAsia="Arial" w:hAnsi="Arial"/>
          <w:sz w:val="16"/>
          <w:szCs w:val="16"/>
          <w:color w:val="auto"/>
        </w:rPr>
        <w:t>”), this 5th day of August, 2021. This Agreement amends, restates, and supersedes in its entirety that certain Employment Agreement, dated November 9, 2020 (the “</w:t>
      </w:r>
      <w:r>
        <w:rPr>
          <w:rFonts w:ascii="Arial" w:cs="Arial" w:eastAsia="Arial" w:hAnsi="Arial"/>
          <w:sz w:val="16"/>
          <w:szCs w:val="16"/>
          <w:b w:val="1"/>
          <w:bCs w:val="1"/>
          <w:i w:val="1"/>
          <w:iCs w:val="1"/>
          <w:u w:val="single" w:color="auto"/>
          <w:color w:val="auto"/>
        </w:rPr>
        <w:t>Prior Agreement</w:t>
      </w:r>
      <w:r>
        <w:rPr>
          <w:rFonts w:ascii="Arial" w:cs="Arial" w:eastAsia="Arial" w:hAnsi="Arial"/>
          <w:sz w:val="16"/>
          <w:szCs w:val="16"/>
          <w:color w:val="auto"/>
        </w:rPr>
        <w:t>”), between the Executive and the Company.</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66" w:lineRule="exact"/>
        <w:rPr>
          <w:sz w:val="20"/>
          <w:szCs w:val="20"/>
          <w:color w:val="auto"/>
        </w:rPr>
      </w:pPr>
    </w:p>
    <w:p>
      <w:pPr>
        <w:ind w:left="120" w:right="400" w:firstLine="749"/>
        <w:spacing w:after="0" w:line="359" w:lineRule="auto"/>
        <w:rPr>
          <w:sz w:val="20"/>
          <w:szCs w:val="20"/>
          <w:color w:val="auto"/>
        </w:rPr>
      </w:pPr>
      <w:r>
        <w:rPr>
          <w:rFonts w:ascii="Arial" w:cs="Arial" w:eastAsia="Arial" w:hAnsi="Arial"/>
          <w:sz w:val="16"/>
          <w:szCs w:val="16"/>
          <w:color w:val="auto"/>
        </w:rPr>
        <w:t>WHEREAS, the Company and the Executive desire to amend and restate the Prior Agreement in the manner set forth herein in connection with the Offering, effective as of the date on which the registration statement relating to the Offering is effective (the “</w:t>
      </w:r>
      <w:r>
        <w:rPr>
          <w:rFonts w:ascii="Arial" w:cs="Arial" w:eastAsia="Arial" w:hAnsi="Arial"/>
          <w:sz w:val="16"/>
          <w:szCs w:val="16"/>
          <w:b w:val="1"/>
          <w:bCs w:val="1"/>
          <w:i w:val="1"/>
          <w:iCs w:val="1"/>
          <w:u w:val="single" w:color="auto"/>
          <w:color w:val="auto"/>
        </w:rPr>
        <w:t>Effective Date</w:t>
      </w:r>
      <w:r>
        <w:rPr>
          <w:rFonts w:ascii="Arial" w:cs="Arial" w:eastAsia="Arial" w:hAnsi="Arial"/>
          <w:sz w:val="16"/>
          <w:szCs w:val="16"/>
          <w:color w:val="auto"/>
        </w:rPr>
        <w:t>”).</w:t>
      </w:r>
    </w:p>
    <w:p>
      <w:pPr>
        <w:spacing w:after="0" w:line="152" w:lineRule="exact"/>
        <w:rPr>
          <w:sz w:val="20"/>
          <w:szCs w:val="20"/>
          <w:color w:val="auto"/>
        </w:rPr>
      </w:pPr>
    </w:p>
    <w:p>
      <w:pPr>
        <w:ind w:left="120" w:right="260" w:firstLine="749"/>
        <w:spacing w:after="0" w:line="29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83" w:lineRule="exact"/>
        <w:rPr>
          <w:sz w:val="20"/>
          <w:szCs w:val="20"/>
          <w:color w:val="auto"/>
        </w:rPr>
      </w:pPr>
    </w:p>
    <w:p>
      <w:pPr>
        <w:ind w:left="1040" w:hanging="183"/>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0" w:right="320" w:firstLine="1505"/>
        <w:spacing w:after="0" w:line="296" w:lineRule="auto"/>
        <w:tabs>
          <w:tab w:leader="none" w:pos="1842"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7"/>
          <w:szCs w:val="17"/>
          <w:b w:val="1"/>
          <w:bCs w:val="1"/>
          <w:i w:val="1"/>
          <w:iCs w:val="1"/>
          <w:u w:val="single" w:color="auto"/>
          <w:color w:val="auto"/>
        </w:rPr>
        <w:t>Term</w:t>
      </w:r>
      <w:r>
        <w:rPr>
          <w:rFonts w:ascii="Arial" w:cs="Arial" w:eastAsia="Arial" w:hAnsi="Arial"/>
          <w:sz w:val="17"/>
          <w:szCs w:val="17"/>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96" w:lineRule="exact"/>
        <w:rPr>
          <w:rFonts w:ascii="Arial" w:cs="Arial" w:eastAsia="Arial" w:hAnsi="Arial"/>
          <w:sz w:val="17"/>
          <w:szCs w:val="17"/>
          <w:color w:val="auto"/>
        </w:rPr>
      </w:pPr>
    </w:p>
    <w:p>
      <w:pPr>
        <w:ind w:left="1860" w:hanging="255"/>
        <w:spacing w:after="0"/>
        <w:tabs>
          <w:tab w:leader="none" w:pos="186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52" w:lineRule="exact"/>
        <w:rPr>
          <w:sz w:val="20"/>
          <w:szCs w:val="20"/>
          <w:color w:val="auto"/>
        </w:rPr>
      </w:pPr>
    </w:p>
    <w:p>
      <w:pPr>
        <w:ind w:left="120" w:right="200"/>
        <w:spacing w:after="0" w:line="279" w:lineRule="auto"/>
        <w:rPr>
          <w:sz w:val="20"/>
          <w:szCs w:val="20"/>
          <w:color w:val="auto"/>
        </w:rPr>
      </w:pPr>
      <w:r>
        <w:rPr>
          <w:rFonts w:ascii="Arial" w:cs="Arial" w:eastAsia="Arial" w:hAnsi="Arial"/>
          <w:sz w:val="18"/>
          <w:szCs w:val="18"/>
          <w:color w:val="auto"/>
        </w:rPr>
        <w:t>The Executive shall serve as the Chief Medical Officer of the Company and shall have such powers and duties as customarily associated with the office of Chief Medical Officer, and as may from time to time be prescribed by the Chief Executive Officer of the Company (the “</w:t>
      </w:r>
      <w:r>
        <w:rPr>
          <w:rFonts w:ascii="Arial" w:cs="Arial" w:eastAsia="Arial" w:hAnsi="Arial"/>
          <w:sz w:val="18"/>
          <w:szCs w:val="18"/>
          <w:b w:val="1"/>
          <w:bCs w:val="1"/>
          <w:i w:val="1"/>
          <w:iCs w:val="1"/>
          <w:u w:val="single" w:color="auto"/>
          <w:color w:val="auto"/>
        </w:rPr>
        <w:t>CEO</w:t>
      </w:r>
      <w:r>
        <w:rPr>
          <w:rFonts w:ascii="Arial" w:cs="Arial" w:eastAsia="Arial" w:hAnsi="Arial"/>
          <w:sz w:val="18"/>
          <w:szCs w:val="18"/>
          <w:color w:val="auto"/>
        </w:rPr>
        <w:t>”), subject to the direction and control of the CEO. The Executive shall report to the CEO.</w:t>
      </w:r>
    </w:p>
    <w:p>
      <w:pPr>
        <w:spacing w:after="0" w:line="210" w:lineRule="exact"/>
        <w:rPr>
          <w:sz w:val="20"/>
          <w:szCs w:val="20"/>
          <w:color w:val="auto"/>
        </w:rPr>
      </w:pPr>
    </w:p>
    <w:p>
      <w:pPr>
        <w:ind w:left="120" w:right="580"/>
        <w:spacing w:after="0" w:line="314" w:lineRule="auto"/>
        <w:rPr>
          <w:sz w:val="20"/>
          <w:szCs w:val="20"/>
          <w:color w:val="auto"/>
        </w:rPr>
      </w:pPr>
      <w:r>
        <w:rPr>
          <w:rFonts w:ascii="Arial" w:cs="Arial" w:eastAsia="Arial" w:hAnsi="Arial"/>
          <w:sz w:val="16"/>
          <w:szCs w:val="16"/>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pacing w:after="0" w:line="173" w:lineRule="exact"/>
        <w:rPr>
          <w:sz w:val="20"/>
          <w:szCs w:val="20"/>
          <w:color w:val="auto"/>
        </w:rPr>
      </w:pPr>
    </w:p>
    <w:p>
      <w:pPr>
        <w:ind w:left="100" w:right="320" w:firstLine="1505"/>
        <w:spacing w:after="0" w:line="293" w:lineRule="auto"/>
        <w:tabs>
          <w:tab w:leader="none" w:pos="184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Outside Activities</w:t>
      </w:r>
      <w:r>
        <w:rPr>
          <w:rFonts w:ascii="Arial" w:cs="Arial" w:eastAsia="Arial" w:hAnsi="Arial"/>
          <w:sz w:val="18"/>
          <w:szCs w:val="18"/>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197" w:lineRule="exact"/>
        <w:rPr>
          <w:sz w:val="20"/>
          <w:szCs w:val="20"/>
          <w:color w:val="auto"/>
        </w:rPr>
      </w:pPr>
    </w:p>
    <w:p>
      <w:pPr>
        <w:ind w:left="120" w:right="260"/>
        <w:spacing w:after="0" w:line="290" w:lineRule="auto"/>
        <w:rPr>
          <w:sz w:val="20"/>
          <w:szCs w:val="20"/>
          <w:color w:val="auto"/>
        </w:rPr>
      </w:pPr>
      <w:r>
        <w:rPr>
          <w:rFonts w:ascii="Arial" w:cs="Arial" w:eastAsia="Arial" w:hAnsi="Arial"/>
          <w:sz w:val="17"/>
          <w:szCs w:val="17"/>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8 below) or cause any reputational damage to the Company as reasonably determined by the Board.</w:t>
      </w:r>
    </w:p>
    <w:p>
      <w:pPr>
        <w:spacing w:after="0" w:line="189" w:lineRule="exact"/>
        <w:rPr>
          <w:sz w:val="20"/>
          <w:szCs w:val="20"/>
          <w:color w:val="auto"/>
        </w:rPr>
      </w:pPr>
    </w:p>
    <w:p>
      <w:pPr>
        <w:ind w:left="120" w:right="460"/>
        <w:spacing w:after="0" w:line="293"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130" w:name="page131"/>
    <w:bookmarkEnd w:id="130"/>
    <w:p>
      <w:pPr>
        <w:ind w:left="86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Term.</w:t>
      </w:r>
    </w:p>
    <w:p>
      <w:pPr>
        <w:spacing w:after="0" w:line="251" w:lineRule="exact"/>
        <w:rPr>
          <w:sz w:val="20"/>
          <w:szCs w:val="20"/>
          <w:color w:val="auto"/>
        </w:rPr>
      </w:pPr>
    </w:p>
    <w:p>
      <w:pPr>
        <w:ind w:left="100" w:right="160" w:firstLine="1505"/>
        <w:spacing w:after="0" w:line="292" w:lineRule="auto"/>
        <w:tabs>
          <w:tab w:leader="none" w:pos="1842"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$440,000 per year. The Executive’s salary shall be subject to annual review not later than March 31st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201" w:lineRule="exact"/>
        <w:rPr>
          <w:rFonts w:ascii="Arial" w:cs="Arial" w:eastAsia="Arial" w:hAnsi="Arial"/>
          <w:sz w:val="17"/>
          <w:szCs w:val="17"/>
          <w:color w:val="auto"/>
        </w:rPr>
      </w:pPr>
    </w:p>
    <w:p>
      <w:pPr>
        <w:ind w:left="100" w:right="60" w:firstLine="1505"/>
        <w:spacing w:after="0" w:line="287" w:lineRule="auto"/>
        <w:tabs>
          <w:tab w:leader="none" w:pos="1852"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Annual Bonus will be forty percent (40%)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15th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204" w:lineRule="exact"/>
        <w:rPr>
          <w:rFonts w:ascii="Arial" w:cs="Arial" w:eastAsia="Arial" w:hAnsi="Arial"/>
          <w:sz w:val="17"/>
          <w:szCs w:val="17"/>
          <w:color w:val="auto"/>
        </w:rPr>
      </w:pPr>
    </w:p>
    <w:p>
      <w:pPr>
        <w:ind w:left="100" w:firstLine="1505"/>
        <w:spacing w:after="0" w:line="275" w:lineRule="auto"/>
        <w:tabs>
          <w:tab w:leader="none" w:pos="184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98" w:lineRule="exact"/>
        <w:rPr>
          <w:rFonts w:ascii="Arial" w:cs="Arial" w:eastAsia="Arial" w:hAnsi="Arial"/>
          <w:sz w:val="18"/>
          <w:szCs w:val="18"/>
          <w:color w:val="auto"/>
        </w:rPr>
      </w:pPr>
    </w:p>
    <w:p>
      <w:pPr>
        <w:ind w:left="100" w:right="260" w:firstLine="1505"/>
        <w:spacing w:after="0" w:line="293" w:lineRule="auto"/>
        <w:tabs>
          <w:tab w:leader="none" w:pos="185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196" w:lineRule="exact"/>
        <w:rPr>
          <w:rFonts w:ascii="Arial" w:cs="Arial" w:eastAsia="Arial" w:hAnsi="Arial"/>
          <w:sz w:val="18"/>
          <w:szCs w:val="18"/>
          <w:color w:val="auto"/>
        </w:rPr>
      </w:pPr>
    </w:p>
    <w:p>
      <w:pPr>
        <w:ind w:left="100" w:right="180" w:firstLine="1505"/>
        <w:spacing w:after="0" w:line="293" w:lineRule="auto"/>
        <w:tabs>
          <w:tab w:leader="none" w:pos="184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196" w:lineRule="exact"/>
        <w:rPr>
          <w:rFonts w:ascii="Arial" w:cs="Arial" w:eastAsia="Arial" w:hAnsi="Arial"/>
          <w:sz w:val="18"/>
          <w:szCs w:val="18"/>
          <w:color w:val="auto"/>
        </w:rPr>
      </w:pPr>
    </w:p>
    <w:p>
      <w:pPr>
        <w:ind w:left="100" w:right="100" w:firstLine="1505"/>
        <w:spacing w:after="0" w:line="293" w:lineRule="auto"/>
        <w:tabs>
          <w:tab w:leader="none" w:pos="182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183" w:lineRule="exact"/>
        <w:rPr>
          <w:rFonts w:ascii="Arial" w:cs="Arial" w:eastAsia="Arial" w:hAnsi="Arial"/>
          <w:sz w:val="18"/>
          <w:szCs w:val="18"/>
          <w:color w:val="auto"/>
        </w:rPr>
      </w:pPr>
    </w:p>
    <w:p>
      <w:pPr>
        <w:ind w:left="100" w:right="100" w:firstLine="1505"/>
        <w:spacing w:after="0" w:line="292" w:lineRule="auto"/>
        <w:tabs>
          <w:tab w:leader="none" w:pos="1852"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Treatment of Equity Awards upon a Change in Control</w:t>
      </w:r>
      <w:r>
        <w:rPr>
          <w:rFonts w:ascii="Arial" w:cs="Arial" w:eastAsia="Arial" w:hAnsi="Arial"/>
          <w:sz w:val="17"/>
          <w:szCs w:val="17"/>
          <w:color w:val="auto"/>
        </w:rPr>
        <w:t>. The following provisions shall apply to any award granted under the Adagio Therapeutics, Inc. 2021 Equity Incentive Plan (the “</w:t>
      </w:r>
      <w:r>
        <w:rPr>
          <w:rFonts w:ascii="Arial" w:cs="Arial" w:eastAsia="Arial" w:hAnsi="Arial"/>
          <w:sz w:val="17"/>
          <w:szCs w:val="17"/>
          <w:b w:val="1"/>
          <w:bCs w:val="1"/>
          <w:i w:val="1"/>
          <w:iCs w:val="1"/>
          <w:u w:val="single" w:color="auto"/>
          <w:color w:val="auto"/>
        </w:rPr>
        <w:t>Plan</w:t>
      </w:r>
      <w:r>
        <w:rPr>
          <w:rFonts w:ascii="Arial" w:cs="Arial" w:eastAsia="Arial" w:hAnsi="Arial"/>
          <w:sz w:val="17"/>
          <w:szCs w:val="17"/>
          <w:color w:val="auto"/>
        </w:rPr>
        <w:t>”) or any other plan, agreement or arrangement based on the value of a share of the Company’s common stock on or after the Effective Date (collectively, the “</w:t>
      </w:r>
      <w:r>
        <w:rPr>
          <w:rFonts w:ascii="Arial" w:cs="Arial" w:eastAsia="Arial" w:hAnsi="Arial"/>
          <w:sz w:val="17"/>
          <w:szCs w:val="17"/>
          <w:b w:val="1"/>
          <w:bCs w:val="1"/>
          <w:i w:val="1"/>
          <w:iCs w:val="1"/>
          <w:u w:val="single" w:color="auto"/>
          <w:color w:val="auto"/>
        </w:rPr>
        <w:t>Equity Awards</w:t>
      </w:r>
      <w:r>
        <w:rPr>
          <w:rFonts w:ascii="Arial" w:cs="Arial" w:eastAsia="Arial" w:hAnsi="Arial"/>
          <w:sz w:val="17"/>
          <w:szCs w:val="17"/>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268" w:lineRule="exact"/>
        <w:rPr>
          <w:rFonts w:ascii="Arial" w:cs="Arial" w:eastAsia="Arial" w:hAnsi="Arial"/>
          <w:sz w:val="17"/>
          <w:szCs w:val="17"/>
          <w:color w:val="auto"/>
        </w:rPr>
      </w:pPr>
    </w:p>
    <w:p>
      <w:pPr>
        <w:ind w:left="860" w:firstLine="1494"/>
        <w:spacing w:after="0" w:line="275" w:lineRule="auto"/>
        <w:tabs>
          <w:tab w:leader="none" w:pos="2572"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212" w:lineRule="exact"/>
        <w:rPr>
          <w:rFonts w:ascii="Arial" w:cs="Arial" w:eastAsia="Arial" w:hAnsi="Arial"/>
          <w:sz w:val="18"/>
          <w:szCs w:val="18"/>
          <w:color w:val="auto"/>
        </w:rPr>
      </w:pPr>
    </w:p>
    <w:p>
      <w:pPr>
        <w:ind w:left="860" w:right="140" w:firstLine="1494"/>
        <w:spacing w:after="0" w:line="266" w:lineRule="auto"/>
        <w:tabs>
          <w:tab w:leader="none" w:pos="2622"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2</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611" w:right="639" w:bottom="1440" w:gutter="0" w:footer="0" w:header="0"/>
        </w:sectPr>
      </w:pPr>
    </w:p>
    <w:bookmarkStart w:id="131" w:name="page132"/>
    <w:bookmarkEnd w:id="131"/>
    <w:p>
      <w:pPr>
        <w:ind w:left="100" w:right="320" w:firstLine="1505"/>
        <w:spacing w:after="0" w:line="293" w:lineRule="auto"/>
        <w:tabs>
          <w:tab w:leader="none" w:pos="185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183" w:lineRule="exact"/>
        <w:rPr>
          <w:rFonts w:ascii="Arial" w:cs="Arial" w:eastAsia="Arial" w:hAnsi="Arial"/>
          <w:sz w:val="18"/>
          <w:szCs w:val="18"/>
          <w:color w:val="auto"/>
        </w:rPr>
      </w:pPr>
    </w:p>
    <w:p>
      <w:pPr>
        <w:ind w:left="1820" w:hanging="215"/>
        <w:spacing w:after="0"/>
        <w:tabs>
          <w:tab w:leader="none" w:pos="18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265" w:lineRule="exact"/>
        <w:rPr>
          <w:rFonts w:ascii="Arial" w:cs="Arial" w:eastAsia="Arial" w:hAnsi="Arial"/>
          <w:sz w:val="18"/>
          <w:szCs w:val="18"/>
          <w:color w:val="auto"/>
        </w:rPr>
      </w:pPr>
    </w:p>
    <w:p>
      <w:pPr>
        <w:ind w:left="100" w:firstLine="1505"/>
        <w:spacing w:after="0" w:line="305" w:lineRule="auto"/>
        <w:tabs>
          <w:tab w:leader="none" w:pos="181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2(j) shall be construed to waive the Executive’s rights, if any, under existing law including, without limitation, the Family and Medical Leave Act of 1993, 29 U.S.C. §2601 et seq. and the Americans with Disabilities Act, 42 U.S.C. §12101 et seq.</w:t>
      </w:r>
    </w:p>
    <w:p>
      <w:pPr>
        <w:spacing w:after="0" w:line="195" w:lineRule="exact"/>
        <w:rPr>
          <w:rFonts w:ascii="Arial" w:cs="Arial" w:eastAsia="Arial" w:hAnsi="Arial"/>
          <w:sz w:val="16"/>
          <w:szCs w:val="16"/>
          <w:color w:val="auto"/>
        </w:rPr>
      </w:pPr>
    </w:p>
    <w:p>
      <w:pPr>
        <w:ind w:left="100" w:right="60" w:firstLine="1505"/>
        <w:spacing w:after="0" w:line="293" w:lineRule="auto"/>
        <w:tabs>
          <w:tab w:leader="none" w:pos="185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any of the following:</w:t>
      </w:r>
    </w:p>
    <w:p>
      <w:pPr>
        <w:spacing w:after="0" w:line="183" w:lineRule="exact"/>
        <w:rPr>
          <w:rFonts w:ascii="Arial" w:cs="Arial" w:eastAsia="Arial" w:hAnsi="Arial"/>
          <w:sz w:val="18"/>
          <w:szCs w:val="18"/>
          <w:color w:val="auto"/>
        </w:rPr>
      </w:pPr>
    </w:p>
    <w:p>
      <w:pPr>
        <w:ind w:left="1600" w:right="240" w:firstLine="754"/>
        <w:spacing w:after="0" w:line="303" w:lineRule="auto"/>
        <w:tabs>
          <w:tab w:leader="none" w:pos="2564"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177" w:lineRule="exact"/>
        <w:rPr>
          <w:rFonts w:ascii="Arial" w:cs="Arial" w:eastAsia="Arial" w:hAnsi="Arial"/>
          <w:sz w:val="17"/>
          <w:szCs w:val="17"/>
          <w:color w:val="auto"/>
        </w:rPr>
      </w:pPr>
    </w:p>
    <w:p>
      <w:pPr>
        <w:ind w:left="1600" w:right="200" w:firstLine="754"/>
        <w:spacing w:after="0" w:line="279" w:lineRule="auto"/>
        <w:tabs>
          <w:tab w:leader="none" w:pos="261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196" w:lineRule="exact"/>
        <w:rPr>
          <w:rFonts w:ascii="Arial" w:cs="Arial" w:eastAsia="Arial" w:hAnsi="Arial"/>
          <w:sz w:val="18"/>
          <w:szCs w:val="18"/>
          <w:color w:val="auto"/>
        </w:rPr>
      </w:pPr>
    </w:p>
    <w:p>
      <w:pPr>
        <w:ind w:left="1600" w:firstLine="754"/>
        <w:spacing w:after="0" w:line="314" w:lineRule="auto"/>
        <w:tabs>
          <w:tab w:leader="none" w:pos="2664"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2(m) hereof), in any case, which willful misconduct, failure or refusal has continued for more than thirty (30) days following written notice from the CEO of such willful misconduct, failure or refusal;</w:t>
      </w:r>
    </w:p>
    <w:p>
      <w:pPr>
        <w:spacing w:after="0" w:line="173" w:lineRule="exact"/>
        <w:rPr>
          <w:rFonts w:ascii="Arial" w:cs="Arial" w:eastAsia="Arial" w:hAnsi="Arial"/>
          <w:sz w:val="16"/>
          <w:szCs w:val="16"/>
          <w:color w:val="auto"/>
        </w:rPr>
      </w:pPr>
    </w:p>
    <w:p>
      <w:pPr>
        <w:ind w:left="1600" w:right="240" w:firstLine="754"/>
        <w:spacing w:after="0" w:line="293" w:lineRule="auto"/>
        <w:tabs>
          <w:tab w:leader="none" w:pos="265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183" w:lineRule="exact"/>
        <w:rPr>
          <w:rFonts w:ascii="Arial" w:cs="Arial" w:eastAsia="Arial" w:hAnsi="Arial"/>
          <w:sz w:val="18"/>
          <w:szCs w:val="18"/>
          <w:color w:val="auto"/>
        </w:rPr>
      </w:pPr>
    </w:p>
    <w:p>
      <w:pPr>
        <w:ind w:left="1600" w:right="220" w:firstLine="754"/>
        <w:spacing w:after="0" w:line="293" w:lineRule="auto"/>
        <w:tabs>
          <w:tab w:leader="none" w:pos="2604" w:val="left"/>
        </w:tabs>
        <w:numPr>
          <w:ilvl w:val="1"/>
          <w:numId w:val="70"/>
        </w:numPr>
        <w:rPr>
          <w:rFonts w:ascii="Arial" w:cs="Arial" w:eastAsia="Arial" w:hAnsi="Arial"/>
          <w:sz w:val="18"/>
          <w:szCs w:val="18"/>
          <w:color w:val="auto"/>
        </w:rPr>
      </w:pPr>
      <w:r>
        <w:rPr>
          <w:rFonts w:ascii="Arial" w:cs="Arial" w:eastAsia="Arial" w:hAnsi="Arial"/>
          <w:sz w:val="18"/>
          <w:szCs w:val="18"/>
          <w:color w:val="auto"/>
        </w:rPr>
        <w:t>willful engaging by the Executive in any act that brings the Company into public disrepute or disgrace or causes material harm to the customer relations, operations or business prospects of the Company; or</w:t>
      </w:r>
    </w:p>
    <w:p>
      <w:pPr>
        <w:spacing w:after="0" w:line="183" w:lineRule="exact"/>
        <w:rPr>
          <w:rFonts w:ascii="Arial" w:cs="Arial" w:eastAsia="Arial" w:hAnsi="Arial"/>
          <w:sz w:val="18"/>
          <w:szCs w:val="18"/>
          <w:color w:val="auto"/>
        </w:rPr>
      </w:pPr>
    </w:p>
    <w:p>
      <w:pPr>
        <w:ind w:left="1600" w:right="20" w:firstLine="754"/>
        <w:spacing w:after="0" w:line="296" w:lineRule="auto"/>
        <w:tabs>
          <w:tab w:leader="none" w:pos="2654"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6"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3</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611" w:right="659" w:bottom="1440" w:gutter="0" w:footer="0" w:header="0"/>
        </w:sectPr>
      </w:pPr>
    </w:p>
    <w:bookmarkStart w:id="132" w:name="page133"/>
    <w:bookmarkEnd w:id="132"/>
    <w:p>
      <w:pPr>
        <w:ind w:left="120" w:right="800"/>
        <w:spacing w:after="0" w:line="359" w:lineRule="auto"/>
        <w:rPr>
          <w:sz w:val="20"/>
          <w:szCs w:val="20"/>
          <w:color w:val="auto"/>
        </w:rPr>
      </w:pPr>
      <w:r>
        <w:rPr>
          <w:rFonts w:ascii="Arial" w:cs="Arial" w:eastAsia="Arial" w:hAnsi="Arial"/>
          <w:sz w:val="16"/>
          <w:szCs w:val="16"/>
          <w:color w:val="auto"/>
        </w:rPr>
        <w:t>For purposes of this Section 2(k),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52" w:lineRule="exact"/>
        <w:rPr>
          <w:sz w:val="20"/>
          <w:szCs w:val="20"/>
          <w:color w:val="auto"/>
        </w:rPr>
      </w:pPr>
    </w:p>
    <w:p>
      <w:pPr>
        <w:ind w:left="120" w:right="460"/>
        <w:spacing w:after="0" w:line="275"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9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 termination for Cause under this Section 2(k) (other than with respect to Section 2(k)(ii)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76" w:lineRule="exact"/>
        <w:rPr>
          <w:sz w:val="20"/>
          <w:szCs w:val="20"/>
          <w:color w:val="auto"/>
        </w:rPr>
      </w:pPr>
    </w:p>
    <w:p>
      <w:pPr>
        <w:ind w:left="100" w:right="180" w:firstLine="1505"/>
        <w:spacing w:after="0" w:line="275" w:lineRule="auto"/>
        <w:tabs>
          <w:tab w:leader="none" w:pos="181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2(k) and does not result from the death or disability of the Executive under Section 2(i) or 2(j) shall be deemed a termination without Cause.</w:t>
      </w:r>
    </w:p>
    <w:p>
      <w:pPr>
        <w:spacing w:after="0" w:line="212" w:lineRule="exact"/>
        <w:rPr>
          <w:rFonts w:ascii="Arial" w:cs="Arial" w:eastAsia="Arial" w:hAnsi="Arial"/>
          <w:sz w:val="18"/>
          <w:szCs w:val="18"/>
          <w:color w:val="auto"/>
        </w:rPr>
      </w:pPr>
    </w:p>
    <w:p>
      <w:pPr>
        <w:ind w:left="100" w:right="220" w:firstLine="1505"/>
        <w:spacing w:after="0" w:line="275" w:lineRule="auto"/>
        <w:tabs>
          <w:tab w:leader="none" w:pos="190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600" w:right="540" w:firstLine="754"/>
        <w:spacing w:after="0" w:line="293" w:lineRule="auto"/>
        <w:tabs>
          <w:tab w:leader="none" w:pos="2564" w:val="left"/>
        </w:tabs>
        <w:numPr>
          <w:ilvl w:val="2"/>
          <w:numId w:val="71"/>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 or a material reduction in the authority, duties, or responsibilities of the CEO to whom the Executive is required to report;</w:t>
      </w:r>
    </w:p>
    <w:p>
      <w:pPr>
        <w:spacing w:after="0" w:line="183" w:lineRule="exact"/>
        <w:rPr>
          <w:rFonts w:ascii="Arial" w:cs="Arial" w:eastAsia="Arial" w:hAnsi="Arial"/>
          <w:sz w:val="18"/>
          <w:szCs w:val="18"/>
          <w:color w:val="auto"/>
        </w:rPr>
      </w:pPr>
    </w:p>
    <w:p>
      <w:pPr>
        <w:ind w:left="1600" w:right="540" w:firstLine="754"/>
        <w:spacing w:after="0" w:line="275" w:lineRule="auto"/>
        <w:tabs>
          <w:tab w:leader="none" w:pos="2614" w:val="left"/>
        </w:tabs>
        <w:numPr>
          <w:ilvl w:val="2"/>
          <w:numId w:val="71"/>
        </w:numPr>
        <w:rPr>
          <w:rFonts w:ascii="Arial" w:cs="Arial" w:eastAsia="Arial" w:hAnsi="Arial"/>
          <w:sz w:val="18"/>
          <w:szCs w:val="18"/>
          <w:color w:val="auto"/>
        </w:rPr>
      </w:pPr>
      <w:r>
        <w:rPr>
          <w:rFonts w:ascii="Arial" w:cs="Arial" w:eastAsia="Arial" w:hAnsi="Arial"/>
          <w:sz w:val="18"/>
          <w:szCs w:val="18"/>
          <w:color w:val="auto"/>
        </w:rPr>
        <w:t>a Change in Control following which either: (A) there is a material reduction in the budget over which the Executive retains authority or (B) the Executive is not Chief Medical Officer of the Company or, if the Company becomes a subsidiary of one or more entities following the Change in Control, the post-consummation ultimate parent entity of the Company; or</w:t>
      </w:r>
    </w:p>
    <w:p>
      <w:pPr>
        <w:spacing w:after="0" w:line="212" w:lineRule="exact"/>
        <w:rPr>
          <w:rFonts w:ascii="Arial" w:cs="Arial" w:eastAsia="Arial" w:hAnsi="Arial"/>
          <w:sz w:val="18"/>
          <w:szCs w:val="18"/>
          <w:color w:val="auto"/>
        </w:rPr>
      </w:pPr>
    </w:p>
    <w:p>
      <w:pPr>
        <w:jc w:val="both"/>
        <w:ind w:left="1600" w:right="260" w:firstLine="754"/>
        <w:spacing w:after="0" w:line="290" w:lineRule="auto"/>
        <w:tabs>
          <w:tab w:leader="none" w:pos="2664" w:val="left"/>
        </w:tabs>
        <w:numPr>
          <w:ilvl w:val="2"/>
          <w:numId w:val="71"/>
        </w:numPr>
        <w:rPr>
          <w:rFonts w:ascii="Arial" w:cs="Arial" w:eastAsia="Arial" w:hAnsi="Arial"/>
          <w:sz w:val="17"/>
          <w:szCs w:val="17"/>
          <w:color w:val="auto"/>
        </w:rPr>
      </w:pPr>
      <w:r>
        <w:rPr>
          <w:rFonts w:ascii="Arial" w:cs="Arial" w:eastAsia="Arial" w:hAnsi="Arial"/>
          <w:sz w:val="17"/>
          <w:szCs w:val="17"/>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12 below.</w:t>
      </w:r>
    </w:p>
    <w:p>
      <w:pPr>
        <w:spacing w:after="0" w:line="202" w:lineRule="exact"/>
        <w:rPr>
          <w:rFonts w:ascii="Arial" w:cs="Arial" w:eastAsia="Arial" w:hAnsi="Arial"/>
          <w:sz w:val="17"/>
          <w:szCs w:val="17"/>
          <w:color w:val="auto"/>
        </w:rPr>
      </w:pPr>
    </w:p>
    <w:p>
      <w:pPr>
        <w:ind w:left="1860" w:hanging="255"/>
        <w:spacing w:after="0"/>
        <w:tabs>
          <w:tab w:leader="none" w:pos="186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u w:val="single" w:color="auto"/>
          <w:color w:val="auto"/>
        </w:rPr>
        <w:t>Good Reason Process</w:t>
      </w:r>
      <w:r>
        <w:rPr>
          <w:rFonts w:ascii="Arial" w:cs="Arial" w:eastAsia="Arial" w:hAnsi="Arial"/>
          <w:sz w:val="18"/>
          <w:szCs w:val="18"/>
          <w:color w:val="auto"/>
        </w:rPr>
        <w:t>” consists of the following steps:</w:t>
      </w:r>
    </w:p>
    <w:p>
      <w:pPr>
        <w:spacing w:after="0" w:line="333" w:lineRule="exact"/>
        <w:rPr>
          <w:rFonts w:ascii="Arial" w:cs="Arial" w:eastAsia="Arial" w:hAnsi="Arial"/>
          <w:sz w:val="18"/>
          <w:szCs w:val="18"/>
          <w:color w:val="auto"/>
        </w:rPr>
      </w:pPr>
    </w:p>
    <w:p>
      <w:pPr>
        <w:ind w:left="2560" w:hanging="206"/>
        <w:spacing w:after="0"/>
        <w:tabs>
          <w:tab w:leader="none" w:pos="25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346" w:lineRule="exact"/>
        <w:rPr>
          <w:rFonts w:ascii="Arial" w:cs="Arial" w:eastAsia="Arial" w:hAnsi="Arial"/>
          <w:sz w:val="18"/>
          <w:szCs w:val="18"/>
          <w:color w:val="auto"/>
        </w:rPr>
      </w:pPr>
    </w:p>
    <w:p>
      <w:pPr>
        <w:ind w:left="2620" w:hanging="266"/>
        <w:spacing w:after="0"/>
        <w:tabs>
          <w:tab w:leader="none" w:pos="2620" w:val="left"/>
        </w:tabs>
        <w:numPr>
          <w:ilvl w:val="2"/>
          <w:numId w:val="71"/>
        </w:numPr>
        <w:rPr>
          <w:rFonts w:ascii="Arial" w:cs="Arial" w:eastAsia="Arial" w:hAnsi="Arial"/>
          <w:sz w:val="17"/>
          <w:szCs w:val="17"/>
          <w:color w:val="auto"/>
        </w:rPr>
      </w:pPr>
      <w:r>
        <w:rPr>
          <w:rFonts w:ascii="Arial" w:cs="Arial" w:eastAsia="Arial" w:hAnsi="Arial"/>
          <w:sz w:val="17"/>
          <w:szCs w:val="17"/>
          <w:color w:val="auto"/>
        </w:rPr>
        <w:t>the Executive notifies the Company in writing of the first occurrence of the Good Reason Condition within sixty</w:t>
      </w:r>
    </w:p>
    <w:p>
      <w:pPr>
        <w:spacing w:after="0" w:line="34" w:lineRule="exact"/>
        <w:rPr>
          <w:rFonts w:ascii="Arial" w:cs="Arial" w:eastAsia="Arial" w:hAnsi="Arial"/>
          <w:sz w:val="17"/>
          <w:szCs w:val="17"/>
          <w:color w:val="auto"/>
        </w:rPr>
      </w:pPr>
    </w:p>
    <w:p>
      <w:pPr>
        <w:ind w:left="1960" w:hanging="355"/>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days of the first occurrence of such condition;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68" w:right="479" w:bottom="1440" w:gutter="0" w:footer="0" w:header="0"/>
        </w:sectPr>
      </w:pPr>
    </w:p>
    <w:bookmarkStart w:id="133" w:name="page134"/>
    <w:bookmarkEnd w:id="133"/>
    <w:p>
      <w:pPr>
        <w:ind w:left="1600" w:right="220" w:firstLine="754"/>
        <w:spacing w:after="0" w:line="293" w:lineRule="auto"/>
        <w:tabs>
          <w:tab w:leader="none" w:pos="26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“Cure Period”), to remedy the Good Reason Condition;</w:t>
      </w:r>
    </w:p>
    <w:p>
      <w:pPr>
        <w:spacing w:after="0" w:line="264" w:lineRule="exact"/>
        <w:rPr>
          <w:rFonts w:ascii="Arial" w:cs="Arial" w:eastAsia="Arial" w:hAnsi="Arial"/>
          <w:sz w:val="18"/>
          <w:szCs w:val="18"/>
          <w:color w:val="auto"/>
        </w:rPr>
      </w:pPr>
    </w:p>
    <w:p>
      <w:pPr>
        <w:ind w:left="2660" w:hanging="306"/>
        <w:spacing w:after="0"/>
        <w:tabs>
          <w:tab w:leader="none" w:pos="2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notwithstanding such efforts, the Good Reason Condition continues to exist at the end of the Cure Period; and</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2600" w:hanging="246"/>
        <w:spacing w:after="0"/>
        <w:tabs>
          <w:tab w:leader="none" w:pos="2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66" w:lineRule="exact"/>
        <w:rPr>
          <w:sz w:val="20"/>
          <w:szCs w:val="20"/>
          <w:color w:val="auto"/>
        </w:rPr>
      </w:pPr>
    </w:p>
    <w:p>
      <w:pPr>
        <w:ind w:left="1040" w:hanging="183"/>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 w:right="20" w:firstLine="1505"/>
        <w:spacing w:after="0" w:line="275" w:lineRule="auto"/>
        <w:tabs>
          <w:tab w:leader="none" w:pos="1842"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Except for termination as specified in Section 2(i),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shall mean a notice which shall indicate the specific termination provision in this Agreement relied upon.</w:t>
      </w:r>
    </w:p>
    <w:p>
      <w:pPr>
        <w:spacing w:after="0" w:line="212" w:lineRule="exact"/>
        <w:rPr>
          <w:rFonts w:ascii="Arial" w:cs="Arial" w:eastAsia="Arial" w:hAnsi="Arial"/>
          <w:sz w:val="18"/>
          <w:szCs w:val="18"/>
          <w:color w:val="auto"/>
        </w:rPr>
      </w:pPr>
    </w:p>
    <w:p>
      <w:pPr>
        <w:ind w:left="100" w:firstLine="1505"/>
        <w:spacing w:after="0" w:line="287" w:lineRule="auto"/>
        <w:tabs>
          <w:tab w:leader="none" w:pos="1852"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shall mean: (i) if the Executive’s employment is terminated by death, the date of death; (ii) if the Executive’s employment is terminated on account of disability under Section 2(j) or by the Company for Cause under Section 2(k), the date on which Notice of Termination is given; (iii) if the Executive’s employment is terminated by the Company without Cause under Section 2(l), thirty (30) days after the date on which a Notice of Termination is given or a later date otherwise specified by the Company in the Notice of Termination; (iv) if the Executive’s employment is terminated by the Executive under Section 2(m) other than for Good Reason, thirty (30) days after the date on which a Notice of Termination is given, and (v) if the Executive’s employment is terminated by the Executive under Section 2(m)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204" w:lineRule="exact"/>
        <w:rPr>
          <w:rFonts w:ascii="Arial" w:cs="Arial" w:eastAsia="Arial" w:hAnsi="Arial"/>
          <w:sz w:val="17"/>
          <w:szCs w:val="17"/>
          <w:color w:val="auto"/>
        </w:rPr>
      </w:pPr>
    </w:p>
    <w:p>
      <w:pPr>
        <w:ind w:left="100" w:right="20" w:firstLine="1505"/>
        <w:spacing w:after="0" w:line="287" w:lineRule="auto"/>
        <w:tabs>
          <w:tab w:leader="none" w:pos="1842"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Accrued Obligations</w:t>
      </w:r>
      <w:r>
        <w:rPr>
          <w:rFonts w:ascii="Arial" w:cs="Arial" w:eastAsia="Arial" w:hAnsi="Arial"/>
          <w:sz w:val="17"/>
          <w:szCs w:val="17"/>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3(c) are referred to below as the “</w:t>
      </w:r>
      <w:r>
        <w:rPr>
          <w:rFonts w:ascii="Arial" w:cs="Arial" w:eastAsia="Arial" w:hAnsi="Arial"/>
          <w:sz w:val="17"/>
          <w:szCs w:val="17"/>
          <w:u w:val="single" w:color="auto"/>
          <w:color w:val="auto"/>
        </w:rPr>
        <w:t>Accrued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Obligations</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100" w:right="20" w:firstLine="1505"/>
        <w:spacing w:after="0" w:line="275" w:lineRule="auto"/>
        <w:tabs>
          <w:tab w:leader="none" w:pos="1852"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98" w:lineRule="exact"/>
        <w:rPr>
          <w:rFonts w:ascii="Arial" w:cs="Arial" w:eastAsia="Arial" w:hAnsi="Arial"/>
          <w:sz w:val="18"/>
          <w:szCs w:val="18"/>
          <w:color w:val="auto"/>
        </w:rPr>
      </w:pPr>
    </w:p>
    <w:p>
      <w:pPr>
        <w:ind w:left="1040" w:hanging="183"/>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Severance Pay and Benefits Upon Termination by the Company without Cause or by the Executive for Good Reason</w:t>
      </w:r>
      <w:r>
        <w:rPr>
          <w:rFonts w:ascii="Arial" w:cs="Arial" w:eastAsia="Arial" w:hAnsi="Arial"/>
          <w:sz w:val="18"/>
          <w:szCs w:val="18"/>
          <w:color w:val="auto"/>
        </w:rPr>
        <w:t>. If the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Executive’s employment is terminated by the Company without Cause as provided in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5</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692" w:right="679" w:bottom="1440" w:gutter="0" w:footer="0" w:header="0"/>
        </w:sectPr>
      </w:pPr>
    </w:p>
    <w:bookmarkStart w:id="134" w:name="page135"/>
    <w:bookmarkEnd w:id="134"/>
    <w:p>
      <w:pPr>
        <w:ind w:left="100" w:right="320"/>
        <w:spacing w:after="0" w:line="272" w:lineRule="auto"/>
        <w:rPr>
          <w:sz w:val="20"/>
          <w:szCs w:val="20"/>
          <w:color w:val="auto"/>
        </w:rPr>
      </w:pPr>
      <w:r>
        <w:rPr>
          <w:rFonts w:ascii="Arial" w:cs="Arial" w:eastAsia="Arial" w:hAnsi="Arial"/>
          <w:sz w:val="18"/>
          <w:szCs w:val="18"/>
          <w:color w:val="auto"/>
        </w:rPr>
        <w:t xml:space="preserve">Section 2(l), or the Executive terminates employment for Good Reason as provided in Section 2(m), then, in addition to the Accrued Obligations, and subject to (i) the Executive signing a separation agreement and release in a form substantially the same as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218" w:lineRule="exact"/>
        <w:rPr>
          <w:sz w:val="20"/>
          <w:szCs w:val="20"/>
          <w:color w:val="auto"/>
        </w:rPr>
      </w:pPr>
    </w:p>
    <w:p>
      <w:pPr>
        <w:ind w:left="100" w:right="60" w:firstLine="1505"/>
        <w:spacing w:after="0" w:line="292" w:lineRule="auto"/>
        <w:tabs>
          <w:tab w:leader="none" w:pos="1842"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Cash Severance</w:t>
      </w:r>
      <w:r>
        <w:rPr>
          <w:rFonts w:ascii="Arial" w:cs="Arial" w:eastAsia="Arial" w:hAnsi="Arial"/>
          <w:sz w:val="17"/>
          <w:szCs w:val="17"/>
          <w:color w:val="auto"/>
        </w:rPr>
        <w:t>. The Company shall pay the Executive an amount equal to nine (9) months’ of the Executive’s Base Salary (the “</w:t>
      </w:r>
      <w:r>
        <w:rPr>
          <w:rFonts w:ascii="Arial" w:cs="Arial" w:eastAsia="Arial" w:hAnsi="Arial"/>
          <w:sz w:val="17"/>
          <w:szCs w:val="17"/>
          <w:u w:val="single" w:color="auto"/>
          <w:color w:val="auto"/>
        </w:rPr>
        <w:t>Severance Amount</w:t>
      </w:r>
      <w:r>
        <w:rPr>
          <w:rFonts w:ascii="Arial" w:cs="Arial" w:eastAsia="Arial" w:hAnsi="Arial"/>
          <w:sz w:val="17"/>
          <w:szCs w:val="17"/>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“Earned Bonus”).</w:t>
      </w:r>
    </w:p>
    <w:p>
      <w:pPr>
        <w:spacing w:after="0" w:line="187" w:lineRule="exact"/>
        <w:rPr>
          <w:rFonts w:ascii="Arial" w:cs="Arial" w:eastAsia="Arial" w:hAnsi="Arial"/>
          <w:sz w:val="17"/>
          <w:szCs w:val="17"/>
          <w:color w:val="auto"/>
        </w:rPr>
      </w:pPr>
    </w:p>
    <w:p>
      <w:pPr>
        <w:ind w:left="100" w:right="20" w:firstLine="1505"/>
        <w:spacing w:after="0" w:line="286" w:lineRule="auto"/>
        <w:tabs>
          <w:tab w:leader="none" w:pos="1852"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COBRA Premiums</w:t>
      </w:r>
      <w:r>
        <w:rPr>
          <w:rFonts w:ascii="Arial" w:cs="Arial" w:eastAsia="Arial" w:hAnsi="Arial"/>
          <w:sz w:val="17"/>
          <w:szCs w:val="17"/>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95" w:lineRule="exact"/>
        <w:rPr>
          <w:rFonts w:ascii="Arial" w:cs="Arial" w:eastAsia="Arial" w:hAnsi="Arial"/>
          <w:sz w:val="17"/>
          <w:szCs w:val="17"/>
          <w:color w:val="auto"/>
        </w:rPr>
      </w:pPr>
    </w:p>
    <w:p>
      <w:pPr>
        <w:ind w:left="100" w:right="20" w:firstLine="1505"/>
        <w:spacing w:after="0" w:line="305" w:lineRule="auto"/>
        <w:tabs>
          <w:tab w:leader="none" w:pos="1842"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195" w:lineRule="exact"/>
        <w:rPr>
          <w:rFonts w:ascii="Arial" w:cs="Arial" w:eastAsia="Arial" w:hAnsi="Arial"/>
          <w:sz w:val="16"/>
          <w:szCs w:val="16"/>
          <w:color w:val="auto"/>
        </w:rPr>
      </w:pPr>
    </w:p>
    <w:p>
      <w:pPr>
        <w:ind w:left="100" w:firstLine="1505"/>
        <w:spacing w:after="0" w:line="309" w:lineRule="auto"/>
        <w:tabs>
          <w:tab w:leader="none" w:pos="1852"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Severance Payment Timing</w:t>
      </w:r>
      <w:r>
        <w:rPr>
          <w:rFonts w:ascii="Arial" w:cs="Arial" w:eastAsia="Arial" w:hAnsi="Arial"/>
          <w:sz w:val="16"/>
          <w:szCs w:val="16"/>
          <w:color w:val="auto"/>
        </w:rPr>
        <w:t>. The amounts payable under Section 4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77" w:lineRule="exact"/>
        <w:rPr>
          <w:rFonts w:ascii="Arial" w:cs="Arial" w:eastAsia="Arial" w:hAnsi="Arial"/>
          <w:sz w:val="16"/>
          <w:szCs w:val="16"/>
          <w:color w:val="auto"/>
        </w:rPr>
      </w:pPr>
    </w:p>
    <w:p>
      <w:pPr>
        <w:ind w:left="1040" w:hanging="183"/>
        <w:spacing w:after="0"/>
        <w:tabs>
          <w:tab w:leader="none" w:pos="104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Severance Pay and Benefits Upon Termination by the Company without Cause or by the Executive for Good Reason within the</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The provisions of this Section 5 shall apply in lieu of, and</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6</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368" w:right="659" w:bottom="1440" w:gutter="0" w:footer="0" w:header="0"/>
        </w:sectPr>
      </w:pPr>
    </w:p>
    <w:bookmarkStart w:id="135" w:name="page136"/>
    <w:bookmarkEnd w:id="135"/>
    <w:p>
      <w:pPr>
        <w:ind w:left="100" w:right="240"/>
        <w:spacing w:after="0" w:line="287" w:lineRule="auto"/>
        <w:rPr>
          <w:sz w:val="20"/>
          <w:szCs w:val="20"/>
          <w:color w:val="auto"/>
        </w:rPr>
      </w:pPr>
      <w:r>
        <w:rPr>
          <w:rFonts w:ascii="Arial" w:cs="Arial" w:eastAsia="Arial" w:hAnsi="Arial"/>
          <w:sz w:val="17"/>
          <w:szCs w:val="17"/>
          <w:color w:val="auto"/>
        </w:rPr>
        <w:t>expressly supersede, the provisions of Section 4 if (i) the Executive’s employment is terminated either (a) by the Company without Cause as provided in Section 2(l), or (b) by the Executive for Good Reason as provided in Section 3(e), and (ii) the Date of Termination is during the Change in Control Period. The “</w:t>
      </w:r>
      <w:r>
        <w:rPr>
          <w:rFonts w:ascii="Arial" w:cs="Arial" w:eastAsia="Arial" w:hAnsi="Arial"/>
          <w:sz w:val="17"/>
          <w:szCs w:val="17"/>
          <w:u w:val="single" w:color="auto"/>
          <w:color w:val="auto"/>
        </w:rPr>
        <w:t>Change in Control Period</w:t>
      </w:r>
      <w:r>
        <w:rPr>
          <w:rFonts w:ascii="Arial" w:cs="Arial" w:eastAsia="Arial" w:hAnsi="Arial"/>
          <w:sz w:val="17"/>
          <w:szCs w:val="17"/>
          <w:color w:val="auto"/>
        </w:rPr>
        <w:t>” shall begin on the earlier of (a) 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4 and Section 5 of this Agreement. If the Company has commenced providing severance pay and benefits to the Executive under Section 4 prior to the date that the Executive becomes eligible to receive severance pay and benefits under this Section 5, the severance pay and benefits previously provided to the Executive under Section 4 shall reduce the severance pay and benefits to be provided under this Section 5.</w:t>
      </w:r>
    </w:p>
    <w:p>
      <w:pPr>
        <w:spacing w:after="0" w:line="205" w:lineRule="exact"/>
        <w:rPr>
          <w:sz w:val="20"/>
          <w:szCs w:val="20"/>
          <w:color w:val="auto"/>
        </w:rPr>
      </w:pPr>
    </w:p>
    <w:p>
      <w:pPr>
        <w:ind w:left="120"/>
        <w:spacing w:after="0" w:line="319" w:lineRule="auto"/>
        <w:rPr>
          <w:sz w:val="20"/>
          <w:szCs w:val="20"/>
          <w:color w:val="auto"/>
        </w:rPr>
      </w:pPr>
      <w:r>
        <w:rPr>
          <w:rFonts w:ascii="Arial" w:cs="Arial" w:eastAsia="Arial" w:hAnsi="Arial"/>
          <w:sz w:val="16"/>
          <w:szCs w:val="16"/>
          <w:color w:val="auto"/>
        </w:rPr>
        <w:t>If the Executive’s employment is terminated by the Company without Cause as provided in Section 2(l) or the Executive terminates employment for Good Reason as provided in Section 2(m)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169" w:lineRule="exact"/>
        <w:rPr>
          <w:sz w:val="20"/>
          <w:szCs w:val="20"/>
          <w:color w:val="auto"/>
        </w:rPr>
      </w:pPr>
    </w:p>
    <w:p>
      <w:pPr>
        <w:jc w:val="both"/>
        <w:ind w:left="100" w:right="160" w:firstLine="1505"/>
        <w:spacing w:after="0" w:line="275" w:lineRule="auto"/>
        <w:tabs>
          <w:tab w:leader="none" w:pos="1842"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u w:val="single" w:color="auto"/>
          <w:color w:val="auto"/>
        </w:rPr>
        <w:t>Change in Control Payment</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00" w:right="140" w:firstLine="1505"/>
        <w:spacing w:after="0" w:line="286" w:lineRule="auto"/>
        <w:tabs>
          <w:tab w:leader="none" w:pos="1852"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COBRA Premiums</w:t>
      </w:r>
      <w:r>
        <w:rPr>
          <w:rFonts w:ascii="Arial" w:cs="Arial" w:eastAsia="Arial" w:hAnsi="Arial"/>
          <w:sz w:val="17"/>
          <w:szCs w:val="17"/>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208" w:lineRule="exact"/>
        <w:rPr>
          <w:rFonts w:ascii="Arial" w:cs="Arial" w:eastAsia="Arial" w:hAnsi="Arial"/>
          <w:sz w:val="17"/>
          <w:szCs w:val="17"/>
          <w:color w:val="auto"/>
        </w:rPr>
      </w:pPr>
    </w:p>
    <w:p>
      <w:pPr>
        <w:ind w:left="100" w:right="200" w:firstLine="1505"/>
        <w:spacing w:after="0" w:line="299" w:lineRule="auto"/>
        <w:tabs>
          <w:tab w:leader="none" w:pos="1842"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Accelerated Vesting of Equity Awards</w:t>
      </w:r>
      <w:r>
        <w:rPr>
          <w:rFonts w:ascii="Arial" w:cs="Arial" w:eastAsia="Arial" w:hAnsi="Arial"/>
          <w:sz w:val="16"/>
          <w:szCs w:val="16"/>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6"/>
          <w:szCs w:val="16"/>
          <w:u w:val="single" w:color="auto"/>
          <w:color w:val="auto"/>
        </w:rPr>
        <w:t>Accelerated Vesting Date</w:t>
      </w:r>
      <w:r>
        <w:rPr>
          <w:rFonts w:ascii="Arial" w:cs="Arial" w:eastAsia="Arial" w:hAnsi="Arial"/>
          <w:sz w:val="16"/>
          <w:szCs w:val="16"/>
          <w:color w:val="auto"/>
        </w:rPr>
        <w:t>”), provided that in order to effectuate the accelerated vesting contemplated by this subsection, the unvested portion of such Equity Awards that would otherwise terminate or be forfeited on the Date of Termination will be delayed until the earlier of</w:t>
      </w:r>
    </w:p>
    <w:p>
      <w:pPr>
        <w:spacing w:after="0" w:line="2" w:lineRule="exact"/>
        <w:rPr>
          <w:rFonts w:ascii="Arial" w:cs="Arial" w:eastAsia="Arial" w:hAnsi="Arial"/>
          <w:sz w:val="16"/>
          <w:szCs w:val="16"/>
          <w:color w:val="auto"/>
        </w:rPr>
      </w:pPr>
    </w:p>
    <w:p>
      <w:pPr>
        <w:jc w:val="both"/>
        <w:ind w:left="100" w:right="180" w:firstLine="8"/>
        <w:spacing w:after="0" w:line="295" w:lineRule="auto"/>
        <w:tabs>
          <w:tab w:leader="none" w:pos="395"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5(c).</w:t>
      </w:r>
    </w:p>
    <w:p>
      <w:pPr>
        <w:spacing w:after="0" w:line="199" w:lineRule="exact"/>
        <w:rPr>
          <w:rFonts w:ascii="Arial" w:cs="Arial" w:eastAsia="Arial" w:hAnsi="Arial"/>
          <w:sz w:val="17"/>
          <w:szCs w:val="17"/>
          <w:color w:val="auto"/>
        </w:rPr>
      </w:pPr>
    </w:p>
    <w:p>
      <w:pPr>
        <w:ind w:left="100" w:right="220" w:firstLine="1505"/>
        <w:spacing w:after="0" w:line="266" w:lineRule="auto"/>
        <w:tabs>
          <w:tab w:leader="none" w:pos="1852"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Change in Control Payment Timing</w:t>
      </w:r>
      <w:r>
        <w:rPr>
          <w:rFonts w:ascii="Arial" w:cs="Arial" w:eastAsia="Arial" w:hAnsi="Arial"/>
          <w:sz w:val="18"/>
          <w:szCs w:val="18"/>
          <w:color w:val="auto"/>
        </w:rPr>
        <w:t>. The amounts payable under this Section 5,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7</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368" w:right="539" w:bottom="1440" w:gutter="0" w:footer="0" w:header="0"/>
        </w:sectPr>
      </w:pPr>
    </w:p>
    <w:bookmarkStart w:id="136" w:name="page137"/>
    <w:bookmarkEnd w:id="136"/>
    <w:p>
      <w:pPr>
        <w:ind w:left="1040" w:hanging="183"/>
        <w:spacing w:after="0"/>
        <w:tabs>
          <w:tab w:leader="none" w:pos="104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 w:right="20" w:firstLine="1505"/>
        <w:spacing w:after="0" w:line="285" w:lineRule="auto"/>
        <w:tabs>
          <w:tab w:leader="none" w:pos="1842" w:val="left"/>
        </w:tabs>
        <w:numPr>
          <w:ilvl w:val="2"/>
          <w:numId w:val="79"/>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7"/>
          <w:szCs w:val="17"/>
          <w:u w:val="single" w:color="auto"/>
          <w:color w:val="auto"/>
        </w:rPr>
        <w:t>Aggregate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Payments</w:t>
      </w:r>
      <w:r>
        <w:rPr>
          <w:rFonts w:ascii="Arial" w:cs="Arial" w:eastAsia="Arial" w:hAnsi="Arial"/>
          <w:sz w:val="17"/>
          <w:szCs w:val="17"/>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95" w:lineRule="exact"/>
        <w:rPr>
          <w:rFonts w:ascii="Arial" w:cs="Arial" w:eastAsia="Arial" w:hAnsi="Arial"/>
          <w:sz w:val="17"/>
          <w:szCs w:val="17"/>
          <w:color w:val="auto"/>
        </w:rPr>
      </w:pPr>
    </w:p>
    <w:p>
      <w:pPr>
        <w:ind w:left="100" w:right="100" w:firstLine="1505"/>
        <w:spacing w:after="0" w:line="271" w:lineRule="auto"/>
        <w:tabs>
          <w:tab w:leader="none" w:pos="1852" w:val="left"/>
        </w:tabs>
        <w:numPr>
          <w:ilvl w:val="2"/>
          <w:numId w:val="79"/>
        </w:numPr>
        <w:rPr>
          <w:rFonts w:ascii="Arial" w:cs="Arial" w:eastAsia="Arial" w:hAnsi="Arial"/>
          <w:sz w:val="18"/>
          <w:szCs w:val="18"/>
          <w:color w:val="auto"/>
        </w:rPr>
      </w:pPr>
      <w:r>
        <w:rPr>
          <w:rFonts w:ascii="Arial" w:cs="Arial" w:eastAsia="Arial" w:hAnsi="Arial"/>
          <w:sz w:val="18"/>
          <w:szCs w:val="18"/>
          <w:color w:val="auto"/>
        </w:rPr>
        <w:t>For purposes of this Section 6, the “</w:t>
      </w:r>
      <w:r>
        <w:rPr>
          <w:rFonts w:ascii="Arial" w:cs="Arial" w:eastAsia="Arial" w:hAnsi="Arial"/>
          <w:sz w:val="18"/>
          <w:szCs w:val="18"/>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217" w:lineRule="exact"/>
        <w:rPr>
          <w:rFonts w:ascii="Arial" w:cs="Arial" w:eastAsia="Arial" w:hAnsi="Arial"/>
          <w:sz w:val="18"/>
          <w:szCs w:val="18"/>
          <w:color w:val="auto"/>
        </w:rPr>
      </w:pPr>
    </w:p>
    <w:p>
      <w:pPr>
        <w:ind w:left="100" w:right="60" w:firstLine="1505"/>
        <w:spacing w:after="0" w:line="299" w:lineRule="auto"/>
        <w:tabs>
          <w:tab w:leader="none" w:pos="1842" w:val="left"/>
        </w:tabs>
        <w:numPr>
          <w:ilvl w:val="2"/>
          <w:numId w:val="79"/>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(“Independent Advisors”) selected by the Company prior to a Change in Control, does not constitute a “parachute payment” within the meaning of Section 280G(b)</w:t>
      </w:r>
    </w:p>
    <w:p>
      <w:pPr>
        <w:spacing w:after="0" w:line="2" w:lineRule="exact"/>
        <w:rPr>
          <w:rFonts w:ascii="Arial" w:cs="Arial" w:eastAsia="Arial" w:hAnsi="Arial"/>
          <w:sz w:val="16"/>
          <w:szCs w:val="16"/>
          <w:color w:val="auto"/>
        </w:rPr>
      </w:pPr>
    </w:p>
    <w:p>
      <w:pPr>
        <w:ind w:left="100" w:firstLine="8"/>
        <w:spacing w:after="0" w:line="287" w:lineRule="auto"/>
        <w:tabs>
          <w:tab w:leader="none" w:pos="3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208" w:lineRule="exact"/>
        <w:rPr>
          <w:rFonts w:ascii="Arial" w:cs="Arial" w:eastAsia="Arial" w:hAnsi="Arial"/>
          <w:sz w:val="17"/>
          <w:szCs w:val="17"/>
          <w:color w:val="auto"/>
        </w:rPr>
      </w:pPr>
    </w:p>
    <w:p>
      <w:pPr>
        <w:ind w:left="1040" w:hanging="183"/>
        <w:spacing w:after="0"/>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 w:firstLine="1505"/>
        <w:spacing w:after="0" w:line="299" w:lineRule="auto"/>
        <w:tabs>
          <w:tab w:leader="none" w:pos="1842" w:val="left"/>
        </w:tabs>
        <w:numPr>
          <w:ilvl w:val="2"/>
          <w:numId w:val="80"/>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w:t>
      </w:r>
    </w:p>
    <w:p>
      <w:pPr>
        <w:spacing w:after="0" w:line="2"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(B) the Executive’s death. If any such delayed cash payment is otherwise payable on an installment basis, the first</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611" w:right="659" w:bottom="1440" w:gutter="0" w:footer="0" w:header="0"/>
        </w:sectPr>
      </w:pPr>
    </w:p>
    <w:bookmarkStart w:id="137" w:name="page138"/>
    <w:bookmarkEnd w:id="137"/>
    <w:p>
      <w:pPr>
        <w:ind w:left="100"/>
        <w:spacing w:after="0" w:line="293" w:lineRule="auto"/>
        <w:rPr>
          <w:sz w:val="20"/>
          <w:szCs w:val="20"/>
          <w:color w:val="auto"/>
        </w:rPr>
      </w:pPr>
      <w:r>
        <w:rPr>
          <w:rFonts w:ascii="Arial" w:cs="Arial" w:eastAsia="Arial" w:hAnsi="Arial"/>
          <w:sz w:val="18"/>
          <w:szCs w:val="18"/>
          <w:color w:val="auto"/>
        </w:rPr>
        <w:t>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97" w:lineRule="exact"/>
        <w:rPr>
          <w:sz w:val="20"/>
          <w:szCs w:val="20"/>
          <w:color w:val="auto"/>
        </w:rPr>
      </w:pPr>
    </w:p>
    <w:p>
      <w:pPr>
        <w:ind w:left="100" w:right="40" w:firstLine="1505"/>
        <w:spacing w:after="0" w:line="311" w:lineRule="auto"/>
        <w:tabs>
          <w:tab w:leader="none" w:pos="1852"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9" w:lineRule="exact"/>
        <w:rPr>
          <w:rFonts w:ascii="Arial" w:cs="Arial" w:eastAsia="Arial" w:hAnsi="Arial"/>
          <w:sz w:val="16"/>
          <w:szCs w:val="16"/>
          <w:color w:val="auto"/>
        </w:rPr>
      </w:pPr>
    </w:p>
    <w:p>
      <w:pPr>
        <w:ind w:left="100" w:firstLine="1505"/>
        <w:spacing w:after="0" w:line="296" w:lineRule="auto"/>
        <w:tabs>
          <w:tab w:leader="none" w:pos="1842" w:val="left"/>
        </w:tabs>
        <w:numPr>
          <w:ilvl w:val="1"/>
          <w:numId w:val="81"/>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83" w:lineRule="exact"/>
        <w:rPr>
          <w:rFonts w:ascii="Arial" w:cs="Arial" w:eastAsia="Arial" w:hAnsi="Arial"/>
          <w:sz w:val="17"/>
          <w:szCs w:val="17"/>
          <w:color w:val="auto"/>
        </w:rPr>
      </w:pPr>
    </w:p>
    <w:p>
      <w:pPr>
        <w:ind w:left="100" w:right="40" w:firstLine="1505"/>
        <w:spacing w:after="0" w:line="308" w:lineRule="auto"/>
        <w:tabs>
          <w:tab w:leader="none" w:pos="1852"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6" w:lineRule="exact"/>
        <w:rPr>
          <w:rFonts w:ascii="Arial" w:cs="Arial" w:eastAsia="Arial" w:hAnsi="Arial"/>
          <w:sz w:val="16"/>
          <w:szCs w:val="16"/>
          <w:color w:val="auto"/>
        </w:rPr>
      </w:pPr>
    </w:p>
    <w:p>
      <w:pPr>
        <w:ind w:left="100" w:right="20" w:firstLine="1505"/>
        <w:spacing w:after="0" w:line="279" w:lineRule="auto"/>
        <w:tabs>
          <w:tab w:leader="none" w:pos="184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96" w:lineRule="exact"/>
        <w:rPr>
          <w:rFonts w:ascii="Arial" w:cs="Arial" w:eastAsia="Arial" w:hAnsi="Arial"/>
          <w:sz w:val="18"/>
          <w:szCs w:val="18"/>
          <w:color w:val="auto"/>
        </w:rPr>
      </w:pPr>
    </w:p>
    <w:p>
      <w:pPr>
        <w:ind w:left="1040" w:hanging="183"/>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100" w:right="120" w:firstLine="1505"/>
        <w:spacing w:after="0" w:line="292" w:lineRule="auto"/>
        <w:tabs>
          <w:tab w:leader="none" w:pos="1842" w:val="left"/>
        </w:tabs>
        <w:numPr>
          <w:ilvl w:val="1"/>
          <w:numId w:val="82"/>
        </w:numPr>
        <w:rPr>
          <w:rFonts w:ascii="Arial" w:cs="Arial" w:eastAsia="Arial" w:hAnsi="Arial"/>
          <w:sz w:val="17"/>
          <w:szCs w:val="17"/>
          <w:color w:val="auto"/>
        </w:rPr>
      </w:pPr>
      <w:r>
        <w:rPr>
          <w:rFonts w:ascii="Arial" w:cs="Arial" w:eastAsia="Arial" w:hAnsi="Arial"/>
          <w:sz w:val="17"/>
          <w:szCs w:val="17"/>
          <w:color w:val="auto"/>
        </w:rPr>
        <w:t>Restrictive Covenants Agreement. By signing this Agreement, the Executive reaffirms that the terms of the Employee Proprietary Information and Inventions Assignment Agreement, dated July 12, 2020 between the Company and the Executive (the “Restrictive Covenants Agreement”) continues to be in full force and effect. For purposes of this Agreement, the obligations in this Section 8 and those that arise in the Restrictive Covenants Agreement and any other agreement relating to confidentiality, assignment of inventions, or other restrictive covenants that may later be agreed to by the Executive shall collectively be referred to as the “Continuing Obligations.”</w:t>
      </w:r>
    </w:p>
    <w:p>
      <w:pPr>
        <w:spacing w:after="0" w:line="201" w:lineRule="exact"/>
        <w:rPr>
          <w:rFonts w:ascii="Arial" w:cs="Arial" w:eastAsia="Arial" w:hAnsi="Arial"/>
          <w:sz w:val="17"/>
          <w:szCs w:val="17"/>
          <w:color w:val="auto"/>
        </w:rPr>
      </w:pPr>
    </w:p>
    <w:p>
      <w:pPr>
        <w:ind w:left="100" w:firstLine="1505"/>
        <w:spacing w:after="0" w:line="281" w:lineRule="auto"/>
        <w:tabs>
          <w:tab w:leader="none" w:pos="1852"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Third-Party Agreements and Rights.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6"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9</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368" w:right="639" w:bottom="1440" w:gutter="0" w:footer="0" w:header="0"/>
        </w:sectPr>
      </w:pPr>
    </w:p>
    <w:bookmarkStart w:id="138" w:name="page139"/>
    <w:bookmarkEnd w:id="138"/>
    <w:p>
      <w:pPr>
        <w:ind w:left="100" w:firstLine="1505"/>
        <w:spacing w:after="0" w:line="286" w:lineRule="auto"/>
        <w:tabs>
          <w:tab w:leader="none" w:pos="1842" w:val="left"/>
        </w:tabs>
        <w:numPr>
          <w:ilvl w:val="1"/>
          <w:numId w:val="83"/>
        </w:numPr>
        <w:rPr>
          <w:rFonts w:ascii="Arial" w:cs="Arial" w:eastAsia="Arial" w:hAnsi="Arial"/>
          <w:sz w:val="17"/>
          <w:szCs w:val="17"/>
          <w:color w:val="auto"/>
        </w:rPr>
      </w:pPr>
      <w:r>
        <w:rPr>
          <w:rFonts w:ascii="Arial" w:cs="Arial" w:eastAsia="Arial" w:hAnsi="Arial"/>
          <w:sz w:val="17"/>
          <w:szCs w:val="17"/>
          <w:color w:val="auto"/>
        </w:rPr>
        <w:t>Litigation and Regulatory Cooperation.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 which shall be in addition to its obligations to provide indemnification to the Executive.</w:t>
      </w:r>
    </w:p>
    <w:p>
      <w:pPr>
        <w:spacing w:after="0" w:line="191" w:lineRule="exact"/>
        <w:rPr>
          <w:rFonts w:ascii="Arial" w:cs="Arial" w:eastAsia="Arial" w:hAnsi="Arial"/>
          <w:sz w:val="17"/>
          <w:szCs w:val="17"/>
          <w:color w:val="auto"/>
        </w:rPr>
      </w:pPr>
    </w:p>
    <w:p>
      <w:pPr>
        <w:ind w:left="100" w:right="40" w:firstLine="1505"/>
        <w:spacing w:after="0" w:line="272" w:lineRule="auto"/>
        <w:tabs>
          <w:tab w:leader="none" w:pos="1852"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Relief. The Executive agrees that it would be difficult to measure any damages caused to the Company which might result from any breach by the Executive of the Continuing Obligations, and that in any event monetary damages would be an inadequate remedy for any such breach. Accordingly,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217" w:lineRule="exact"/>
        <w:rPr>
          <w:rFonts w:ascii="Arial" w:cs="Arial" w:eastAsia="Arial" w:hAnsi="Arial"/>
          <w:sz w:val="18"/>
          <w:szCs w:val="18"/>
          <w:color w:val="auto"/>
        </w:rPr>
      </w:pPr>
    </w:p>
    <w:p>
      <w:pPr>
        <w:ind w:left="1040" w:hanging="183"/>
        <w:spacing w:after="0"/>
        <w:tabs>
          <w:tab w:leader="none" w:pos="104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The parties hereby consent to the jurisdiction of the state and federal courts of the California. Accordingly,</w:t>
      </w:r>
    </w:p>
    <w:p>
      <w:pPr>
        <w:spacing w:after="0" w:line="35" w:lineRule="exact"/>
        <w:rPr>
          <w:sz w:val="20"/>
          <w:szCs w:val="20"/>
          <w:color w:val="auto"/>
        </w:rPr>
      </w:pPr>
    </w:p>
    <w:p>
      <w:pPr>
        <w:jc w:val="both"/>
        <w:ind w:left="100" w:right="540"/>
        <w:spacing w:after="0" w:line="279" w:lineRule="auto"/>
        <w:rPr>
          <w:sz w:val="20"/>
          <w:szCs w:val="20"/>
          <w:color w:val="auto"/>
        </w:rPr>
      </w:pPr>
      <w:r>
        <w:rPr>
          <w:rFonts w:ascii="Arial" w:cs="Arial" w:eastAsia="Arial" w:hAnsi="Arial"/>
          <w:sz w:val="18"/>
          <w:szCs w:val="18"/>
          <w:color w:val="auto"/>
        </w:rPr>
        <w:t>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209" w:lineRule="exact"/>
        <w:rPr>
          <w:sz w:val="20"/>
          <w:szCs w:val="20"/>
          <w:color w:val="auto"/>
        </w:rPr>
      </w:pPr>
    </w:p>
    <w:p>
      <w:pPr>
        <w:ind w:left="100" w:right="380" w:firstLine="757"/>
        <w:spacing w:after="0" w:line="303" w:lineRule="auto"/>
        <w:tabs>
          <w:tab w:leader="none" w:pos="1119"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and the agreements governing any Equity Awards remain in full force and effect.</w:t>
      </w:r>
    </w:p>
    <w:p>
      <w:pPr>
        <w:spacing w:after="0" w:line="177" w:lineRule="exact"/>
        <w:rPr>
          <w:rFonts w:ascii="Arial" w:cs="Arial" w:eastAsia="Arial" w:hAnsi="Arial"/>
          <w:sz w:val="17"/>
          <w:szCs w:val="17"/>
          <w:color w:val="auto"/>
        </w:rPr>
      </w:pPr>
    </w:p>
    <w:p>
      <w:pPr>
        <w:ind w:left="100" w:right="240" w:firstLine="757"/>
        <w:spacing w:after="0" w:line="275" w:lineRule="auto"/>
        <w:tabs>
          <w:tab w:leader="none" w:pos="1112"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212" w:lineRule="exact"/>
        <w:rPr>
          <w:rFonts w:ascii="Arial" w:cs="Arial" w:eastAsia="Arial" w:hAnsi="Arial"/>
          <w:sz w:val="18"/>
          <w:szCs w:val="18"/>
          <w:color w:val="auto"/>
        </w:rPr>
      </w:pPr>
    </w:p>
    <w:p>
      <w:pPr>
        <w:ind w:left="100" w:right="80" w:firstLine="757"/>
        <w:spacing w:after="0" w:line="299" w:lineRule="auto"/>
        <w:tabs>
          <w:tab w:leader="none" w:pos="1119"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10</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611" w:right="679" w:bottom="1440" w:gutter="0" w:footer="0" w:header="0"/>
        </w:sectPr>
      </w:pPr>
    </w:p>
    <w:bookmarkStart w:id="139" w:name="page140"/>
    <w:bookmarkEnd w:id="139"/>
    <w:p>
      <w:pPr>
        <w:ind w:left="100" w:right="200"/>
        <w:spacing w:after="0" w:line="319" w:lineRule="auto"/>
        <w:rPr>
          <w:sz w:val="20"/>
          <w:szCs w:val="20"/>
          <w:color w:val="auto"/>
        </w:rPr>
      </w:pPr>
      <w:r>
        <w:rPr>
          <w:rFonts w:ascii="Arial" w:cs="Arial" w:eastAsia="Arial" w:hAnsi="Arial"/>
          <w:sz w:val="16"/>
          <w:szCs w:val="16"/>
          <w:color w:val="auto"/>
        </w:rPr>
        <w:t>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3" w:lineRule="exact"/>
        <w:rPr>
          <w:sz w:val="20"/>
          <w:szCs w:val="20"/>
          <w:color w:val="auto"/>
        </w:rPr>
      </w:pPr>
    </w:p>
    <w:p>
      <w:pPr>
        <w:jc w:val="both"/>
        <w:ind w:left="100" w:right="40" w:firstLine="757"/>
        <w:spacing w:after="0" w:line="319" w:lineRule="auto"/>
        <w:tabs>
          <w:tab w:leader="none" w:pos="1119"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9" w:lineRule="exact"/>
        <w:rPr>
          <w:rFonts w:ascii="Arial" w:cs="Arial" w:eastAsia="Arial" w:hAnsi="Arial"/>
          <w:sz w:val="16"/>
          <w:szCs w:val="16"/>
          <w:color w:val="auto"/>
        </w:rPr>
      </w:pPr>
    </w:p>
    <w:p>
      <w:pPr>
        <w:ind w:left="100" w:right="120" w:firstLine="757"/>
        <w:spacing w:after="0" w:line="303" w:lineRule="auto"/>
        <w:tabs>
          <w:tab w:leader="none" w:pos="1119"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91" w:lineRule="exact"/>
        <w:rPr>
          <w:rFonts w:ascii="Arial" w:cs="Arial" w:eastAsia="Arial" w:hAnsi="Arial"/>
          <w:sz w:val="17"/>
          <w:szCs w:val="17"/>
          <w:color w:val="auto"/>
        </w:rPr>
      </w:pPr>
    </w:p>
    <w:p>
      <w:pPr>
        <w:ind w:left="100" w:right="80" w:firstLine="757"/>
        <w:spacing w:after="0" w:line="303" w:lineRule="auto"/>
        <w:tabs>
          <w:tab w:leader="none" w:pos="1119" w:val="left"/>
        </w:tabs>
        <w:numPr>
          <w:ilvl w:val="1"/>
          <w:numId w:val="86"/>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7" w:lineRule="exact"/>
        <w:rPr>
          <w:rFonts w:ascii="Arial" w:cs="Arial" w:eastAsia="Arial" w:hAnsi="Arial"/>
          <w:sz w:val="17"/>
          <w:szCs w:val="17"/>
          <w:color w:val="auto"/>
        </w:rPr>
      </w:pPr>
    </w:p>
    <w:p>
      <w:pPr>
        <w:ind w:left="100" w:firstLine="757"/>
        <w:spacing w:after="0" w:line="272" w:lineRule="auto"/>
        <w:tabs>
          <w:tab w:leader="none" w:pos="1119"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217" w:lineRule="exact"/>
        <w:rPr>
          <w:rFonts w:ascii="Arial" w:cs="Arial" w:eastAsia="Arial" w:hAnsi="Arial"/>
          <w:sz w:val="18"/>
          <w:szCs w:val="18"/>
          <w:color w:val="auto"/>
        </w:rPr>
      </w:pPr>
    </w:p>
    <w:p>
      <w:pPr>
        <w:ind w:left="100" w:right="500" w:firstLine="757"/>
        <w:spacing w:after="0" w:line="293" w:lineRule="auto"/>
        <w:tabs>
          <w:tab w:leader="none" w:pos="1119"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83" w:lineRule="exact"/>
        <w:rPr>
          <w:rFonts w:ascii="Arial" w:cs="Arial" w:eastAsia="Arial" w:hAnsi="Arial"/>
          <w:sz w:val="18"/>
          <w:szCs w:val="18"/>
          <w:color w:val="auto"/>
        </w:rPr>
      </w:pPr>
    </w:p>
    <w:p>
      <w:pPr>
        <w:ind w:left="100" w:right="60" w:firstLine="757"/>
        <w:spacing w:after="0" w:line="299" w:lineRule="auto"/>
        <w:tabs>
          <w:tab w:leader="none" w:pos="1119"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w:t>
      </w:r>
    </w:p>
    <w:p>
      <w:pPr>
        <w:spacing w:after="0" w:line="2" w:lineRule="exact"/>
        <w:rPr>
          <w:rFonts w:ascii="Arial" w:cs="Arial" w:eastAsia="Arial" w:hAnsi="Arial"/>
          <w:sz w:val="16"/>
          <w:szCs w:val="16"/>
          <w:color w:val="auto"/>
        </w:rPr>
      </w:pPr>
    </w:p>
    <w:p>
      <w:pPr>
        <w:ind w:left="100" w:right="20" w:firstLine="8"/>
        <w:spacing w:after="0" w:line="314" w:lineRule="auto"/>
        <w:tabs>
          <w:tab w:leader="none" w:pos="365" w:val="left"/>
        </w:tabs>
        <w:numPr>
          <w:ilvl w:val="0"/>
          <w:numId w:val="87"/>
        </w:numPr>
        <w:rPr>
          <w:rFonts w:ascii="Arial" w:cs="Arial" w:eastAsia="Arial" w:hAnsi="Arial"/>
          <w:sz w:val="16"/>
          <w:szCs w:val="16"/>
          <w:color w:val="auto"/>
        </w:rPr>
      </w:pPr>
      <w:r>
        <w:rPr>
          <w:rFonts w:ascii="Arial" w:cs="Arial" w:eastAsia="Arial" w:hAnsi="Arial"/>
          <w:sz w:val="16"/>
          <w:szCs w:val="16"/>
          <w:color w:val="auto"/>
        </w:rPr>
        <w:t>shall be promptly repaid to the Company by the Executive if it shall ultimately be determined that the Executive is not entitled to be indemnified by the Company pursuant to this Section 18. Nothing 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186" w:lineRule="exact"/>
        <w:rPr>
          <w:rFonts w:ascii="Arial" w:cs="Arial" w:eastAsia="Arial" w:hAnsi="Arial"/>
          <w:sz w:val="16"/>
          <w:szCs w:val="16"/>
          <w:color w:val="auto"/>
        </w:rPr>
      </w:pPr>
    </w:p>
    <w:p>
      <w:pPr>
        <w:ind w:left="100" w:right="120" w:firstLine="757"/>
        <w:spacing w:after="0" w:line="299" w:lineRule="auto"/>
        <w:tabs>
          <w:tab w:leader="none" w:pos="1119"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3 above or the repayment or recoupment provisions in Section 21(d) and Section 22 below.</w:t>
      </w:r>
    </w:p>
    <w:p>
      <w:pPr>
        <w:spacing w:after="0" w:line="2"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11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40" w:top="368" w:right="759" w:bottom="1440" w:gutter="0" w:footer="0" w:header="0"/>
        </w:sectPr>
      </w:pPr>
    </w:p>
    <w:bookmarkStart w:id="140" w:name="page141"/>
    <w:bookmarkEnd w:id="140"/>
    <w:p>
      <w:pPr>
        <w:ind w:left="100" w:right="140" w:firstLine="757"/>
        <w:spacing w:after="0" w:line="287" w:lineRule="auto"/>
        <w:tabs>
          <w:tab w:leader="none" w:pos="1119"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6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4 and Section 5 of this Agreement are mutually exclusive and in no event shall the Executive be entitled to cash severance payments or benefits pursuant to both Section 4 and Section 5 of this Agreement.</w:t>
      </w:r>
    </w:p>
    <w:p>
      <w:pPr>
        <w:spacing w:after="0" w:line="191" w:lineRule="exact"/>
        <w:rPr>
          <w:rFonts w:ascii="Arial" w:cs="Arial" w:eastAsia="Arial" w:hAnsi="Arial"/>
          <w:sz w:val="17"/>
          <w:szCs w:val="17"/>
          <w:color w:val="auto"/>
        </w:rPr>
      </w:pPr>
    </w:p>
    <w:p>
      <w:pPr>
        <w:ind w:left="1120" w:hanging="263"/>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0" w:firstLine="1505"/>
        <w:spacing w:after="0" w:line="275" w:lineRule="auto"/>
        <w:tabs>
          <w:tab w:leader="none" w:pos="184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applicable federal laws and, to the extent not inconsistent therewith or preempted thereby, with the laws of the State of California, including any applicable statutes of limitation, without regard to any otherwise applicable principles of conflicts of laws or choice of law rules (whether of California or any other jurisdiction) that would result in the application of the substantive or procedural rules or law of any other jurisdiction.</w:t>
      </w:r>
    </w:p>
    <w:p>
      <w:pPr>
        <w:spacing w:after="0" w:line="212" w:lineRule="exact"/>
        <w:rPr>
          <w:rFonts w:ascii="Arial" w:cs="Arial" w:eastAsia="Arial" w:hAnsi="Arial"/>
          <w:sz w:val="18"/>
          <w:szCs w:val="18"/>
          <w:color w:val="auto"/>
        </w:rPr>
      </w:pPr>
    </w:p>
    <w:p>
      <w:pPr>
        <w:ind w:left="100" w:firstLine="1505"/>
        <w:spacing w:after="0" w:line="272" w:lineRule="auto"/>
        <w:tabs>
          <w:tab w:leader="none" w:pos="1852" w:val="left"/>
        </w:tabs>
        <w:numPr>
          <w:ilvl w:val="1"/>
          <w:numId w:val="88"/>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Northern District of California, or if that court does not have or will not accept jurisdiction, in any court of general jurisdiction in the State of California,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204" w:lineRule="exact"/>
        <w:rPr>
          <w:rFonts w:ascii="Arial" w:cs="Arial" w:eastAsia="Arial" w:hAnsi="Arial"/>
          <w:sz w:val="18"/>
          <w:szCs w:val="18"/>
          <w:color w:val="auto"/>
        </w:rPr>
      </w:pPr>
    </w:p>
    <w:p>
      <w:pPr>
        <w:jc w:val="both"/>
        <w:ind w:left="100" w:right="20" w:firstLine="1505"/>
        <w:spacing w:after="0" w:line="296" w:lineRule="auto"/>
        <w:tabs>
          <w:tab w:leader="none" w:pos="1842"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3" w:lineRule="exact"/>
        <w:rPr>
          <w:rFonts w:ascii="Arial" w:cs="Arial" w:eastAsia="Arial" w:hAnsi="Arial"/>
          <w:sz w:val="17"/>
          <w:szCs w:val="17"/>
          <w:color w:val="auto"/>
        </w:rPr>
      </w:pPr>
    </w:p>
    <w:p>
      <w:pPr>
        <w:ind w:left="100" w:right="20" w:firstLine="1505"/>
        <w:spacing w:after="0" w:line="306" w:lineRule="auto"/>
        <w:tabs>
          <w:tab w:leader="none" w:pos="1852" w:val="left"/>
        </w:tabs>
        <w:numPr>
          <w:ilvl w:val="1"/>
          <w:numId w:val="88"/>
        </w:numPr>
        <w:rPr>
          <w:rFonts w:ascii="Arial" w:cs="Arial" w:eastAsia="Arial" w:hAnsi="Arial"/>
          <w:sz w:val="16"/>
          <w:szCs w:val="16"/>
          <w:color w:val="auto"/>
        </w:rPr>
      </w:pPr>
      <w:r>
        <w:rPr>
          <w:rFonts w:ascii="Arial" w:cs="Arial" w:eastAsia="Arial" w:hAnsi="Arial"/>
          <w:sz w:val="16"/>
          <w:szCs w:val="16"/>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92" w:lineRule="exact"/>
        <w:rPr>
          <w:rFonts w:ascii="Arial" w:cs="Arial" w:eastAsia="Arial" w:hAnsi="Arial"/>
          <w:sz w:val="16"/>
          <w:szCs w:val="16"/>
          <w:color w:val="auto"/>
        </w:rPr>
      </w:pPr>
    </w:p>
    <w:p>
      <w:pPr>
        <w:ind w:left="100" w:right="220" w:firstLine="757"/>
        <w:spacing w:after="0" w:line="266" w:lineRule="auto"/>
        <w:tabs>
          <w:tab w:leader="none" w:pos="111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Executive shall be required to repay incentive pay to the Company as described in this Section 22, and the Company may offset payments otherwise due and payable under this Agreement by the amounts required to be repaid under this Section 22.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“Recoupment Policy”). Where the result of a performance measure was a factor in determining the compensation awarded or paid, but (i) the</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12</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611" w:right="679" w:bottom="1440" w:gutter="0" w:footer="0" w:header="0"/>
        </w:sectPr>
      </w:pPr>
    </w:p>
    <w:bookmarkStart w:id="141" w:name="page142"/>
    <w:bookmarkEnd w:id="141"/>
    <w:p>
      <w:pPr>
        <w:ind w:left="100"/>
        <w:spacing w:after="0" w:line="309" w:lineRule="auto"/>
        <w:rPr>
          <w:sz w:val="20"/>
          <w:szCs w:val="20"/>
          <w:color w:val="auto"/>
        </w:rPr>
      </w:pPr>
      <w:r>
        <w:rPr>
          <w:rFonts w:ascii="Arial" w:cs="Arial" w:eastAsia="Arial" w:hAnsi="Arial"/>
          <w:sz w:val="16"/>
          <w:szCs w:val="16"/>
          <w:color w:val="auto"/>
        </w:rPr>
        <w:t>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22 shall preclude the Company (or any other person) from taking any other action.</w:t>
      </w:r>
    </w:p>
    <w:p>
      <w:pPr>
        <w:spacing w:after="0" w:line="178" w:lineRule="exact"/>
        <w:rPr>
          <w:sz w:val="20"/>
          <w:szCs w:val="20"/>
          <w:color w:val="auto"/>
        </w:rPr>
      </w:pPr>
    </w:p>
    <w:p>
      <w:pPr>
        <w:ind w:left="100" w:right="180" w:firstLine="757"/>
        <w:spacing w:after="0" w:line="293" w:lineRule="auto"/>
        <w:tabs>
          <w:tab w:leader="none" w:pos="1119"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6"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13</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368" w:right="779" w:bottom="1440" w:gutter="0" w:footer="0" w:header="0"/>
        </w:sectPr>
      </w:pPr>
    </w:p>
    <w:bookmarkStart w:id="142" w:name="page143"/>
    <w:bookmarkEnd w:id="142"/>
    <w:p>
      <w:pPr>
        <w:ind w:left="860"/>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248" w:lineRule="exact"/>
        <w:rPr>
          <w:sz w:val="20"/>
          <w:szCs w:val="20"/>
          <w:color w:val="auto"/>
        </w:rPr>
      </w:pPr>
    </w:p>
    <w:p>
      <w:pPr>
        <w:jc w:val="right"/>
        <w:ind w:right="2920"/>
        <w:spacing w:after="0"/>
        <w:rPr>
          <w:sz w:val="20"/>
          <w:szCs w:val="20"/>
          <w:color w:val="auto"/>
        </w:rPr>
      </w:pPr>
      <w:r>
        <w:rPr>
          <w:rFonts w:ascii="Arial" w:cs="Arial" w:eastAsia="Arial" w:hAnsi="Arial"/>
          <w:sz w:val="18"/>
          <w:szCs w:val="18"/>
          <w:b w:val="1"/>
          <w:bCs w:val="1"/>
          <w:color w:val="auto"/>
        </w:rPr>
        <w:t>ADAGIO THERAPEUTICS, INC.</w:t>
      </w:r>
    </w:p>
    <w:p>
      <w:pPr>
        <w:spacing w:after="0" w:line="200" w:lineRule="exact"/>
        <w:rPr>
          <w:sz w:val="20"/>
          <w:szCs w:val="20"/>
          <w:color w:val="auto"/>
        </w:rPr>
      </w:pPr>
    </w:p>
    <w:p>
      <w:pPr>
        <w:spacing w:after="0" w:line="326"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Tillman U. Gerngross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820" w:type="dxa"/>
            <w:vAlign w:val="bottom"/>
          </w:tcPr>
          <w:p>
            <w:pPr>
              <w:ind w:left="20"/>
              <w:spacing w:after="0"/>
              <w:rPr>
                <w:sz w:val="20"/>
                <w:szCs w:val="20"/>
                <w:color w:val="auto"/>
              </w:rPr>
            </w:pPr>
            <w:r>
              <w:rPr>
                <w:rFonts w:ascii="Arial" w:cs="Arial" w:eastAsia="Arial" w:hAnsi="Arial"/>
                <w:sz w:val="18"/>
                <w:szCs w:val="18"/>
                <w:color w:val="auto"/>
              </w:rPr>
              <w:t>Tillman U. Gerngross, Ph.D.</w:t>
            </w:r>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Its:</w:t>
            </w: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Lynn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23495</wp:posOffset>
            </wp:positionV>
            <wp:extent cx="35572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Lynn Connolly</w:t>
      </w: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71" w:right="339" w:bottom="1440" w:gutter="0" w:footer="0" w:header="0"/>
        </w:sectPr>
      </w:pPr>
    </w:p>
    <w:bookmarkStart w:id="143" w:name="page144"/>
    <w:bookmarkEnd w:id="143"/>
    <w:p>
      <w:pPr>
        <w:jc w:val="center"/>
        <w:ind w:right="-119"/>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Outside Activities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B</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SEPARATION AGREEMENT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[Address]</w:t>
      </w: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 Separation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[Name]:</w:t>
      </w:r>
    </w:p>
    <w:p>
      <w:pPr>
        <w:spacing w:after="0" w:line="252" w:lineRule="exact"/>
        <w:rPr>
          <w:sz w:val="20"/>
          <w:szCs w:val="20"/>
          <w:color w:val="auto"/>
        </w:rPr>
      </w:pPr>
    </w:p>
    <w:p>
      <w:pPr>
        <w:ind w:left="120" w:right="140"/>
        <w:spacing w:after="0" w:line="293"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193" w:lineRule="exact"/>
        <w:rPr>
          <w:sz w:val="20"/>
          <w:szCs w:val="20"/>
          <w:color w:val="auto"/>
        </w:rPr>
      </w:pPr>
    </w:p>
    <w:p>
      <w:pPr>
        <w:ind w:left="280" w:hanging="172"/>
        <w:spacing w:after="0"/>
        <w:tabs>
          <w:tab w:leader="none" w:pos="2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265" w:lineRule="exact"/>
        <w:rPr>
          <w:rFonts w:ascii="Arial" w:cs="Arial" w:eastAsia="Arial" w:hAnsi="Arial"/>
          <w:sz w:val="18"/>
          <w:szCs w:val="18"/>
          <w:b w:val="1"/>
          <w:bCs w:val="1"/>
          <w:color w:val="auto"/>
        </w:rPr>
      </w:pPr>
    </w:p>
    <w:p>
      <w:pPr>
        <w:ind w:left="100" w:firstLine="8"/>
        <w:spacing w:after="0" w:line="297" w:lineRule="auto"/>
        <w:tabs>
          <w:tab w:leader="none" w:pos="30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Salary. </w:t>
      </w:r>
      <w:r>
        <w:rPr>
          <w:rFonts w:ascii="Arial" w:cs="Arial" w:eastAsia="Arial" w:hAnsi="Arial"/>
          <w:sz w:val="18"/>
          <w:szCs w:val="18"/>
          <w:color w:val="auto"/>
        </w:rPr>
        <w:t>On the Separation Date, the Company will pay you all accrued salary earned through the Separation Date, subject to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deductions and withholdings. You will receive these payments regardless of whether or not you sign this Agreement.</w:t>
      </w:r>
    </w:p>
    <w:p>
      <w:pPr>
        <w:spacing w:after="0" w:line="176" w:lineRule="exact"/>
        <w:rPr>
          <w:rFonts w:ascii="Arial" w:cs="Arial" w:eastAsia="Arial" w:hAnsi="Arial"/>
          <w:sz w:val="18"/>
          <w:szCs w:val="18"/>
          <w:b w:val="1"/>
          <w:bCs w:val="1"/>
          <w:color w:val="auto"/>
        </w:rPr>
      </w:pPr>
    </w:p>
    <w:p>
      <w:pPr>
        <w:ind w:left="100" w:firstLine="8"/>
        <w:spacing w:after="0" w:line="297" w:lineRule="auto"/>
        <w:tabs>
          <w:tab w:leader="none" w:pos="2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194" w:lineRule="exact"/>
        <w:rPr>
          <w:sz w:val="20"/>
          <w:szCs w:val="20"/>
          <w:color w:val="auto"/>
        </w:rPr>
      </w:pPr>
    </w:p>
    <w:p>
      <w:pPr>
        <w:ind w:left="120" w:right="100" w:firstLine="749"/>
        <w:spacing w:after="0" w:line="292" w:lineRule="auto"/>
        <w:rPr>
          <w:sz w:val="20"/>
          <w:szCs w:val="20"/>
          <w:color w:val="auto"/>
        </w:rPr>
      </w:pPr>
      <w:r>
        <w:rPr>
          <w:rFonts w:ascii="Arial" w:cs="Arial" w:eastAsia="Arial" w:hAnsi="Arial"/>
          <w:sz w:val="17"/>
          <w:szCs w:val="17"/>
          <w:color w:val="auto"/>
        </w:rPr>
        <w:t>The Company is offering severance to you in reliance on Treasury Regulation Section 1.409A-1(b)(9) and the short term deferral exemption in Treasury Regulation Section 1.409A- 1(b)(4). Any payments made in reliance on Treasury Regulation Section 1.409A-1(b)(4) will be made not later than March 15, 20 .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-342265</wp:posOffset>
            </wp:positionV>
            <wp:extent cx="285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Benefit Plans.</w:t>
      </w:r>
    </w:p>
    <w:p>
      <w:pPr>
        <w:spacing w:after="0" w:line="270" w:lineRule="exact"/>
        <w:rPr>
          <w:sz w:val="20"/>
          <w:szCs w:val="20"/>
          <w:color w:val="auto"/>
        </w:rPr>
      </w:pPr>
    </w:p>
    <w:p>
      <w:pPr>
        <w:ind w:left="120" w:right="40"/>
        <w:spacing w:after="0" w:line="319"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223" w:lineRule="exact"/>
        <w:rPr>
          <w:sz w:val="20"/>
          <w:szCs w:val="20"/>
          <w:color w:val="auto"/>
        </w:rPr>
      </w:pPr>
    </w:p>
    <w:p>
      <w:pPr>
        <w:ind w:left="120" w:right="720"/>
        <w:spacing w:after="0" w:line="293" w:lineRule="auto"/>
        <w:rPr>
          <w:sz w:val="20"/>
          <w:szCs w:val="20"/>
          <w:color w:val="auto"/>
        </w:rPr>
      </w:pPr>
      <w:r>
        <w:rPr>
          <w:rFonts w:ascii="Arial" w:cs="Arial" w:eastAsia="Arial" w:hAnsi="Arial"/>
          <w:sz w:val="18"/>
          <w:szCs w:val="18"/>
          <w:color w:val="auto"/>
        </w:rPr>
        <w:t>Deductions for the 401(k) Plan will end with your last regular paycheck. You will receive information by mail concerning 401(k) plan rollover procedures should you be a participant in this program.</w:t>
      </w:r>
    </w:p>
    <w:p>
      <w:pPr>
        <w:spacing w:after="0" w:line="197" w:lineRule="exact"/>
        <w:rPr>
          <w:sz w:val="20"/>
          <w:szCs w:val="20"/>
          <w:color w:val="auto"/>
        </w:rPr>
      </w:pPr>
    </w:p>
    <w:p>
      <w:pPr>
        <w:ind w:left="120" w:right="20"/>
        <w:spacing w:after="0" w:line="293"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260" w:lineRule="exact"/>
        <w:rPr>
          <w:sz w:val="20"/>
          <w:szCs w:val="20"/>
          <w:color w:val="auto"/>
        </w:rPr>
      </w:pPr>
    </w:p>
    <w:p>
      <w:pPr>
        <w:ind w:left="100"/>
        <w:spacing w:after="0"/>
        <w:tabs>
          <w:tab w:leader="none" w:pos="4760" w:val="left"/>
        </w:tabs>
        <w:rPr>
          <w:sz w:val="20"/>
          <w:szCs w:val="20"/>
          <w:color w:val="auto"/>
        </w:rPr>
      </w:pPr>
      <w:r>
        <w:rPr>
          <w:rFonts w:ascii="Arial" w:cs="Arial" w:eastAsia="Arial" w:hAnsi="Arial"/>
          <w:sz w:val="18"/>
          <w:szCs w:val="18"/>
          <w:b w:val="1"/>
          <w:bCs w:val="1"/>
          <w:color w:val="auto"/>
        </w:rPr>
        <w:t xml:space="preserve">5. Stock Options.  </w:t>
      </w:r>
      <w:r>
        <w:rPr>
          <w:rFonts w:ascii="Arial" w:cs="Arial" w:eastAsia="Arial" w:hAnsi="Arial"/>
          <w:sz w:val="18"/>
          <w:szCs w:val="18"/>
          <w:color w:val="auto"/>
        </w:rPr>
        <w:t>You were granted an option to purchase</w:t>
      </w:r>
      <w:r>
        <w:rPr>
          <w:sz w:val="20"/>
          <w:szCs w:val="20"/>
          <w:color w:val="auto"/>
        </w:rPr>
        <w:tab/>
      </w:r>
      <w:r>
        <w:rPr>
          <w:rFonts w:ascii="Arial" w:cs="Arial" w:eastAsia="Arial" w:hAnsi="Arial"/>
          <w:sz w:val="15"/>
          <w:szCs w:val="15"/>
          <w:color w:val="auto"/>
        </w:rPr>
        <w:t>shares of the</w:t>
      </w:r>
    </w:p>
    <w:p>
      <w:pPr>
        <w:spacing w:after="0" w:line="27" w:lineRule="exact"/>
        <w:rPr>
          <w:sz w:val="20"/>
          <w:szCs w:val="20"/>
          <w:color w:val="auto"/>
        </w:rPr>
      </w:pPr>
    </w:p>
    <w:p>
      <w:pPr>
        <w:ind w:left="100"/>
        <w:spacing w:after="0" w:line="266" w:lineRule="auto"/>
        <w:rPr>
          <w:sz w:val="20"/>
          <w:szCs w:val="20"/>
          <w:color w:val="auto"/>
        </w:rPr>
      </w:pPr>
      <w:r>
        <w:rPr>
          <w:rFonts w:ascii="Arial" w:cs="Arial" w:eastAsia="Arial" w:hAnsi="Arial"/>
          <w:sz w:val="18"/>
          <w:szCs w:val="18"/>
          <w:color w:val="auto"/>
        </w:rPr>
        <w:t>Company’s common stock, pursuant to the Company’s [correct name of Stock or incentive plan] (the “Plan”). Under the terms of the Plan and your stock option grant, vesting will cease as of the Separation Date.</w:t>
      </w:r>
    </w:p>
    <w:p>
      <w:pPr>
        <w:jc w:val="center"/>
        <w:ind w:right="-119"/>
        <w:spacing w:after="0"/>
        <w:rPr>
          <w:sz w:val="20"/>
          <w:szCs w:val="20"/>
          <w:color w:val="auto"/>
        </w:rPr>
      </w:pPr>
      <w:r>
        <w:rPr>
          <w:rFonts w:ascii="Arial" w:cs="Arial" w:eastAsia="Arial" w:hAnsi="Arial"/>
          <w:sz w:val="22"/>
          <w:szCs w:val="22"/>
          <w:color w:val="auto"/>
        </w:rPr>
        <w:t>15</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18" w:right="459" w:bottom="1440" w:gutter="0" w:footer="0" w:header="0"/>
        </w:sectPr>
      </w:pPr>
    </w:p>
    <w:bookmarkStart w:id="144" w:name="page145"/>
    <w:bookmarkEnd w:id="144"/>
    <w:p>
      <w:pPr>
        <w:ind w:left="100" w:right="20" w:firstLine="8"/>
        <w:spacing w:after="0" w:line="297" w:lineRule="auto"/>
        <w:tabs>
          <w:tab w:leader="none" w:pos="30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257" w:lineRule="exact"/>
        <w:rPr>
          <w:rFonts w:ascii="Arial" w:cs="Arial" w:eastAsia="Arial" w:hAnsi="Arial"/>
          <w:sz w:val="18"/>
          <w:szCs w:val="18"/>
          <w:b w:val="1"/>
          <w:bCs w:val="1"/>
          <w:color w:val="auto"/>
        </w:rPr>
      </w:pPr>
    </w:p>
    <w:p>
      <w:pPr>
        <w:jc w:val="both"/>
        <w:ind w:left="100" w:firstLine="8"/>
        <w:spacing w:after="0" w:line="281" w:lineRule="auto"/>
        <w:tabs>
          <w:tab w:leader="none" w:pos="325"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285" w:lineRule="exact"/>
        <w:rPr>
          <w:rFonts w:ascii="Arial" w:cs="Arial" w:eastAsia="Arial" w:hAnsi="Arial"/>
          <w:sz w:val="18"/>
          <w:szCs w:val="18"/>
          <w:b w:val="1"/>
          <w:bCs w:val="1"/>
          <w:color w:val="auto"/>
        </w:rPr>
      </w:pPr>
    </w:p>
    <w:p>
      <w:pPr>
        <w:jc w:val="both"/>
        <w:ind w:left="100" w:firstLine="8"/>
        <w:spacing w:after="0" w:line="312" w:lineRule="auto"/>
        <w:tabs>
          <w:tab w:leader="none" w:pos="293"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By the Separation Date, you agree to return to the Company all Company documents (and all copies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Company property that you have had in your possession at any time, including, but not limited to, Company files, notes, drawings, records, business plans and forecasts, financial information, specifications, computer- 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Arial" w:cs="Arial" w:eastAsia="Arial" w:hAnsi="Arial"/>
          <w:sz w:val="16"/>
          <w:szCs w:val="16"/>
          <w:b w:val="1"/>
          <w:bCs w:val="1"/>
          <w:color w:val="auto"/>
        </w:rPr>
        <w:t>Receipt of</w:t>
      </w:r>
      <w:r>
        <w:rPr>
          <w:rFonts w:ascii="Arial" w:cs="Arial" w:eastAsia="Arial" w:hAnsi="Arial"/>
          <w:sz w:val="16"/>
          <w:szCs w:val="16"/>
          <w:color w:val="auto"/>
        </w:rPr>
        <w:t xml:space="preserve"> </w:t>
      </w:r>
      <w:r>
        <w:rPr>
          <w:rFonts w:ascii="Arial" w:cs="Arial" w:eastAsia="Arial" w:hAnsi="Arial"/>
          <w:sz w:val="16"/>
          <w:szCs w:val="16"/>
          <w:b w:val="1"/>
          <w:bCs w:val="1"/>
          <w:color w:val="auto"/>
        </w:rPr>
        <w:t>the severance benefits described in Section 3 of this Agreement is expressly conditioned upon return of all Company Property.</w:t>
      </w:r>
    </w:p>
    <w:p>
      <w:pPr>
        <w:spacing w:after="0" w:line="265" w:lineRule="exact"/>
        <w:rPr>
          <w:rFonts w:ascii="Arial" w:cs="Arial" w:eastAsia="Arial" w:hAnsi="Arial"/>
          <w:sz w:val="16"/>
          <w:szCs w:val="16"/>
          <w:b w:val="1"/>
          <w:bCs w:val="1"/>
          <w:color w:val="auto"/>
        </w:rPr>
      </w:pPr>
    </w:p>
    <w:p>
      <w:pPr>
        <w:jc w:val="both"/>
        <w:ind w:left="100" w:firstLine="8"/>
        <w:spacing w:after="0" w:line="286" w:lineRule="auto"/>
        <w:tabs>
          <w:tab w:leader="none" w:pos="329"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 Information and Post-Termination Obligations. </w:t>
      </w:r>
      <w:r>
        <w:rPr>
          <w:rFonts w:ascii="Arial" w:cs="Arial" w:eastAsia="Arial" w:hAnsi="Arial"/>
          <w:sz w:val="17"/>
          <w:szCs w:val="17"/>
          <w:color w:val="auto"/>
        </w:rPr>
        <w:t>Both during and after your employment you acknowledge your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272" w:lineRule="exact"/>
        <w:rPr>
          <w:rFonts w:ascii="Arial" w:cs="Arial" w:eastAsia="Arial" w:hAnsi="Arial"/>
          <w:sz w:val="17"/>
          <w:szCs w:val="17"/>
          <w:b w:val="1"/>
          <w:bCs w:val="1"/>
          <w:color w:val="auto"/>
        </w:rPr>
      </w:pPr>
    </w:p>
    <w:p>
      <w:pPr>
        <w:ind w:left="100" w:firstLine="8"/>
        <w:spacing w:after="0" w:line="297" w:lineRule="auto"/>
        <w:tabs>
          <w:tab w:leader="none" w:pos="37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Confidentiality. </w:t>
      </w:r>
      <w:r>
        <w:rPr>
          <w:rFonts w:ascii="Arial" w:cs="Arial" w:eastAsia="Arial" w:hAnsi="Arial"/>
          <w:sz w:val="18"/>
          <w:szCs w:val="18"/>
          <w:color w:val="auto"/>
        </w:rPr>
        <w:t>The provisions of this Agreement will be held in strictest confidence by you and will not be publicized or disclosed in any manner</w:t>
      </w:r>
      <w:r>
        <w:rPr>
          <w:rFonts w:ascii="Arial" w:cs="Arial" w:eastAsia="Arial" w:hAnsi="Arial"/>
          <w:sz w:val="18"/>
          <w:szCs w:val="18"/>
          <w:b w:val="1"/>
          <w:bCs w:val="1"/>
          <w:color w:val="auto"/>
        </w:rPr>
        <w:t xml:space="preserve"> </w:t>
      </w:r>
      <w:r>
        <w:rPr>
          <w:rFonts w:ascii="Arial" w:cs="Arial" w:eastAsia="Arial" w:hAnsi="Arial"/>
          <w:sz w:val="18"/>
          <w:szCs w:val="18"/>
          <w:color w:val="auto"/>
        </w:rPr>
        <w:t>whatsoever; provided, however, that:</w:t>
      </w:r>
    </w:p>
    <w:p>
      <w:pPr>
        <w:spacing w:after="0" w:line="32" w:lineRule="exact"/>
        <w:rPr>
          <w:sz w:val="20"/>
          <w:szCs w:val="20"/>
          <w:color w:val="auto"/>
        </w:rPr>
      </w:pPr>
    </w:p>
    <w:p>
      <w:pPr>
        <w:jc w:val="both"/>
        <w:ind w:left="100" w:firstLine="8"/>
        <w:spacing w:after="0" w:line="271" w:lineRule="auto"/>
        <w:tabs>
          <w:tab w:leader="none" w:pos="3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295" w:lineRule="exact"/>
        <w:rPr>
          <w:sz w:val="20"/>
          <w:szCs w:val="20"/>
          <w:color w:val="auto"/>
        </w:rPr>
      </w:pPr>
    </w:p>
    <w:p>
      <w:pPr>
        <w:jc w:val="both"/>
        <w:ind w:left="100" w:firstLine="8"/>
        <w:spacing w:after="0" w:line="282" w:lineRule="auto"/>
        <w:tabs>
          <w:tab w:leader="none" w:pos="36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Non-Disparagement. </w:t>
      </w:r>
      <w:r>
        <w:rPr>
          <w:rFonts w:ascii="Arial" w:cs="Arial" w:eastAsia="Arial" w:hAnsi="Arial"/>
          <w:sz w:val="17"/>
          <w:szCs w:val="17"/>
          <w:color w:val="auto"/>
        </w:rPr>
        <w:t>You agree not to disparage the Company, and the Company’s attorneys, directors, managers, partners, employees,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16</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688" w:right="459" w:bottom="1440" w:gutter="0" w:footer="0" w:header="0"/>
        </w:sectPr>
      </w:pPr>
    </w:p>
    <w:bookmarkStart w:id="145" w:name="page146"/>
    <w:bookmarkEnd w:id="145"/>
    <w:p>
      <w:pPr>
        <w:jc w:val="both"/>
        <w:ind w:left="100" w:firstLine="8"/>
        <w:spacing w:after="0" w:line="276" w:lineRule="auto"/>
        <w:tabs>
          <w:tab w:leader="none" w:pos="404"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276" w:lineRule="exact"/>
        <w:rPr>
          <w:rFonts w:ascii="Arial" w:cs="Arial" w:eastAsia="Arial" w:hAnsi="Arial"/>
          <w:sz w:val="18"/>
          <w:szCs w:val="18"/>
          <w:b w:val="1"/>
          <w:bCs w:val="1"/>
          <w:color w:val="auto"/>
        </w:rPr>
      </w:pPr>
    </w:p>
    <w:p>
      <w:pPr>
        <w:jc w:val="both"/>
        <w:ind w:left="100" w:firstLine="8"/>
        <w:spacing w:after="0" w:line="285" w:lineRule="auto"/>
        <w:tabs>
          <w:tab w:leader="none" w:pos="377"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15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198" w:lineRule="exact"/>
        <w:rPr>
          <w:sz w:val="20"/>
          <w:szCs w:val="20"/>
          <w:color w:val="auto"/>
        </w:rPr>
      </w:pPr>
    </w:p>
    <w:p>
      <w:pPr>
        <w:ind w:left="1480" w:right="760"/>
        <w:spacing w:after="0" w:line="285" w:lineRule="auto"/>
        <w:rPr>
          <w:sz w:val="20"/>
          <w:szCs w:val="20"/>
          <w:color w:val="auto"/>
        </w:rPr>
      </w:pPr>
      <w:r>
        <w:rPr>
          <w:rFonts w:ascii="Arial" w:cs="Arial" w:eastAsia="Arial" w:hAnsi="Arial"/>
          <w:sz w:val="17"/>
          <w:szCs w:val="17"/>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139" w:lineRule="exact"/>
        <w:rPr>
          <w:sz w:val="20"/>
          <w:szCs w:val="20"/>
          <w:color w:val="auto"/>
        </w:rPr>
      </w:pPr>
    </w:p>
    <w:p>
      <w:pPr>
        <w:ind w:left="1480" w:right="820"/>
        <w:spacing w:after="0" w:line="281" w:lineRule="auto"/>
        <w:rPr>
          <w:sz w:val="20"/>
          <w:szCs w:val="20"/>
          <w:color w:val="auto"/>
        </w:rPr>
      </w:pPr>
      <w:r>
        <w:rPr>
          <w:rFonts w:ascii="Arial" w:cs="Arial" w:eastAsia="Arial" w:hAnsi="Arial"/>
          <w:sz w:val="17"/>
          <w:szCs w:val="17"/>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17</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688" w:right="459" w:bottom="1440" w:gutter="0" w:footer="0" w:header="0"/>
        </w:sectPr>
      </w:pPr>
    </w:p>
    <w:bookmarkStart w:id="146" w:name="page147"/>
    <w:bookmarkEnd w:id="146"/>
    <w:p>
      <w:pPr>
        <w:ind w:left="1480" w:right="760"/>
        <w:spacing w:after="0" w:line="279" w:lineRule="auto"/>
        <w:rPr>
          <w:sz w:val="20"/>
          <w:szCs w:val="20"/>
          <w:color w:val="auto"/>
        </w:rPr>
      </w:pPr>
      <w:r>
        <w:rPr>
          <w:rFonts w:ascii="Arial" w:cs="Arial" w:eastAsia="Arial" w:hAnsi="Arial"/>
          <w:sz w:val="18"/>
          <w:szCs w:val="18"/>
          <w:color w:val="auto"/>
        </w:rPr>
        <w:t>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56" w:lineRule="exact"/>
        <w:rPr>
          <w:sz w:val="20"/>
          <w:szCs w:val="20"/>
          <w:color w:val="auto"/>
        </w:rPr>
      </w:pPr>
    </w:p>
    <w:p>
      <w:pPr>
        <w:ind w:left="1480" w:right="740"/>
        <w:spacing w:after="0" w:line="287" w:lineRule="auto"/>
        <w:rPr>
          <w:sz w:val="20"/>
          <w:szCs w:val="20"/>
          <w:color w:val="auto"/>
        </w:rPr>
      </w:pPr>
      <w:r>
        <w:rPr>
          <w:rFonts w:ascii="Arial" w:cs="Arial" w:eastAsia="Arial" w:hAnsi="Arial"/>
          <w:sz w:val="17"/>
          <w:szCs w:val="17"/>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95" w:lineRule="exact"/>
        <w:rPr>
          <w:sz w:val="20"/>
          <w:szCs w:val="20"/>
          <w:color w:val="auto"/>
        </w:rPr>
      </w:pPr>
    </w:p>
    <w:p>
      <w:pPr>
        <w:ind w:left="120" w:right="140"/>
        <w:spacing w:after="0" w:line="299" w:lineRule="auto"/>
        <w:rPr>
          <w:sz w:val="20"/>
          <w:szCs w:val="20"/>
          <w:color w:val="auto"/>
        </w:rPr>
      </w:pPr>
      <w:r>
        <w:rPr>
          <w:rFonts w:ascii="Arial" w:cs="Arial" w:eastAsia="Arial" w:hAnsi="Arial"/>
          <w:sz w:val="16"/>
          <w:szCs w:val="16"/>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w:t>
      </w:r>
    </w:p>
    <w:p>
      <w:pPr>
        <w:spacing w:after="0" w:line="2" w:lineRule="exact"/>
        <w:rPr>
          <w:sz w:val="20"/>
          <w:szCs w:val="20"/>
          <w:color w:val="auto"/>
        </w:rPr>
      </w:pPr>
    </w:p>
    <w:p>
      <w:pPr>
        <w:ind w:left="120" w:right="20"/>
        <w:spacing w:after="0" w:line="304" w:lineRule="auto"/>
        <w:rPr>
          <w:sz w:val="20"/>
          <w:szCs w:val="20"/>
          <w:color w:val="auto"/>
        </w:rPr>
      </w:pPr>
      <w:r>
        <w:rPr>
          <w:rFonts w:ascii="Arial" w:cs="Arial" w:eastAsia="Arial" w:hAnsi="Arial"/>
          <w:sz w:val="16"/>
          <w:szCs w:val="16"/>
          <w:color w:val="auto"/>
        </w:rPr>
        <w:t>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260" w:lineRule="exact"/>
        <w:rPr>
          <w:sz w:val="20"/>
          <w:szCs w:val="20"/>
          <w:color w:val="auto"/>
        </w:rPr>
      </w:pPr>
    </w:p>
    <w:p>
      <w:pPr>
        <w:jc w:val="both"/>
        <w:ind w:left="100" w:firstLine="8"/>
        <w:spacing w:after="0" w:line="282" w:lineRule="auto"/>
        <w:tabs>
          <w:tab w:leader="none" w:pos="374"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Your Acknowledgments and Affirmations/ Effective Date of Agreement. </w:t>
      </w:r>
      <w:r>
        <w:rPr>
          <w:rFonts w:ascii="Arial" w:cs="Arial" w:eastAsia="Arial" w:hAnsi="Arial"/>
          <w:sz w:val="17"/>
          <w:szCs w:val="17"/>
          <w:color w:val="auto"/>
        </w:rPr>
        <w:t>You acknowledge that you are knowingly and voluntarily waiving and</w:t>
      </w:r>
      <w:r>
        <w:rPr>
          <w:rFonts w:ascii="Arial" w:cs="Arial" w:eastAsia="Arial" w:hAnsi="Arial"/>
          <w:sz w:val="17"/>
          <w:szCs w:val="17"/>
          <w:b w:val="1"/>
          <w:bCs w:val="1"/>
          <w:color w:val="auto"/>
        </w:rPr>
        <w:t xml:space="preserve"> </w:t>
      </w:r>
      <w:r>
        <w:rPr>
          <w:rFonts w:ascii="Arial" w:cs="Arial" w:eastAsia="Arial" w:hAnsi="Arial"/>
          <w:sz w:val="17"/>
          <w:szCs w:val="17"/>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18</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544" w:right="459" w:bottom="1440" w:gutter="0" w:footer="0" w:header="0"/>
        </w:sectPr>
      </w:pPr>
    </w:p>
    <w:bookmarkStart w:id="147" w:name="page148"/>
    <w:bookmarkEnd w:id="147"/>
    <w:p>
      <w:pPr>
        <w:jc w:val="both"/>
        <w:ind w:left="100"/>
        <w:spacing w:after="0" w:line="272" w:lineRule="auto"/>
        <w:rPr>
          <w:sz w:val="20"/>
          <w:szCs w:val="20"/>
          <w:color w:val="auto"/>
        </w:rPr>
      </w:pPr>
      <w:r>
        <w:rPr>
          <w:rFonts w:ascii="Arial" w:cs="Arial" w:eastAsia="Arial" w:hAnsi="Arial"/>
          <w:sz w:val="18"/>
          <w:szCs w:val="18"/>
          <w:color w:val="auto"/>
        </w:rPr>
        <w:t>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295" w:lineRule="exact"/>
        <w:rPr>
          <w:sz w:val="20"/>
          <w:szCs w:val="20"/>
          <w:color w:val="auto"/>
        </w:rPr>
      </w:pPr>
    </w:p>
    <w:p>
      <w:pPr>
        <w:jc w:val="both"/>
        <w:ind w:left="100" w:firstLine="8"/>
        <w:spacing w:after="0" w:line="281" w:lineRule="auto"/>
        <w:tabs>
          <w:tab w:leader="none" w:pos="374"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271" w:lineRule="exact"/>
        <w:rPr>
          <w:rFonts w:ascii="Arial" w:cs="Arial" w:eastAsia="Arial" w:hAnsi="Arial"/>
          <w:sz w:val="18"/>
          <w:szCs w:val="18"/>
          <w:b w:val="1"/>
          <w:bCs w:val="1"/>
          <w:color w:val="auto"/>
        </w:rPr>
      </w:pPr>
    </w:p>
    <w:p>
      <w:pPr>
        <w:jc w:val="both"/>
        <w:ind w:left="100" w:firstLine="8"/>
        <w:spacing w:after="0" w:line="270" w:lineRule="auto"/>
        <w:tabs>
          <w:tab w:leader="none" w:pos="377"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297" w:lineRule="exact"/>
        <w:rPr>
          <w:rFonts w:ascii="Arial" w:cs="Arial" w:eastAsia="Arial" w:hAnsi="Arial"/>
          <w:sz w:val="18"/>
          <w:szCs w:val="18"/>
          <w:b w:val="1"/>
          <w:bCs w:val="1"/>
          <w:color w:val="auto"/>
        </w:rPr>
      </w:pPr>
    </w:p>
    <w:p>
      <w:pPr>
        <w:jc w:val="both"/>
        <w:ind w:left="100" w:firstLine="8"/>
        <w:spacing w:after="0" w:line="287" w:lineRule="auto"/>
        <w:tabs>
          <w:tab w:leader="none" w:pos="377"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289" w:lineRule="exact"/>
        <w:rPr>
          <w:rFonts w:ascii="Arial" w:cs="Arial" w:eastAsia="Arial" w:hAnsi="Arial"/>
          <w:sz w:val="17"/>
          <w:szCs w:val="17"/>
          <w:b w:val="1"/>
          <w:bCs w:val="1"/>
          <w:color w:val="auto"/>
        </w:rPr>
      </w:pPr>
    </w:p>
    <w:p>
      <w:pPr>
        <w:jc w:val="both"/>
        <w:ind w:left="100" w:firstLine="8"/>
        <w:spacing w:after="0" w:line="284" w:lineRule="auto"/>
        <w:tabs>
          <w:tab w:leader="none" w:pos="392" w:val="left"/>
        </w:tabs>
        <w:numPr>
          <w:ilvl w:val="0"/>
          <w:numId w:val="96"/>
        </w:numPr>
        <w:rPr>
          <w:rFonts w:ascii="Arial" w:cs="Arial" w:eastAsia="Arial" w:hAnsi="Arial"/>
          <w:sz w:val="17"/>
          <w:szCs w:val="17"/>
          <w:b w:val="1"/>
          <w:bCs w:val="1"/>
          <w:color w:val="auto"/>
        </w:rPr>
      </w:pPr>
      <w:r>
        <w:rPr>
          <w:rFonts w:ascii="Arial" w:cs="Arial" w:eastAsia="Arial" w:hAnsi="Arial"/>
          <w:sz w:val="17"/>
          <w:szCs w:val="17"/>
          <w:color w:val="auto"/>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Arial" w:cs="Arial" w:eastAsia="Arial" w:hAnsi="Arial"/>
          <w:sz w:val="17"/>
          <w:szCs w:val="17"/>
          <w:b w:val="1"/>
          <w:bCs w:val="1"/>
          <w:color w:val="auto"/>
        </w:rPr>
        <w:t>You acknowledge that by agreeing to this arbitration procedure, both you and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Company waive the right to resolve any such dispute through a trial by jury or judge or administrative proceeding. </w:t>
      </w:r>
      <w:r>
        <w:rPr>
          <w:rFonts w:ascii="Arial" w:cs="Arial" w:eastAsia="Arial" w:hAnsi="Arial"/>
          <w:sz w:val="17"/>
          <w:szCs w:val="17"/>
          <w:color w:val="auto"/>
        </w:rPr>
        <w:t>You will have the right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49" w:right="459" w:bottom="1440" w:gutter="0" w:footer="0" w:header="0"/>
        </w:sectPr>
      </w:pPr>
    </w:p>
    <w:bookmarkStart w:id="148" w:name="page149"/>
    <w:bookmarkEnd w:id="148"/>
    <w:p>
      <w:pPr>
        <w:ind w:left="120"/>
        <w:spacing w:after="0" w:line="324"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wish you good luck in your future endeavors.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Adagio Therapeutics, Inc.</w:t>
      </w: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23495</wp:posOffset>
            </wp:positionV>
            <wp:extent cx="31375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AGREED TO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3566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w:t>
      </w: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CONSIDERATION PERIOD</w:t>
      </w:r>
    </w:p>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182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 understand that I have the right to take at least 21 days to consider whether to sign this Agreement, which I 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-3175</wp:posOffset>
            </wp:positionV>
            <wp:extent cx="102806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1028065" cy="8890"/>
                    </a:xfrm>
                    <a:prstGeom prst="rect">
                      <a:avLst/>
                    </a:prstGeom>
                    <a:noFill/>
                  </pic:spPr>
                </pic:pic>
              </a:graphicData>
            </a:graphic>
          </wp:anchor>
        </w:drawing>
        <w:drawing>
          <wp:anchor simplePos="0" relativeHeight="251657728" behindDoc="1" locked="0" layoutInCell="0" allowOverlap="1">
            <wp:simplePos x="0" y="0"/>
            <wp:positionH relativeFrom="column">
              <wp:posOffset>6670675</wp:posOffset>
            </wp:positionH>
            <wp:positionV relativeFrom="paragraph">
              <wp:posOffset>-3175</wp:posOffset>
            </wp:positionV>
            <wp:extent cx="1949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15" w:lineRule="exact"/>
        <w:rPr>
          <w:sz w:val="20"/>
          <w:szCs w:val="20"/>
          <w:color w:val="auto"/>
        </w:rPr>
      </w:pPr>
    </w:p>
    <w:p>
      <w:pPr>
        <w:ind w:left="120" w:right="980" w:hanging="8"/>
        <w:spacing w:after="0" w:line="292" w:lineRule="auto"/>
        <w:tabs>
          <w:tab w:leader="none" w:pos="2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20 . If I elect to sign this Agreement before 21 days have passed, I understand I am to sign and date below this paragraph to confirm that I knowingly and voluntarily agree to waive the 21-day consideration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-199390</wp:posOffset>
            </wp:positionV>
            <wp:extent cx="285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3566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35661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20</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49" w:name="page150"/>
    <w:bookmarkEnd w:id="149"/>
    <w:p>
      <w:pPr>
        <w:ind w:left="120"/>
        <w:spacing w:after="0"/>
        <w:rPr>
          <w:sz w:val="20"/>
          <w:szCs w:val="20"/>
          <w:color w:val="auto"/>
        </w:rPr>
      </w:pPr>
      <w:r>
        <w:rPr>
          <w:rFonts w:ascii="Arial" w:cs="Arial" w:eastAsia="Arial" w:hAnsi="Arial"/>
          <w:sz w:val="18"/>
          <w:szCs w:val="18"/>
          <w:color w:val="auto"/>
        </w:rPr>
        <w:t>254034726 v2</w:t>
      </w:r>
    </w:p>
    <w:p>
      <w:pPr>
        <w:spacing w:after="0" w:line="23"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679"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10.7</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EMPLOYMENT AGREEMENT</w:t>
      </w:r>
    </w:p>
    <w:p>
      <w:pPr>
        <w:spacing w:after="0" w:line="256" w:lineRule="exact"/>
        <w:rPr>
          <w:sz w:val="20"/>
          <w:szCs w:val="20"/>
          <w:color w:val="auto"/>
        </w:rPr>
      </w:pPr>
    </w:p>
    <w:p>
      <w:pPr>
        <w:jc w:val="both"/>
        <w:ind w:left="120" w:right="120" w:firstLine="749"/>
        <w:spacing w:after="0" w:line="279" w:lineRule="auto"/>
        <w:rPr>
          <w:sz w:val="20"/>
          <w:szCs w:val="20"/>
          <w:color w:val="auto"/>
        </w:rPr>
      </w:pPr>
      <w:r>
        <w:rPr>
          <w:rFonts w:ascii="Arial" w:cs="Arial" w:eastAsia="Arial" w:hAnsi="Arial"/>
          <w:sz w:val="18"/>
          <w:szCs w:val="18"/>
          <w:color w:val="auto"/>
        </w:rPr>
        <w:t>This Employment Agreement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is made between Adagio Therapeutics, Inc., a Delaware corporation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and Rebecca Dabora (the “</w:t>
      </w:r>
      <w:r>
        <w:rPr>
          <w:rFonts w:ascii="Arial" w:cs="Arial" w:eastAsia="Arial" w:hAnsi="Arial"/>
          <w:sz w:val="18"/>
          <w:szCs w:val="18"/>
          <w:b w:val="1"/>
          <w:bCs w:val="1"/>
          <w:i w:val="1"/>
          <w:iCs w:val="1"/>
          <w:u w:val="single" w:color="auto"/>
          <w:color w:val="auto"/>
        </w:rPr>
        <w:t>Executive</w:t>
      </w:r>
      <w:r>
        <w:rPr>
          <w:rFonts w:ascii="Arial" w:cs="Arial" w:eastAsia="Arial" w:hAnsi="Arial"/>
          <w:sz w:val="18"/>
          <w:szCs w:val="18"/>
          <w:color w:val="auto"/>
        </w:rPr>
        <w:t>”), this 5th day of August, 2021. This Agreement supersedes in its entirety that certain Offer Letter, dated May 10, 2021 (the “</w:t>
      </w:r>
      <w:r>
        <w:rPr>
          <w:rFonts w:ascii="Arial" w:cs="Arial" w:eastAsia="Arial" w:hAnsi="Arial"/>
          <w:sz w:val="18"/>
          <w:szCs w:val="18"/>
          <w:b w:val="1"/>
          <w:bCs w:val="1"/>
          <w:i w:val="1"/>
          <w:iCs w:val="1"/>
          <w:u w:val="single" w:color="auto"/>
          <w:color w:val="auto"/>
        </w:rPr>
        <w:t>Prior Agreement</w:t>
      </w:r>
      <w:r>
        <w:rPr>
          <w:rFonts w:ascii="Arial" w:cs="Arial" w:eastAsia="Arial" w:hAnsi="Arial"/>
          <w:sz w:val="18"/>
          <w:szCs w:val="18"/>
          <w:color w:val="auto"/>
        </w:rPr>
        <w:t>”), between the Executive and the Company.</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52" w:lineRule="exact"/>
        <w:rPr>
          <w:sz w:val="20"/>
          <w:szCs w:val="20"/>
          <w:color w:val="auto"/>
        </w:rPr>
      </w:pPr>
    </w:p>
    <w:p>
      <w:pPr>
        <w:ind w:left="120" w:right="520" w:firstLine="749"/>
        <w:spacing w:after="0" w:line="359" w:lineRule="auto"/>
        <w:rPr>
          <w:sz w:val="20"/>
          <w:szCs w:val="20"/>
          <w:color w:val="auto"/>
        </w:rPr>
      </w:pPr>
      <w:r>
        <w:rPr>
          <w:rFonts w:ascii="Arial" w:cs="Arial" w:eastAsia="Arial" w:hAnsi="Arial"/>
          <w:sz w:val="16"/>
          <w:szCs w:val="16"/>
          <w:color w:val="auto"/>
        </w:rPr>
        <w:t>WHEREAS, the Company and the Executive desire to enter into this Agreement and supersede in its entirety the Prior Agreement in connection with the Offering, effective as of the date on which the registration statement relating to the Offering is effective (the “</w:t>
      </w:r>
      <w:r>
        <w:rPr>
          <w:rFonts w:ascii="Arial" w:cs="Arial" w:eastAsia="Arial" w:hAnsi="Arial"/>
          <w:sz w:val="16"/>
          <w:szCs w:val="16"/>
          <w:b w:val="1"/>
          <w:bCs w:val="1"/>
          <w:i w:val="1"/>
          <w:iCs w:val="1"/>
          <w:u w:val="single" w:color="auto"/>
          <w:color w:val="auto"/>
        </w:rPr>
        <w:t>Effective Date</w:t>
      </w:r>
      <w:r>
        <w:rPr>
          <w:rFonts w:ascii="Arial" w:cs="Arial" w:eastAsia="Arial" w:hAnsi="Arial"/>
          <w:sz w:val="16"/>
          <w:szCs w:val="16"/>
          <w:color w:val="auto"/>
        </w:rPr>
        <w:t>”).</w:t>
      </w:r>
    </w:p>
    <w:p>
      <w:pPr>
        <w:spacing w:after="0" w:line="219" w:lineRule="exact"/>
        <w:rPr>
          <w:sz w:val="20"/>
          <w:szCs w:val="20"/>
          <w:color w:val="auto"/>
        </w:rPr>
      </w:pPr>
    </w:p>
    <w:p>
      <w:pPr>
        <w:ind w:left="120" w:right="1320" w:firstLine="749"/>
        <w:spacing w:after="0" w:line="29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97" w:lineRule="exact"/>
        <w:rPr>
          <w:sz w:val="20"/>
          <w:szCs w:val="20"/>
          <w:color w:val="auto"/>
        </w:rPr>
      </w:pPr>
    </w:p>
    <w:p>
      <w:pPr>
        <w:ind w:left="1020" w:hanging="172"/>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0" w:right="320" w:firstLine="1505"/>
        <w:spacing w:after="0" w:line="296" w:lineRule="auto"/>
        <w:tabs>
          <w:tab w:leader="none" w:pos="1842"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7"/>
          <w:szCs w:val="17"/>
          <w:b w:val="1"/>
          <w:bCs w:val="1"/>
          <w:i w:val="1"/>
          <w:iCs w:val="1"/>
          <w:u w:val="single" w:color="auto"/>
          <w:color w:val="auto"/>
        </w:rPr>
        <w:t>Term</w:t>
      </w:r>
      <w:r>
        <w:rPr>
          <w:rFonts w:ascii="Arial" w:cs="Arial" w:eastAsia="Arial" w:hAnsi="Arial"/>
          <w:sz w:val="17"/>
          <w:szCs w:val="17"/>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83" w:lineRule="exact"/>
        <w:rPr>
          <w:rFonts w:ascii="Arial" w:cs="Arial" w:eastAsia="Arial" w:hAnsi="Arial"/>
          <w:sz w:val="17"/>
          <w:szCs w:val="17"/>
          <w:color w:val="auto"/>
        </w:rPr>
      </w:pPr>
    </w:p>
    <w:p>
      <w:pPr>
        <w:ind w:left="1860" w:hanging="255"/>
        <w:spacing w:after="0"/>
        <w:tabs>
          <w:tab w:leader="none" w:pos="186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66" w:lineRule="exact"/>
        <w:rPr>
          <w:sz w:val="20"/>
          <w:szCs w:val="20"/>
          <w:color w:val="auto"/>
        </w:rPr>
      </w:pPr>
    </w:p>
    <w:p>
      <w:pPr>
        <w:ind w:left="120" w:right="300"/>
        <w:spacing w:after="0" w:line="303" w:lineRule="auto"/>
        <w:rPr>
          <w:sz w:val="20"/>
          <w:szCs w:val="20"/>
          <w:color w:val="auto"/>
        </w:rPr>
      </w:pPr>
      <w:r>
        <w:rPr>
          <w:rFonts w:ascii="Arial" w:cs="Arial" w:eastAsia="Arial" w:hAnsi="Arial"/>
          <w:sz w:val="17"/>
          <w:szCs w:val="17"/>
          <w:color w:val="auto"/>
        </w:rPr>
        <w:t>The Executive shall serve as the Chief Technology and Manufacturing Officer of the Company and shall have such powers and duties as customarily associated with the office of Chief Technology and Manufacturing Officer, and as may from time to time be prescribed by the Chief Executive Officer of the Company (the “</w:t>
      </w:r>
      <w:r>
        <w:rPr>
          <w:rFonts w:ascii="Arial" w:cs="Arial" w:eastAsia="Arial" w:hAnsi="Arial"/>
          <w:sz w:val="17"/>
          <w:szCs w:val="17"/>
          <w:b w:val="1"/>
          <w:bCs w:val="1"/>
          <w:i w:val="1"/>
          <w:iCs w:val="1"/>
          <w:u w:val="single" w:color="auto"/>
          <w:color w:val="auto"/>
        </w:rPr>
        <w:t>CEO</w:t>
      </w:r>
      <w:r>
        <w:rPr>
          <w:rFonts w:ascii="Arial" w:cs="Arial" w:eastAsia="Arial" w:hAnsi="Arial"/>
          <w:sz w:val="17"/>
          <w:szCs w:val="17"/>
          <w:color w:val="auto"/>
        </w:rPr>
        <w:t>”), subject to the direction and control of the CEO. The Executive shall report to the CEO.</w:t>
      </w:r>
    </w:p>
    <w:p>
      <w:pPr>
        <w:spacing w:after="0" w:line="191" w:lineRule="exact"/>
        <w:rPr>
          <w:sz w:val="20"/>
          <w:szCs w:val="20"/>
          <w:color w:val="auto"/>
        </w:rPr>
      </w:pPr>
    </w:p>
    <w:p>
      <w:pPr>
        <w:ind w:left="120" w:right="580"/>
        <w:spacing w:after="0" w:line="314" w:lineRule="auto"/>
        <w:rPr>
          <w:sz w:val="20"/>
          <w:szCs w:val="20"/>
          <w:color w:val="auto"/>
        </w:rPr>
      </w:pPr>
      <w:r>
        <w:rPr>
          <w:rFonts w:ascii="Arial" w:cs="Arial" w:eastAsia="Arial" w:hAnsi="Arial"/>
          <w:sz w:val="16"/>
          <w:szCs w:val="16"/>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pacing w:after="0" w:line="173" w:lineRule="exact"/>
        <w:rPr>
          <w:sz w:val="20"/>
          <w:szCs w:val="20"/>
          <w:color w:val="auto"/>
        </w:rPr>
      </w:pPr>
    </w:p>
    <w:p>
      <w:pPr>
        <w:ind w:left="100" w:right="320" w:firstLine="1505"/>
        <w:spacing w:after="0" w:line="293" w:lineRule="auto"/>
        <w:tabs>
          <w:tab w:leader="none" w:pos="184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Outside Activities</w:t>
      </w:r>
      <w:r>
        <w:rPr>
          <w:rFonts w:ascii="Arial" w:cs="Arial" w:eastAsia="Arial" w:hAnsi="Arial"/>
          <w:sz w:val="18"/>
          <w:szCs w:val="18"/>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183" w:lineRule="exact"/>
        <w:rPr>
          <w:sz w:val="20"/>
          <w:szCs w:val="20"/>
          <w:color w:val="auto"/>
        </w:rPr>
      </w:pPr>
    </w:p>
    <w:p>
      <w:pPr>
        <w:ind w:left="120" w:right="260"/>
        <w:spacing w:after="0" w:line="290" w:lineRule="auto"/>
        <w:rPr>
          <w:sz w:val="20"/>
          <w:szCs w:val="20"/>
          <w:color w:val="auto"/>
        </w:rPr>
      </w:pPr>
      <w:r>
        <w:rPr>
          <w:rFonts w:ascii="Arial" w:cs="Arial" w:eastAsia="Arial" w:hAnsi="Arial"/>
          <w:sz w:val="17"/>
          <w:szCs w:val="17"/>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151" w:name="page152"/>
    <w:bookmarkEnd w:id="151"/>
    <w:p>
      <w:pPr>
        <w:ind w:left="120" w:right="280"/>
        <w:spacing w:after="0" w:line="293"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Term.</w:t>
      </w:r>
    </w:p>
    <w:p>
      <w:pPr>
        <w:spacing w:after="0" w:line="265" w:lineRule="exact"/>
        <w:rPr>
          <w:sz w:val="20"/>
          <w:szCs w:val="20"/>
          <w:color w:val="auto"/>
        </w:rPr>
      </w:pPr>
    </w:p>
    <w:p>
      <w:pPr>
        <w:ind w:left="100" w:right="80" w:firstLine="1505"/>
        <w:spacing w:after="0" w:line="292" w:lineRule="auto"/>
        <w:tabs>
          <w:tab w:leader="none" w:pos="184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$400,000 per year. The Executive’s salary shall be subject to annual review not later than March 31st of each year for possible increase by the Board or the Compensation Committee of the Board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201" w:lineRule="exact"/>
        <w:rPr>
          <w:rFonts w:ascii="Arial" w:cs="Arial" w:eastAsia="Arial" w:hAnsi="Arial"/>
          <w:sz w:val="17"/>
          <w:szCs w:val="17"/>
          <w:color w:val="auto"/>
        </w:rPr>
      </w:pPr>
    </w:p>
    <w:p>
      <w:pPr>
        <w:ind w:left="100" w:right="80" w:firstLine="1505"/>
        <w:spacing w:after="0" w:line="287" w:lineRule="auto"/>
        <w:tabs>
          <w:tab w:leader="none" w:pos="185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u w:val="single" w:color="auto"/>
          <w:color w:val="auto"/>
        </w:rPr>
        <w:t>Annual Bonus</w:t>
      </w:r>
      <w:r>
        <w:rPr>
          <w:rFonts w:ascii="Arial" w:cs="Arial" w:eastAsia="Arial" w:hAnsi="Arial"/>
          <w:sz w:val="17"/>
          <w:szCs w:val="17"/>
          <w:color w:val="auto"/>
        </w:rPr>
        <w:t>”). The Executive’s target Annual Bonus will be forty percent (40%) of Executive’s Base Salary (the “</w:t>
      </w:r>
      <w:r>
        <w:rPr>
          <w:rFonts w:ascii="Arial" w:cs="Arial" w:eastAsia="Arial" w:hAnsi="Arial"/>
          <w:sz w:val="17"/>
          <w:szCs w:val="17"/>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15th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191" w:lineRule="exact"/>
        <w:rPr>
          <w:rFonts w:ascii="Arial" w:cs="Arial" w:eastAsia="Arial" w:hAnsi="Arial"/>
          <w:sz w:val="17"/>
          <w:szCs w:val="17"/>
          <w:color w:val="auto"/>
        </w:rPr>
      </w:pPr>
    </w:p>
    <w:p>
      <w:pPr>
        <w:ind w:left="100" w:right="120" w:firstLine="1505"/>
        <w:spacing w:after="0" w:line="275" w:lineRule="auto"/>
        <w:tabs>
          <w:tab w:leader="none" w:pos="184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212" w:lineRule="exact"/>
        <w:rPr>
          <w:rFonts w:ascii="Arial" w:cs="Arial" w:eastAsia="Arial" w:hAnsi="Arial"/>
          <w:sz w:val="18"/>
          <w:szCs w:val="18"/>
          <w:color w:val="auto"/>
        </w:rPr>
      </w:pPr>
    </w:p>
    <w:p>
      <w:pPr>
        <w:ind w:left="100" w:right="380" w:firstLine="1505"/>
        <w:spacing w:after="0" w:line="293" w:lineRule="auto"/>
        <w:tabs>
          <w:tab w:leader="none" w:pos="185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196" w:lineRule="exact"/>
        <w:rPr>
          <w:rFonts w:ascii="Arial" w:cs="Arial" w:eastAsia="Arial" w:hAnsi="Arial"/>
          <w:sz w:val="18"/>
          <w:szCs w:val="18"/>
          <w:color w:val="auto"/>
        </w:rPr>
      </w:pPr>
    </w:p>
    <w:p>
      <w:pPr>
        <w:ind w:left="100" w:right="60" w:firstLine="1505"/>
        <w:spacing w:after="0" w:line="293" w:lineRule="auto"/>
        <w:tabs>
          <w:tab w:leader="none" w:pos="184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196" w:lineRule="exact"/>
        <w:rPr>
          <w:rFonts w:ascii="Arial" w:cs="Arial" w:eastAsia="Arial" w:hAnsi="Arial"/>
          <w:sz w:val="18"/>
          <w:szCs w:val="18"/>
          <w:color w:val="auto"/>
        </w:rPr>
      </w:pPr>
    </w:p>
    <w:p>
      <w:pPr>
        <w:ind w:left="100" w:right="220" w:firstLine="1505"/>
        <w:spacing w:after="0" w:line="293" w:lineRule="auto"/>
        <w:tabs>
          <w:tab w:leader="none" w:pos="182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183" w:lineRule="exact"/>
        <w:rPr>
          <w:rFonts w:ascii="Arial" w:cs="Arial" w:eastAsia="Arial" w:hAnsi="Arial"/>
          <w:sz w:val="18"/>
          <w:szCs w:val="18"/>
          <w:color w:val="auto"/>
        </w:rPr>
      </w:pPr>
    </w:p>
    <w:p>
      <w:pPr>
        <w:ind w:left="100" w:right="60" w:firstLine="1505"/>
        <w:spacing w:after="0" w:line="292" w:lineRule="auto"/>
        <w:tabs>
          <w:tab w:leader="none" w:pos="185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Treatment of Equity Awards upon a Change in Control</w:t>
      </w:r>
      <w:r>
        <w:rPr>
          <w:rFonts w:ascii="Arial" w:cs="Arial" w:eastAsia="Arial" w:hAnsi="Arial"/>
          <w:sz w:val="17"/>
          <w:szCs w:val="17"/>
          <w:color w:val="auto"/>
        </w:rPr>
        <w:t>. The following provisions shall apply to any award granted under the Adagio Therapeutics, Inc. 2021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or any other plan, agreement or arrangement based on the value of a share of the Company’s common stock on or after the Effective Date (collectively, the “</w:t>
      </w:r>
      <w:r>
        <w:rPr>
          <w:rFonts w:ascii="Arial" w:cs="Arial" w:eastAsia="Arial" w:hAnsi="Arial"/>
          <w:sz w:val="17"/>
          <w:szCs w:val="17"/>
          <w:u w:val="single" w:color="auto"/>
          <w:color w:val="auto"/>
        </w:rPr>
        <w:t>Equity Awards</w:t>
      </w:r>
      <w:r>
        <w:rPr>
          <w:rFonts w:ascii="Arial" w:cs="Arial" w:eastAsia="Arial" w:hAnsi="Arial"/>
          <w:sz w:val="17"/>
          <w:szCs w:val="17"/>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187" w:lineRule="exact"/>
        <w:rPr>
          <w:rFonts w:ascii="Arial" w:cs="Arial" w:eastAsia="Arial" w:hAnsi="Arial"/>
          <w:sz w:val="17"/>
          <w:szCs w:val="17"/>
          <w:color w:val="auto"/>
        </w:rPr>
      </w:pPr>
    </w:p>
    <w:p>
      <w:pPr>
        <w:jc w:val="both"/>
        <w:ind w:left="1600" w:firstLine="754"/>
        <w:spacing w:after="0" w:line="275" w:lineRule="auto"/>
        <w:tabs>
          <w:tab w:leader="none" w:pos="25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611" w:right="519" w:bottom="1440" w:gutter="0" w:footer="0" w:header="0"/>
        </w:sectPr>
      </w:pPr>
    </w:p>
    <w:bookmarkStart w:id="152" w:name="page153"/>
    <w:bookmarkEnd w:id="152"/>
    <w:p>
      <w:pPr>
        <w:ind w:left="1600" w:right="80" w:firstLine="754"/>
        <w:spacing w:after="0" w:line="279" w:lineRule="auto"/>
        <w:tabs>
          <w:tab w:leader="none" w:pos="2614"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209" w:lineRule="exact"/>
        <w:rPr>
          <w:rFonts w:ascii="Arial" w:cs="Arial" w:eastAsia="Arial" w:hAnsi="Arial"/>
          <w:sz w:val="18"/>
          <w:szCs w:val="18"/>
          <w:color w:val="auto"/>
        </w:rPr>
      </w:pPr>
    </w:p>
    <w:p>
      <w:pPr>
        <w:ind w:left="100" w:right="560" w:firstLine="748"/>
        <w:spacing w:after="0" w:line="293" w:lineRule="auto"/>
        <w:tabs>
          <w:tab w:leader="none" w:pos="102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183" w:lineRule="exact"/>
        <w:rPr>
          <w:rFonts w:ascii="Arial" w:cs="Arial" w:eastAsia="Arial" w:hAnsi="Arial"/>
          <w:sz w:val="18"/>
          <w:szCs w:val="18"/>
          <w:color w:val="auto"/>
        </w:rPr>
      </w:pPr>
    </w:p>
    <w:p>
      <w:pPr>
        <w:ind w:left="1840" w:hanging="235"/>
        <w:spacing w:after="0"/>
        <w:tabs>
          <w:tab w:leader="none" w:pos="184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265" w:lineRule="exact"/>
        <w:rPr>
          <w:rFonts w:ascii="Arial" w:cs="Arial" w:eastAsia="Arial" w:hAnsi="Arial"/>
          <w:sz w:val="18"/>
          <w:szCs w:val="18"/>
          <w:color w:val="auto"/>
        </w:rPr>
      </w:pPr>
    </w:p>
    <w:p>
      <w:pPr>
        <w:ind w:left="100" w:right="100" w:firstLine="1505"/>
        <w:spacing w:after="0" w:line="305" w:lineRule="auto"/>
        <w:tabs>
          <w:tab w:leader="none" w:pos="1852"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et seq. and the Americans with Disabilities Act, 42 U.S.C. §12101 et seq.</w:t>
      </w:r>
    </w:p>
    <w:p>
      <w:pPr>
        <w:spacing w:after="0" w:line="195" w:lineRule="exact"/>
        <w:rPr>
          <w:rFonts w:ascii="Arial" w:cs="Arial" w:eastAsia="Arial" w:hAnsi="Arial"/>
          <w:sz w:val="16"/>
          <w:szCs w:val="16"/>
          <w:color w:val="auto"/>
        </w:rPr>
      </w:pPr>
    </w:p>
    <w:p>
      <w:pPr>
        <w:ind w:left="100" w:right="160" w:firstLine="1505"/>
        <w:spacing w:after="0" w:line="293" w:lineRule="auto"/>
        <w:tabs>
          <w:tab w:leader="none" w:pos="1842"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any of the following:</w:t>
      </w:r>
    </w:p>
    <w:p>
      <w:pPr>
        <w:spacing w:after="0" w:line="183" w:lineRule="exact"/>
        <w:rPr>
          <w:rFonts w:ascii="Arial" w:cs="Arial" w:eastAsia="Arial" w:hAnsi="Arial"/>
          <w:sz w:val="18"/>
          <w:szCs w:val="18"/>
          <w:color w:val="auto"/>
        </w:rPr>
      </w:pPr>
    </w:p>
    <w:p>
      <w:pPr>
        <w:ind w:left="1600" w:right="380" w:firstLine="754"/>
        <w:spacing w:after="0" w:line="303" w:lineRule="auto"/>
        <w:tabs>
          <w:tab w:leader="none" w:pos="2564" w:val="left"/>
        </w:tabs>
        <w:numPr>
          <w:ilvl w:val="2"/>
          <w:numId w:val="102"/>
        </w:numPr>
        <w:rPr>
          <w:rFonts w:ascii="Arial" w:cs="Arial" w:eastAsia="Arial" w:hAnsi="Arial"/>
          <w:sz w:val="17"/>
          <w:szCs w:val="17"/>
          <w:color w:val="auto"/>
        </w:rPr>
      </w:pPr>
      <w:r>
        <w:rPr>
          <w:rFonts w:ascii="Arial" w:cs="Arial" w:eastAsia="Arial" w:hAnsi="Arial"/>
          <w:sz w:val="17"/>
          <w:szCs w:val="17"/>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178" w:lineRule="exact"/>
        <w:rPr>
          <w:sz w:val="20"/>
          <w:szCs w:val="20"/>
          <w:color w:val="auto"/>
        </w:rPr>
      </w:pPr>
    </w:p>
    <w:p>
      <w:pPr>
        <w:ind w:left="1600" w:right="340" w:firstLine="754"/>
        <w:spacing w:after="0" w:line="279" w:lineRule="auto"/>
        <w:tabs>
          <w:tab w:leader="none" w:pos="261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196" w:lineRule="exact"/>
        <w:rPr>
          <w:rFonts w:ascii="Arial" w:cs="Arial" w:eastAsia="Arial" w:hAnsi="Arial"/>
          <w:sz w:val="18"/>
          <w:szCs w:val="18"/>
          <w:color w:val="auto"/>
        </w:rPr>
      </w:pPr>
    </w:p>
    <w:p>
      <w:pPr>
        <w:ind w:left="1600" w:firstLine="754"/>
        <w:spacing w:after="0" w:line="314" w:lineRule="auto"/>
        <w:tabs>
          <w:tab w:leader="none" w:pos="266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173" w:lineRule="exact"/>
        <w:rPr>
          <w:rFonts w:ascii="Arial" w:cs="Arial" w:eastAsia="Arial" w:hAnsi="Arial"/>
          <w:sz w:val="16"/>
          <w:szCs w:val="16"/>
          <w:color w:val="auto"/>
        </w:rPr>
      </w:pPr>
    </w:p>
    <w:p>
      <w:pPr>
        <w:ind w:left="1600" w:right="380" w:firstLine="754"/>
        <w:spacing w:after="0" w:line="293" w:lineRule="auto"/>
        <w:tabs>
          <w:tab w:leader="none" w:pos="265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183" w:lineRule="exact"/>
        <w:rPr>
          <w:rFonts w:ascii="Arial" w:cs="Arial" w:eastAsia="Arial" w:hAnsi="Arial"/>
          <w:sz w:val="18"/>
          <w:szCs w:val="18"/>
          <w:color w:val="auto"/>
        </w:rPr>
      </w:pPr>
    </w:p>
    <w:p>
      <w:pPr>
        <w:ind w:left="1600" w:right="360" w:firstLine="754"/>
        <w:spacing w:after="0" w:line="293" w:lineRule="auto"/>
        <w:tabs>
          <w:tab w:leader="none" w:pos="26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willful engaging by the Executive in any act that brings the Company into public disrepute or disgrace or causes material harm to the customer relations, operations or business prospects of the Company; or</w:t>
      </w:r>
    </w:p>
    <w:p>
      <w:pPr>
        <w:spacing w:after="0" w:line="183" w:lineRule="exact"/>
        <w:rPr>
          <w:rFonts w:ascii="Arial" w:cs="Arial" w:eastAsia="Arial" w:hAnsi="Arial"/>
          <w:sz w:val="18"/>
          <w:szCs w:val="18"/>
          <w:color w:val="auto"/>
        </w:rPr>
      </w:pPr>
    </w:p>
    <w:p>
      <w:pPr>
        <w:ind w:left="1600" w:right="160" w:firstLine="754"/>
        <w:spacing w:after="0" w:line="266" w:lineRule="auto"/>
        <w:tabs>
          <w:tab w:leader="none" w:pos="265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368" w:right="519" w:bottom="1440" w:gutter="0" w:footer="0" w:header="0"/>
        </w:sectPr>
      </w:pPr>
    </w:p>
    <w:bookmarkStart w:id="153" w:name="page154"/>
    <w:bookmarkEnd w:id="153"/>
    <w:p>
      <w:pPr>
        <w:ind w:left="1600" w:right="220"/>
        <w:spacing w:after="0" w:line="293" w:lineRule="auto"/>
        <w:rPr>
          <w:sz w:val="20"/>
          <w:szCs w:val="20"/>
          <w:color w:val="auto"/>
        </w:rPr>
      </w:pPr>
      <w:r>
        <w:rPr>
          <w:rFonts w:ascii="Arial" w:cs="Arial" w:eastAsia="Arial" w:hAnsi="Arial"/>
          <w:sz w:val="18"/>
          <w:szCs w:val="18"/>
          <w:color w:val="auto"/>
        </w:rPr>
        <w:t>to be relevant to such investigation or the inducement of others to fail to cooperate or to produce documents or other materials in connection with such investigation.</w:t>
      </w:r>
    </w:p>
    <w:p>
      <w:pPr>
        <w:spacing w:after="0" w:line="197" w:lineRule="exact"/>
        <w:rPr>
          <w:sz w:val="20"/>
          <w:szCs w:val="20"/>
          <w:color w:val="auto"/>
        </w:rPr>
      </w:pPr>
    </w:p>
    <w:p>
      <w:pPr>
        <w:ind w:left="120" w:right="820"/>
        <w:spacing w:after="0" w:line="359" w:lineRule="auto"/>
        <w:rPr>
          <w:sz w:val="20"/>
          <w:szCs w:val="20"/>
          <w:color w:val="auto"/>
        </w:rPr>
      </w:pPr>
      <w:r>
        <w:rPr>
          <w:rFonts w:ascii="Arial" w:cs="Arial" w:eastAsia="Arial" w:hAnsi="Arial"/>
          <w:sz w:val="16"/>
          <w:szCs w:val="16"/>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38" w:lineRule="exact"/>
        <w:rPr>
          <w:sz w:val="20"/>
          <w:szCs w:val="20"/>
          <w:color w:val="auto"/>
        </w:rPr>
      </w:pPr>
    </w:p>
    <w:p>
      <w:pPr>
        <w:ind w:left="120" w:right="460"/>
        <w:spacing w:after="0" w:line="275"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212"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76" w:lineRule="exact"/>
        <w:rPr>
          <w:sz w:val="20"/>
          <w:szCs w:val="20"/>
          <w:color w:val="auto"/>
        </w:rPr>
      </w:pPr>
    </w:p>
    <w:p>
      <w:pPr>
        <w:ind w:left="100" w:right="140" w:firstLine="1505"/>
        <w:spacing w:after="0" w:line="275" w:lineRule="auto"/>
        <w:tabs>
          <w:tab w:leader="none" w:pos="185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212" w:lineRule="exact"/>
        <w:rPr>
          <w:rFonts w:ascii="Arial" w:cs="Arial" w:eastAsia="Arial" w:hAnsi="Arial"/>
          <w:sz w:val="18"/>
          <w:szCs w:val="18"/>
          <w:color w:val="auto"/>
        </w:rPr>
      </w:pPr>
    </w:p>
    <w:p>
      <w:pPr>
        <w:ind w:left="100" w:right="220" w:firstLine="1505"/>
        <w:spacing w:after="0" w:line="275" w:lineRule="auto"/>
        <w:tabs>
          <w:tab w:leader="none" w:pos="184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600" w:right="540" w:firstLine="754"/>
        <w:spacing w:after="0" w:line="293" w:lineRule="auto"/>
        <w:tabs>
          <w:tab w:leader="none" w:pos="25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 or a material reduction in the authority, duties, or responsibilities of the CEO to whom the Executive is required to report;</w:t>
      </w:r>
    </w:p>
    <w:p>
      <w:pPr>
        <w:spacing w:after="0" w:line="196" w:lineRule="exact"/>
        <w:rPr>
          <w:rFonts w:ascii="Arial" w:cs="Arial" w:eastAsia="Arial" w:hAnsi="Arial"/>
          <w:sz w:val="18"/>
          <w:szCs w:val="18"/>
          <w:color w:val="auto"/>
        </w:rPr>
      </w:pPr>
    </w:p>
    <w:p>
      <w:pPr>
        <w:ind w:left="1600" w:right="60" w:firstLine="754"/>
        <w:spacing w:after="0" w:line="275" w:lineRule="auto"/>
        <w:tabs>
          <w:tab w:leader="none" w:pos="261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Change in Control following which either: (A) there is a material reduction in the budget over which the Executive retains authority or (B) the Executive is not Chief Technology and Manufacturing Officer of the Company or, if the Company becomes a subsidiary of one or more entities following the Change in Control, the post-consummation ultimate parent entity of the Company; or</w:t>
      </w:r>
    </w:p>
    <w:p>
      <w:pPr>
        <w:spacing w:after="0" w:line="212" w:lineRule="exact"/>
        <w:rPr>
          <w:rFonts w:ascii="Arial" w:cs="Arial" w:eastAsia="Arial" w:hAnsi="Arial"/>
          <w:sz w:val="18"/>
          <w:szCs w:val="18"/>
          <w:color w:val="auto"/>
        </w:rPr>
      </w:pPr>
    </w:p>
    <w:p>
      <w:pPr>
        <w:ind w:left="1600" w:right="40" w:firstLine="754"/>
        <w:spacing w:after="0" w:line="271" w:lineRule="auto"/>
        <w:tabs>
          <w:tab w:leader="none" w:pos="26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217" w:lineRule="exact"/>
        <w:rPr>
          <w:rFonts w:ascii="Arial" w:cs="Arial" w:eastAsia="Arial" w:hAnsi="Arial"/>
          <w:sz w:val="18"/>
          <w:szCs w:val="18"/>
          <w:color w:val="auto"/>
        </w:rPr>
      </w:pPr>
    </w:p>
    <w:p>
      <w:pPr>
        <w:ind w:left="1840" w:hanging="235"/>
        <w:spacing w:after="0"/>
        <w:tabs>
          <w:tab w:leader="none" w:pos="184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u w:val="single" w:color="auto"/>
          <w:color w:val="auto"/>
        </w:rPr>
        <w:t>Good Reason Process</w:t>
      </w:r>
      <w:r>
        <w:rPr>
          <w:rFonts w:ascii="Arial" w:cs="Arial" w:eastAsia="Arial" w:hAnsi="Arial"/>
          <w:sz w:val="18"/>
          <w:szCs w:val="18"/>
          <w:color w:val="auto"/>
        </w:rPr>
        <w:t>” consists of the following steps:</w:t>
      </w:r>
    </w:p>
    <w:p>
      <w:pPr>
        <w:spacing w:after="0" w:line="33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 the Executive reasonably determines in good faith that a Good Reason Condition has occurred;</w:t>
      </w: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68" w:right="479" w:bottom="1440" w:gutter="0" w:footer="0" w:header="0"/>
        </w:sectPr>
      </w:pPr>
    </w:p>
    <w:bookmarkStart w:id="154" w:name="page155"/>
    <w:bookmarkEnd w:id="154"/>
    <w:p>
      <w:pPr>
        <w:ind w:left="1000" w:right="700" w:firstLine="6"/>
        <w:spacing w:after="0" w:line="293" w:lineRule="auto"/>
        <w:tabs>
          <w:tab w:leader="none" w:pos="126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196" w:lineRule="exact"/>
        <w:rPr>
          <w:rFonts w:ascii="Arial" w:cs="Arial" w:eastAsia="Arial" w:hAnsi="Arial"/>
          <w:sz w:val="18"/>
          <w:szCs w:val="18"/>
          <w:color w:val="auto"/>
        </w:rPr>
      </w:pPr>
    </w:p>
    <w:p>
      <w:pPr>
        <w:ind w:left="1000" w:right="60" w:firstLine="6"/>
        <w:spacing w:after="0" w:line="293" w:lineRule="auto"/>
        <w:tabs>
          <w:tab w:leader="none" w:pos="131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183" w:lineRule="exact"/>
        <w:rPr>
          <w:rFonts w:ascii="Arial" w:cs="Arial" w:eastAsia="Arial" w:hAnsi="Arial"/>
          <w:sz w:val="18"/>
          <w:szCs w:val="18"/>
          <w:color w:val="auto"/>
        </w:rPr>
      </w:pPr>
    </w:p>
    <w:p>
      <w:pPr>
        <w:ind w:left="1320" w:hanging="31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265" w:lineRule="exact"/>
        <w:rPr>
          <w:rFonts w:ascii="Arial" w:cs="Arial" w:eastAsia="Arial" w:hAnsi="Arial"/>
          <w:sz w:val="18"/>
          <w:szCs w:val="18"/>
          <w:color w:val="auto"/>
        </w:rPr>
      </w:pPr>
    </w:p>
    <w:p>
      <w:pPr>
        <w:ind w:left="1260" w:hanging="254"/>
        <w:spacing w:after="0"/>
        <w:tabs>
          <w:tab w:leader="none" w:pos="12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52" w:lineRule="exact"/>
        <w:rPr>
          <w:sz w:val="20"/>
          <w:szCs w:val="20"/>
          <w:color w:val="auto"/>
        </w:rPr>
      </w:pPr>
    </w:p>
    <w:p>
      <w:pPr>
        <w:ind w:left="1020" w:hanging="172"/>
        <w:spacing w:after="0"/>
        <w:tabs>
          <w:tab w:leader="none" w:pos="10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0" w:right="80" w:firstLine="1505"/>
        <w:spacing w:after="0" w:line="275" w:lineRule="auto"/>
        <w:tabs>
          <w:tab w:leader="none" w:pos="1842"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shall mean a notice which shall indicate the specific termination provision in this Agreement relied upon.</w:t>
      </w:r>
    </w:p>
    <w:p>
      <w:pPr>
        <w:spacing w:after="0" w:line="212" w:lineRule="exact"/>
        <w:rPr>
          <w:rFonts w:ascii="Arial" w:cs="Arial" w:eastAsia="Arial" w:hAnsi="Arial"/>
          <w:sz w:val="18"/>
          <w:szCs w:val="18"/>
          <w:color w:val="auto"/>
        </w:rPr>
      </w:pPr>
    </w:p>
    <w:p>
      <w:pPr>
        <w:ind w:left="100" w:firstLine="1505"/>
        <w:spacing w:after="0" w:line="287" w:lineRule="auto"/>
        <w:tabs>
          <w:tab w:leader="none" w:pos="1852"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thirty (30) days after the date on which a Notice of Termination is given or a later date otherwise specified by the Company in the Notice of Termination; (iv) if the Executive’s employment is terminated by the Executive under Section 3(e) other than for Good Reason, thirty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204" w:lineRule="exact"/>
        <w:rPr>
          <w:rFonts w:ascii="Arial" w:cs="Arial" w:eastAsia="Arial" w:hAnsi="Arial"/>
          <w:sz w:val="17"/>
          <w:szCs w:val="17"/>
          <w:color w:val="auto"/>
        </w:rPr>
      </w:pPr>
    </w:p>
    <w:p>
      <w:pPr>
        <w:ind w:left="100" w:right="120" w:firstLine="1505"/>
        <w:spacing w:after="0" w:line="287" w:lineRule="auto"/>
        <w:tabs>
          <w:tab w:leader="none" w:pos="1842"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Accrued Obligations</w:t>
      </w:r>
      <w:r>
        <w:rPr>
          <w:rFonts w:ascii="Arial" w:cs="Arial" w:eastAsia="Arial" w:hAnsi="Arial"/>
          <w:sz w:val="17"/>
          <w:szCs w:val="17"/>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7"/>
          <w:szCs w:val="17"/>
          <w:u w:val="single" w:color="auto"/>
          <w:color w:val="auto"/>
        </w:rPr>
        <w:t>Accrued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Obligations</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jc w:val="both"/>
        <w:ind w:left="100" w:right="120" w:firstLine="1505"/>
        <w:spacing w:after="0" w:line="275" w:lineRule="auto"/>
        <w:tabs>
          <w:tab w:leader="none" w:pos="1852"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98" w:lineRule="exact"/>
        <w:rPr>
          <w:rFonts w:ascii="Arial" w:cs="Arial" w:eastAsia="Arial" w:hAnsi="Arial"/>
          <w:sz w:val="18"/>
          <w:szCs w:val="18"/>
          <w:color w:val="auto"/>
        </w:rPr>
      </w:pPr>
    </w:p>
    <w:p>
      <w:pPr>
        <w:jc w:val="both"/>
        <w:ind w:left="100" w:right="180" w:firstLine="748"/>
        <w:spacing w:after="0" w:line="266" w:lineRule="auto"/>
        <w:tabs>
          <w:tab w:leader="none" w:pos="102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Severance Pay and Benefits Upon Termination by the Company without Cause or by the Executive for Good Reason</w:t>
      </w:r>
      <w:r>
        <w:rPr>
          <w:rFonts w:ascii="Arial" w:cs="Arial" w:eastAsia="Arial" w:hAnsi="Arial"/>
          <w:sz w:val="18"/>
          <w:szCs w:val="18"/>
          <w:color w:val="auto"/>
        </w:rPr>
        <w:t>. If the Executive’s employment is terminated by the Company without Cause as provided in Section 3(d), or the Executive terminates employment for Good Reason as provided in Section 3(e), then, in addition to the</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368" w:right="579" w:bottom="1440" w:gutter="0" w:footer="0" w:header="0"/>
        </w:sectPr>
      </w:pPr>
    </w:p>
    <w:bookmarkStart w:id="155" w:name="page156"/>
    <w:bookmarkEnd w:id="155"/>
    <w:p>
      <w:pPr>
        <w:ind w:left="100"/>
        <w:spacing w:after="0" w:line="275" w:lineRule="auto"/>
        <w:rPr>
          <w:sz w:val="20"/>
          <w:szCs w:val="20"/>
          <w:color w:val="auto"/>
        </w:rPr>
      </w:pPr>
      <w:r>
        <w:rPr>
          <w:rFonts w:ascii="Arial" w:cs="Arial" w:eastAsia="Arial" w:hAnsi="Arial"/>
          <w:sz w:val="18"/>
          <w:szCs w:val="18"/>
          <w:color w:val="auto"/>
        </w:rPr>
        <w:t xml:space="preserve">Accrued Obligations, and subject to (i) the Executive signing a separation agreement and release in a form substantially the same as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212" w:lineRule="exact"/>
        <w:rPr>
          <w:sz w:val="20"/>
          <w:szCs w:val="20"/>
          <w:color w:val="auto"/>
        </w:rPr>
      </w:pPr>
    </w:p>
    <w:p>
      <w:pPr>
        <w:ind w:left="100" w:right="200" w:firstLine="1505"/>
        <w:spacing w:after="0" w:line="292" w:lineRule="auto"/>
        <w:tabs>
          <w:tab w:leader="none" w:pos="1842" w:val="left"/>
        </w:tabs>
        <w:numPr>
          <w:ilvl w:val="2"/>
          <w:numId w:val="107"/>
        </w:numPr>
        <w:rPr>
          <w:rFonts w:ascii="Arial" w:cs="Arial" w:eastAsia="Arial" w:hAnsi="Arial"/>
          <w:sz w:val="17"/>
          <w:szCs w:val="17"/>
          <w:color w:val="auto"/>
        </w:rPr>
      </w:pPr>
      <w:r>
        <w:rPr>
          <w:rFonts w:ascii="Arial" w:cs="Arial" w:eastAsia="Arial" w:hAnsi="Arial"/>
          <w:sz w:val="17"/>
          <w:szCs w:val="17"/>
          <w:u w:val="single" w:color="auto"/>
          <w:color w:val="auto"/>
        </w:rPr>
        <w:t>Cash Severance</w:t>
      </w:r>
      <w:r>
        <w:rPr>
          <w:rFonts w:ascii="Arial" w:cs="Arial" w:eastAsia="Arial" w:hAnsi="Arial"/>
          <w:sz w:val="17"/>
          <w:szCs w:val="17"/>
          <w:color w:val="auto"/>
        </w:rPr>
        <w:t>. The Company shall pay the Executive an amount equal to nine (9) months’ of the Executive’s Base Salary (the “</w:t>
      </w:r>
      <w:r>
        <w:rPr>
          <w:rFonts w:ascii="Arial" w:cs="Arial" w:eastAsia="Arial" w:hAnsi="Arial"/>
          <w:sz w:val="17"/>
          <w:szCs w:val="17"/>
          <w:u w:val="single" w:color="auto"/>
          <w:color w:val="auto"/>
        </w:rPr>
        <w:t>Severance Amount</w:t>
      </w:r>
      <w:r>
        <w:rPr>
          <w:rFonts w:ascii="Arial" w:cs="Arial" w:eastAsia="Arial" w:hAnsi="Arial"/>
          <w:sz w:val="17"/>
          <w:szCs w:val="17"/>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w:t>
      </w:r>
      <w:r>
        <w:rPr>
          <w:rFonts w:ascii="Arial" w:cs="Arial" w:eastAsia="Arial" w:hAnsi="Arial"/>
          <w:sz w:val="17"/>
          <w:szCs w:val="17"/>
          <w:u w:val="single" w:color="auto"/>
          <w:color w:val="auto"/>
        </w:rPr>
        <w:t>Earned Bonus</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ind w:left="100" w:right="120" w:firstLine="1505"/>
        <w:spacing w:after="0" w:line="299" w:lineRule="auto"/>
        <w:tabs>
          <w:tab w:leader="none" w:pos="1852" w:val="left"/>
        </w:tabs>
        <w:numPr>
          <w:ilvl w:val="2"/>
          <w:numId w:val="107"/>
        </w:numPr>
        <w:rPr>
          <w:rFonts w:ascii="Arial" w:cs="Arial" w:eastAsia="Arial" w:hAnsi="Arial"/>
          <w:sz w:val="16"/>
          <w:szCs w:val="16"/>
          <w:color w:val="auto"/>
        </w:rPr>
      </w:pPr>
      <w:r>
        <w:rPr>
          <w:rFonts w:ascii="Arial" w:cs="Arial" w:eastAsia="Arial" w:hAnsi="Arial"/>
          <w:sz w:val="16"/>
          <w:szCs w:val="16"/>
          <w:u w:val="single" w:color="auto"/>
          <w:color w:val="auto"/>
        </w:rPr>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100" w:right="80" w:firstLine="8"/>
        <w:spacing w:after="0" w:line="290" w:lineRule="auto"/>
        <w:tabs>
          <w:tab w:leader="none" w:pos="39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8" w:lineRule="exact"/>
        <w:rPr>
          <w:rFonts w:ascii="Arial" w:cs="Arial" w:eastAsia="Arial" w:hAnsi="Arial"/>
          <w:sz w:val="17"/>
          <w:szCs w:val="17"/>
          <w:color w:val="auto"/>
        </w:rPr>
      </w:pPr>
    </w:p>
    <w:p>
      <w:pPr>
        <w:ind w:left="100" w:right="80" w:firstLine="1505"/>
        <w:spacing w:after="0" w:line="305" w:lineRule="auto"/>
        <w:tabs>
          <w:tab w:leader="none" w:pos="1842" w:val="left"/>
        </w:tabs>
        <w:numPr>
          <w:ilvl w:val="2"/>
          <w:numId w:val="108"/>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Plan or the applicable the award agreement.</w:t>
      </w:r>
    </w:p>
    <w:p>
      <w:pPr>
        <w:spacing w:after="0" w:line="182" w:lineRule="exact"/>
        <w:rPr>
          <w:rFonts w:ascii="Arial" w:cs="Arial" w:eastAsia="Arial" w:hAnsi="Arial"/>
          <w:sz w:val="16"/>
          <w:szCs w:val="16"/>
          <w:color w:val="auto"/>
        </w:rPr>
      </w:pPr>
    </w:p>
    <w:p>
      <w:pPr>
        <w:ind w:left="100" w:right="80" w:firstLine="1505"/>
        <w:spacing w:after="0" w:line="309" w:lineRule="auto"/>
        <w:tabs>
          <w:tab w:leader="none" w:pos="1852" w:val="left"/>
        </w:tabs>
        <w:numPr>
          <w:ilvl w:val="2"/>
          <w:numId w:val="108"/>
        </w:numPr>
        <w:rPr>
          <w:rFonts w:ascii="Arial" w:cs="Arial" w:eastAsia="Arial" w:hAnsi="Arial"/>
          <w:sz w:val="16"/>
          <w:szCs w:val="16"/>
          <w:color w:val="auto"/>
        </w:rPr>
      </w:pPr>
      <w:r>
        <w:rPr>
          <w:rFonts w:ascii="Arial" w:cs="Arial" w:eastAsia="Arial" w:hAnsi="Arial"/>
          <w:sz w:val="16"/>
          <w:szCs w:val="16"/>
          <w:u w:val="single" w:color="auto"/>
          <w:color w:val="auto"/>
        </w:rPr>
        <w:t>Severance Payment Timing</w:t>
      </w:r>
      <w:r>
        <w:rPr>
          <w:rFonts w:ascii="Arial" w:cs="Arial" w:eastAsia="Arial" w:hAnsi="Arial"/>
          <w:sz w:val="16"/>
          <w:szCs w:val="16"/>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77" w:lineRule="exact"/>
        <w:rPr>
          <w:rFonts w:ascii="Arial" w:cs="Arial" w:eastAsia="Arial" w:hAnsi="Arial"/>
          <w:sz w:val="16"/>
          <w:szCs w:val="16"/>
          <w:color w:val="auto"/>
        </w:rPr>
      </w:pPr>
    </w:p>
    <w:p>
      <w:pPr>
        <w:ind w:left="100" w:right="60" w:firstLine="748"/>
        <w:spacing w:after="0" w:line="266" w:lineRule="auto"/>
        <w:tabs>
          <w:tab w:leader="none" w:pos="1021"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Severance Pay and Benefits Upon Termination by the Company without Cause or by the Executive for Good Reason within the Change in Control Period</w:t>
      </w:r>
      <w:r>
        <w:rPr>
          <w:rFonts w:ascii="Arial" w:cs="Arial" w:eastAsia="Arial" w:hAnsi="Arial"/>
          <w:sz w:val="18"/>
          <w:szCs w:val="18"/>
          <w:color w:val="auto"/>
        </w:rPr>
        <w:t>. The provisions of this Section 6 shall apply in lieu of, and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368" w:right="519" w:bottom="1440" w:gutter="0" w:footer="0" w:header="0"/>
        </w:sectPr>
      </w:pPr>
    </w:p>
    <w:bookmarkStart w:id="156" w:name="page157"/>
    <w:bookmarkEnd w:id="156"/>
    <w:p>
      <w:pPr>
        <w:ind w:left="100"/>
        <w:spacing w:after="0" w:line="269" w:lineRule="auto"/>
        <w:rPr>
          <w:sz w:val="20"/>
          <w:szCs w:val="20"/>
          <w:color w:val="auto"/>
        </w:rPr>
      </w:pPr>
      <w:r>
        <w:rPr>
          <w:rFonts w:ascii="Arial" w:cs="Arial" w:eastAsia="Arial" w:hAnsi="Arial"/>
          <w:sz w:val="18"/>
          <w:szCs w:val="18"/>
          <w:color w:val="auto"/>
        </w:rPr>
        <w:t>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shall begin on the earlier of (a) 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221" w:lineRule="exact"/>
        <w:rPr>
          <w:sz w:val="20"/>
          <w:szCs w:val="20"/>
          <w:color w:val="auto"/>
        </w:rPr>
      </w:pPr>
    </w:p>
    <w:p>
      <w:pPr>
        <w:ind w:left="120" w:right="120"/>
        <w:spacing w:after="0" w:line="319"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169" w:lineRule="exact"/>
        <w:rPr>
          <w:sz w:val="20"/>
          <w:szCs w:val="20"/>
          <w:color w:val="auto"/>
        </w:rPr>
      </w:pPr>
    </w:p>
    <w:p>
      <w:pPr>
        <w:jc w:val="both"/>
        <w:ind w:left="100" w:right="220" w:firstLine="1505"/>
        <w:spacing w:after="0" w:line="275" w:lineRule="auto"/>
        <w:tabs>
          <w:tab w:leader="none" w:pos="184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u w:val="single" w:color="auto"/>
          <w:color w:val="auto"/>
        </w:rPr>
        <w:t>Change in Control Payment</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100" w:right="100" w:firstLine="1505"/>
        <w:spacing w:after="0" w:line="269" w:lineRule="auto"/>
        <w:tabs>
          <w:tab w:leader="none" w:pos="185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COBRA Premiums</w:t>
      </w:r>
      <w:r>
        <w:rPr>
          <w:rFonts w:ascii="Arial" w:cs="Arial" w:eastAsia="Arial" w:hAnsi="Arial"/>
          <w:sz w:val="18"/>
          <w:szCs w:val="18"/>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218" w:lineRule="exact"/>
        <w:rPr>
          <w:rFonts w:ascii="Arial" w:cs="Arial" w:eastAsia="Arial" w:hAnsi="Arial"/>
          <w:sz w:val="18"/>
          <w:szCs w:val="18"/>
          <w:color w:val="auto"/>
        </w:rPr>
      </w:pPr>
    </w:p>
    <w:p>
      <w:pPr>
        <w:ind w:left="100" w:right="140" w:firstLine="1505"/>
        <w:spacing w:after="0" w:line="287" w:lineRule="auto"/>
        <w:tabs>
          <w:tab w:leader="none" w:pos="1842"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u w:val="single" w:color="auto"/>
          <w:color w:val="auto"/>
        </w:rPr>
        <w:t>Accelerated Vesting Date</w:t>
      </w:r>
      <w:r>
        <w:rPr>
          <w:rFonts w:ascii="Arial" w:cs="Arial" w:eastAsia="Arial" w:hAnsi="Arial"/>
          <w:sz w:val="17"/>
          <w:szCs w:val="17"/>
          <w:color w:val="auto"/>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204" w:lineRule="exact"/>
        <w:rPr>
          <w:rFonts w:ascii="Arial" w:cs="Arial" w:eastAsia="Arial" w:hAnsi="Arial"/>
          <w:sz w:val="17"/>
          <w:szCs w:val="17"/>
          <w:color w:val="auto"/>
        </w:rPr>
      </w:pPr>
    </w:p>
    <w:p>
      <w:pPr>
        <w:ind w:left="100" w:right="480" w:firstLine="1505"/>
        <w:spacing w:after="0" w:line="266" w:lineRule="auto"/>
        <w:tabs>
          <w:tab w:leader="none" w:pos="185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Change in Control Payment Timing</w:t>
      </w:r>
      <w:r>
        <w:rPr>
          <w:rFonts w:ascii="Arial" w:cs="Arial" w:eastAsia="Arial" w:hAnsi="Arial"/>
          <w:sz w:val="18"/>
          <w:szCs w:val="18"/>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68" w:right="479" w:bottom="1440" w:gutter="0" w:footer="0" w:header="0"/>
        </w:sectPr>
      </w:pPr>
    </w:p>
    <w:bookmarkStart w:id="157" w:name="page158"/>
    <w:bookmarkEnd w:id="157"/>
    <w:p>
      <w:pPr>
        <w:ind w:left="100"/>
        <w:spacing w:after="0"/>
        <w:rPr>
          <w:sz w:val="20"/>
          <w:szCs w:val="20"/>
          <w:color w:val="auto"/>
        </w:rPr>
      </w:pPr>
      <w:r>
        <w:rPr>
          <w:rFonts w:ascii="Arial" w:cs="Arial" w:eastAsia="Arial" w:hAnsi="Arial"/>
          <w:sz w:val="17"/>
          <w:szCs w:val="17"/>
          <w:color w:val="auto"/>
        </w:rPr>
        <w:t>meaning of Section 409A of the Code, shall be paid or commence to be paid in the second calendar year by the last day of such 60-day period.</w:t>
      </w:r>
    </w:p>
    <w:p>
      <w:pPr>
        <w:spacing w:after="0" w:line="277" w:lineRule="exact"/>
        <w:rPr>
          <w:sz w:val="20"/>
          <w:szCs w:val="20"/>
          <w:color w:val="auto"/>
        </w:rPr>
      </w:pPr>
    </w:p>
    <w:p>
      <w:pPr>
        <w:ind w:left="1020" w:hanging="172"/>
        <w:spacing w:after="0"/>
        <w:tabs>
          <w:tab w:leader="none" w:pos="10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 w:right="80" w:firstLine="1505"/>
        <w:spacing w:after="0" w:line="285" w:lineRule="auto"/>
        <w:tabs>
          <w:tab w:leader="none" w:pos="184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7"/>
          <w:szCs w:val="17"/>
          <w:u w:val="single" w:color="auto"/>
          <w:color w:val="auto"/>
        </w:rPr>
        <w:t>Aggregate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Payments</w:t>
      </w:r>
      <w:r>
        <w:rPr>
          <w:rFonts w:ascii="Arial" w:cs="Arial" w:eastAsia="Arial" w:hAnsi="Arial"/>
          <w:sz w:val="17"/>
          <w:szCs w:val="17"/>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208" w:lineRule="exact"/>
        <w:rPr>
          <w:rFonts w:ascii="Arial" w:cs="Arial" w:eastAsia="Arial" w:hAnsi="Arial"/>
          <w:sz w:val="17"/>
          <w:szCs w:val="17"/>
          <w:color w:val="auto"/>
        </w:rPr>
      </w:pPr>
    </w:p>
    <w:p>
      <w:pPr>
        <w:ind w:left="100" w:right="160" w:firstLine="1505"/>
        <w:spacing w:after="0" w:line="271" w:lineRule="auto"/>
        <w:tabs>
          <w:tab w:leader="none" w:pos="185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For purposes of this Section 7, the “</w:t>
      </w:r>
      <w:r>
        <w:rPr>
          <w:rFonts w:ascii="Arial" w:cs="Arial" w:eastAsia="Arial" w:hAnsi="Arial"/>
          <w:sz w:val="18"/>
          <w:szCs w:val="18"/>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204" w:lineRule="exact"/>
        <w:rPr>
          <w:rFonts w:ascii="Arial" w:cs="Arial" w:eastAsia="Arial" w:hAnsi="Arial"/>
          <w:sz w:val="18"/>
          <w:szCs w:val="18"/>
          <w:color w:val="auto"/>
        </w:rPr>
      </w:pPr>
    </w:p>
    <w:p>
      <w:pPr>
        <w:ind w:left="100" w:firstLine="1505"/>
        <w:spacing w:after="0" w:line="285" w:lineRule="auto"/>
        <w:tabs>
          <w:tab w:leader="none" w:pos="1842" w:val="left"/>
        </w:tabs>
        <w:numPr>
          <w:ilvl w:val="1"/>
          <w:numId w:val="110"/>
        </w:numPr>
        <w:rPr>
          <w:rFonts w:ascii="Arial" w:cs="Arial" w:eastAsia="Arial" w:hAnsi="Arial"/>
          <w:sz w:val="17"/>
          <w:szCs w:val="17"/>
          <w:color w:val="auto"/>
        </w:rPr>
      </w:pPr>
      <w:r>
        <w:rPr>
          <w:rFonts w:ascii="Arial" w:cs="Arial" w:eastAsia="Arial" w:hAnsi="Arial"/>
          <w:sz w:val="17"/>
          <w:szCs w:val="17"/>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(“Independent Advisors”)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208" w:lineRule="exact"/>
        <w:rPr>
          <w:rFonts w:ascii="Arial" w:cs="Arial" w:eastAsia="Arial" w:hAnsi="Arial"/>
          <w:sz w:val="17"/>
          <w:szCs w:val="17"/>
          <w:color w:val="auto"/>
        </w:rPr>
      </w:pPr>
    </w:p>
    <w:p>
      <w:pPr>
        <w:ind w:left="1020" w:hanging="172"/>
        <w:spacing w:after="0"/>
        <w:tabs>
          <w:tab w:leader="none" w:pos="10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0" w:right="140" w:firstLine="1505"/>
        <w:spacing w:after="0" w:line="266" w:lineRule="auto"/>
        <w:tabs>
          <w:tab w:leader="none" w:pos="184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8</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368" w:right="599" w:bottom="1440" w:gutter="0" w:footer="0" w:header="0"/>
        </w:sectPr>
      </w:pPr>
    </w:p>
    <w:bookmarkStart w:id="158" w:name="page159"/>
    <w:bookmarkEnd w:id="158"/>
    <w:p>
      <w:pPr>
        <w:ind w:left="100" w:right="20"/>
        <w:spacing w:after="0" w:line="319" w:lineRule="auto"/>
        <w:rPr>
          <w:sz w:val="20"/>
          <w:szCs w:val="20"/>
          <w:color w:val="auto"/>
        </w:rPr>
      </w:pPr>
      <w:r>
        <w:rPr>
          <w:rFonts w:ascii="Arial" w:cs="Arial" w:eastAsia="Arial" w:hAnsi="Arial"/>
          <w:sz w:val="16"/>
          <w:szCs w:val="16"/>
          <w:color w:val="auto"/>
        </w:rPr>
        <w:t>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83" w:lineRule="exact"/>
        <w:rPr>
          <w:sz w:val="20"/>
          <w:szCs w:val="20"/>
          <w:color w:val="auto"/>
        </w:rPr>
      </w:pPr>
    </w:p>
    <w:p>
      <w:pPr>
        <w:ind w:left="100" w:right="100" w:firstLine="1505"/>
        <w:spacing w:after="0" w:line="311" w:lineRule="auto"/>
        <w:tabs>
          <w:tab w:leader="none" w:pos="1852"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9" w:lineRule="exact"/>
        <w:rPr>
          <w:rFonts w:ascii="Arial" w:cs="Arial" w:eastAsia="Arial" w:hAnsi="Arial"/>
          <w:sz w:val="16"/>
          <w:szCs w:val="16"/>
          <w:color w:val="auto"/>
        </w:rPr>
      </w:pPr>
    </w:p>
    <w:p>
      <w:pPr>
        <w:ind w:left="100" w:right="60" w:firstLine="1505"/>
        <w:spacing w:after="0" w:line="296" w:lineRule="auto"/>
        <w:tabs>
          <w:tab w:leader="none" w:pos="184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83" w:lineRule="exact"/>
        <w:rPr>
          <w:rFonts w:ascii="Arial" w:cs="Arial" w:eastAsia="Arial" w:hAnsi="Arial"/>
          <w:sz w:val="17"/>
          <w:szCs w:val="17"/>
          <w:color w:val="auto"/>
        </w:rPr>
      </w:pPr>
    </w:p>
    <w:p>
      <w:pPr>
        <w:ind w:left="100" w:firstLine="1505"/>
        <w:spacing w:after="0" w:line="287" w:lineRule="auto"/>
        <w:tabs>
          <w:tab w:leader="none" w:pos="1852"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95" w:lineRule="exact"/>
        <w:rPr>
          <w:rFonts w:ascii="Arial" w:cs="Arial" w:eastAsia="Arial" w:hAnsi="Arial"/>
          <w:sz w:val="17"/>
          <w:szCs w:val="17"/>
          <w:color w:val="auto"/>
        </w:rPr>
      </w:pPr>
    </w:p>
    <w:p>
      <w:pPr>
        <w:ind w:left="100" w:right="80" w:firstLine="1505"/>
        <w:spacing w:after="0" w:line="279" w:lineRule="auto"/>
        <w:tabs>
          <w:tab w:leader="none" w:pos="184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96" w:lineRule="exact"/>
        <w:rPr>
          <w:rFonts w:ascii="Arial" w:cs="Arial" w:eastAsia="Arial" w:hAnsi="Arial"/>
          <w:sz w:val="18"/>
          <w:szCs w:val="18"/>
          <w:color w:val="auto"/>
        </w:rPr>
      </w:pPr>
    </w:p>
    <w:p>
      <w:pPr>
        <w:ind w:left="1020" w:hanging="172"/>
        <w:spacing w:after="0"/>
        <w:tabs>
          <w:tab w:leader="none" w:pos="10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00" w:right="20" w:firstLine="1505"/>
        <w:spacing w:after="0" w:line="275" w:lineRule="auto"/>
        <w:tabs>
          <w:tab w:leader="none" w:pos="184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Restrictive Covenants Agreement. By signing this Agreement, the Executive reaffirms that the terms of the Employee Proprietary Information and Inventions Assignment Agreement, dated May 10, 2021, between the Company and the Executive (the “Restrictive Covenants Agreement”) continues to be in full force and effect, except for Section 9.6, which is hereby superseded in its entirety and replaced with the following paragraph:</w:t>
      </w:r>
    </w:p>
    <w:p>
      <w:pPr>
        <w:spacing w:after="0" w:line="199" w:lineRule="exact"/>
        <w:rPr>
          <w:sz w:val="20"/>
          <w:szCs w:val="20"/>
          <w:color w:val="auto"/>
        </w:rPr>
      </w:pPr>
    </w:p>
    <w:p>
      <w:pPr>
        <w:ind w:left="860" w:right="760"/>
        <w:spacing w:after="0" w:line="271" w:lineRule="auto"/>
        <w:rPr>
          <w:sz w:val="20"/>
          <w:szCs w:val="20"/>
          <w:color w:val="auto"/>
        </w:rPr>
      </w:pPr>
      <w:r>
        <w:rPr>
          <w:rFonts w:ascii="Arial" w:cs="Arial" w:eastAsia="Arial" w:hAnsi="Arial"/>
          <w:sz w:val="18"/>
          <w:szCs w:val="18"/>
          <w:color w:val="auto"/>
        </w:rPr>
        <w:t>The rights and obligations of the parties under this Agreement shall be governed in all respects by the laws of the State of Delaware exclusively, without reference to any conflict of laws rule that would result in the application of the laws of any other jurisdiction. The parties agree that all disputes arising under this Agreement shall be adjudicated in the state and federal courts in Pennsylvania, and I hereby agree to consent to the personal jurisdiction of such court. The Company and I each hereby irrevocably waive any right to a trial by jury in any action, suit or other legal proceeding arising under or relating to any provision of this Agreement.</w:t>
      </w:r>
    </w:p>
    <w:p>
      <w:pPr>
        <w:spacing w:after="0" w:line="19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368" w:right="579" w:bottom="1440" w:gutter="0" w:footer="0" w:header="0"/>
        </w:sectPr>
      </w:pPr>
    </w:p>
    <w:bookmarkStart w:id="159" w:name="page160"/>
    <w:bookmarkEnd w:id="159"/>
    <w:p>
      <w:pPr>
        <w:ind w:left="100" w:right="120" w:firstLine="1505"/>
        <w:spacing w:after="0" w:line="269" w:lineRule="auto"/>
        <w:tabs>
          <w:tab w:leader="none" w:pos="185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Third-Party Agreements and Rights.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223" w:lineRule="exact"/>
        <w:rPr>
          <w:rFonts w:ascii="Arial" w:cs="Arial" w:eastAsia="Arial" w:hAnsi="Arial"/>
          <w:sz w:val="18"/>
          <w:szCs w:val="18"/>
          <w:color w:val="auto"/>
        </w:rPr>
      </w:pPr>
    </w:p>
    <w:p>
      <w:pPr>
        <w:ind w:left="100" w:right="100" w:firstLine="1505"/>
        <w:spacing w:after="0" w:line="286" w:lineRule="auto"/>
        <w:tabs>
          <w:tab w:leader="none" w:pos="1842" w:val="left"/>
        </w:tabs>
        <w:numPr>
          <w:ilvl w:val="2"/>
          <w:numId w:val="113"/>
        </w:numPr>
        <w:rPr>
          <w:rFonts w:ascii="Arial" w:cs="Arial" w:eastAsia="Arial" w:hAnsi="Arial"/>
          <w:sz w:val="17"/>
          <w:szCs w:val="17"/>
          <w:color w:val="auto"/>
        </w:rPr>
      </w:pPr>
      <w:r>
        <w:rPr>
          <w:rFonts w:ascii="Arial" w:cs="Arial" w:eastAsia="Arial" w:hAnsi="Arial"/>
          <w:sz w:val="17"/>
          <w:szCs w:val="17"/>
          <w:color w:val="auto"/>
        </w:rPr>
        <w:t>Litigation and Regulatory Cooperation.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205" w:lineRule="exact"/>
        <w:rPr>
          <w:rFonts w:ascii="Arial" w:cs="Arial" w:eastAsia="Arial" w:hAnsi="Arial"/>
          <w:sz w:val="17"/>
          <w:szCs w:val="17"/>
          <w:color w:val="auto"/>
        </w:rPr>
      </w:pPr>
    </w:p>
    <w:p>
      <w:pPr>
        <w:ind w:left="100" w:right="100" w:firstLine="1505"/>
        <w:spacing w:after="0" w:line="272" w:lineRule="auto"/>
        <w:tabs>
          <w:tab w:leader="none" w:pos="185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Relief. The Executive agrees that it would be difficult to measure any damages caused to the Company which might result from any breach by the Executive of the Continuing Obligations, and that in any event monetary damages would be an inadequate remedy for any such breach. Accordingly,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204" w:lineRule="exact"/>
        <w:rPr>
          <w:rFonts w:ascii="Arial" w:cs="Arial" w:eastAsia="Arial" w:hAnsi="Arial"/>
          <w:sz w:val="18"/>
          <w:szCs w:val="18"/>
          <w:color w:val="auto"/>
        </w:rPr>
      </w:pPr>
    </w:p>
    <w:p>
      <w:pPr>
        <w:ind w:left="100" w:right="220" w:firstLine="748"/>
        <w:spacing w:after="0" w:line="275" w:lineRule="auto"/>
        <w:tabs>
          <w:tab w:leader="none" w:pos="111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parties hereby consent to the jurisdiction of the state and federal courts of the Commonwealth of Pennsylvania.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98" w:lineRule="exact"/>
        <w:rPr>
          <w:rFonts w:ascii="Arial" w:cs="Arial" w:eastAsia="Arial" w:hAnsi="Arial"/>
          <w:sz w:val="18"/>
          <w:szCs w:val="18"/>
          <w:color w:val="auto"/>
        </w:rPr>
      </w:pPr>
    </w:p>
    <w:p>
      <w:pPr>
        <w:ind w:left="100" w:right="120" w:firstLine="748"/>
        <w:spacing w:after="0" w:line="279" w:lineRule="auto"/>
        <w:tabs>
          <w:tab w:leader="none" w:pos="1104"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and the agreements governing any Equity Awards remain in full force and effect.</w:t>
      </w:r>
    </w:p>
    <w:p>
      <w:pPr>
        <w:spacing w:after="0" w:line="196" w:lineRule="exact"/>
        <w:rPr>
          <w:rFonts w:ascii="Arial" w:cs="Arial" w:eastAsia="Arial" w:hAnsi="Arial"/>
          <w:sz w:val="18"/>
          <w:szCs w:val="18"/>
          <w:color w:val="auto"/>
        </w:rPr>
      </w:pPr>
    </w:p>
    <w:p>
      <w:pPr>
        <w:ind w:left="100" w:firstLine="748"/>
        <w:spacing w:after="0" w:line="275" w:lineRule="auto"/>
        <w:tabs>
          <w:tab w:leader="none" w:pos="111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212" w:lineRule="exact"/>
        <w:rPr>
          <w:rFonts w:ascii="Arial" w:cs="Arial" w:eastAsia="Arial" w:hAnsi="Arial"/>
          <w:sz w:val="18"/>
          <w:szCs w:val="18"/>
          <w:color w:val="auto"/>
        </w:rPr>
      </w:pPr>
    </w:p>
    <w:p>
      <w:pPr>
        <w:ind w:left="100" w:right="20" w:firstLine="748"/>
        <w:spacing w:after="0" w:line="299" w:lineRule="auto"/>
        <w:tabs>
          <w:tab w:leader="none" w:pos="111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spacing w:after="0" w:line="1" w:lineRule="exact"/>
        <w:rPr>
          <w:rFonts w:ascii="Arial" w:cs="Arial" w:eastAsia="Arial" w:hAnsi="Arial"/>
          <w:sz w:val="16"/>
          <w:szCs w:val="16"/>
          <w:color w:val="auto"/>
        </w:rPr>
      </w:pPr>
    </w:p>
    <w:p>
      <w:pPr>
        <w:ind w:left="100" w:right="100" w:firstLine="8"/>
        <w:spacing w:after="0" w:line="266" w:lineRule="auto"/>
        <w:tabs>
          <w:tab w:leader="none" w:pos="3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w:t>
      </w:r>
    </w:p>
    <w:p>
      <w:pPr>
        <w:jc w:val="center"/>
        <w:ind w:right="-119"/>
        <w:spacing w:after="0"/>
        <w:rPr>
          <w:sz w:val="20"/>
          <w:szCs w:val="20"/>
          <w:color w:val="auto"/>
        </w:rPr>
      </w:pPr>
      <w:r>
        <w:rPr>
          <w:rFonts w:ascii="Arial" w:cs="Arial" w:eastAsia="Arial" w:hAnsi="Arial"/>
          <w:sz w:val="22"/>
          <w:szCs w:val="22"/>
          <w:color w:val="auto"/>
        </w:rPr>
        <w:t>10</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60" w:name="page161"/>
    <w:bookmarkEnd w:id="160"/>
    <w:p>
      <w:pPr>
        <w:ind w:left="100" w:right="40"/>
        <w:spacing w:after="0" w:line="304" w:lineRule="auto"/>
        <w:rPr>
          <w:sz w:val="20"/>
          <w:szCs w:val="20"/>
          <w:color w:val="auto"/>
        </w:rPr>
      </w:pPr>
      <w:r>
        <w:rPr>
          <w:rFonts w:ascii="Arial" w:cs="Arial" w:eastAsia="Arial" w:hAnsi="Arial"/>
          <w:sz w:val="16"/>
          <w:szCs w:val="16"/>
          <w:color w:val="auto"/>
        </w:rPr>
        <w:t>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sz w:val="20"/>
          <w:szCs w:val="20"/>
          <w:color w:val="auto"/>
        </w:rPr>
      </w:pPr>
    </w:p>
    <w:p>
      <w:pPr>
        <w:ind w:left="100" w:right="60" w:firstLine="748"/>
        <w:spacing w:after="0" w:line="319" w:lineRule="auto"/>
        <w:tabs>
          <w:tab w:leader="none" w:pos="111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9" w:lineRule="exact"/>
        <w:rPr>
          <w:rFonts w:ascii="Arial" w:cs="Arial" w:eastAsia="Arial" w:hAnsi="Arial"/>
          <w:sz w:val="16"/>
          <w:szCs w:val="16"/>
          <w:color w:val="auto"/>
        </w:rPr>
      </w:pPr>
    </w:p>
    <w:p>
      <w:pPr>
        <w:ind w:left="100" w:right="200" w:firstLine="748"/>
        <w:spacing w:after="0" w:line="303" w:lineRule="auto"/>
        <w:tabs>
          <w:tab w:leader="none" w:pos="111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91" w:lineRule="exact"/>
        <w:rPr>
          <w:rFonts w:ascii="Arial" w:cs="Arial" w:eastAsia="Arial" w:hAnsi="Arial"/>
          <w:sz w:val="17"/>
          <w:szCs w:val="17"/>
          <w:color w:val="auto"/>
        </w:rPr>
      </w:pPr>
    </w:p>
    <w:p>
      <w:pPr>
        <w:ind w:left="100" w:right="220" w:firstLine="748"/>
        <w:spacing w:after="0" w:line="303" w:lineRule="auto"/>
        <w:tabs>
          <w:tab w:leader="none" w:pos="111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7" w:lineRule="exact"/>
        <w:rPr>
          <w:rFonts w:ascii="Arial" w:cs="Arial" w:eastAsia="Arial" w:hAnsi="Arial"/>
          <w:sz w:val="17"/>
          <w:szCs w:val="17"/>
          <w:color w:val="auto"/>
        </w:rPr>
      </w:pPr>
    </w:p>
    <w:p>
      <w:pPr>
        <w:ind w:left="100" w:right="60" w:firstLine="748"/>
        <w:spacing w:after="0" w:line="272" w:lineRule="auto"/>
        <w:tabs>
          <w:tab w:leader="none" w:pos="111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217" w:lineRule="exact"/>
        <w:rPr>
          <w:rFonts w:ascii="Arial" w:cs="Arial" w:eastAsia="Arial" w:hAnsi="Arial"/>
          <w:sz w:val="18"/>
          <w:szCs w:val="18"/>
          <w:color w:val="auto"/>
        </w:rPr>
      </w:pPr>
    </w:p>
    <w:p>
      <w:pPr>
        <w:ind w:left="100" w:firstLine="748"/>
        <w:spacing w:after="0" w:line="293" w:lineRule="auto"/>
        <w:tabs>
          <w:tab w:leader="none" w:pos="111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96" w:lineRule="exact"/>
        <w:rPr>
          <w:rFonts w:ascii="Arial" w:cs="Arial" w:eastAsia="Arial" w:hAnsi="Arial"/>
          <w:sz w:val="18"/>
          <w:szCs w:val="18"/>
          <w:color w:val="auto"/>
        </w:rPr>
      </w:pPr>
    </w:p>
    <w:p>
      <w:pPr>
        <w:ind w:left="100" w:right="100" w:firstLine="748"/>
        <w:spacing w:after="0" w:line="281" w:lineRule="auto"/>
        <w:tabs>
          <w:tab w:leader="none" w:pos="111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 herein shall limit any right that the Executive may have in respect of indemnification, advancement or liability insurance coverage under any</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61" w:name="page162"/>
    <w:bookmarkEnd w:id="161"/>
    <w:p>
      <w:pPr>
        <w:jc w:val="both"/>
        <w:ind w:left="100" w:right="80"/>
        <w:spacing w:after="0" w:line="279" w:lineRule="auto"/>
        <w:rPr>
          <w:sz w:val="20"/>
          <w:szCs w:val="20"/>
          <w:color w:val="auto"/>
        </w:rPr>
      </w:pPr>
      <w:r>
        <w:rPr>
          <w:rFonts w:ascii="Arial" w:cs="Arial" w:eastAsia="Arial" w:hAnsi="Arial"/>
          <w:sz w:val="18"/>
          <w:szCs w:val="18"/>
          <w:color w:val="auto"/>
        </w:rPr>
        <w:t>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210" w:lineRule="exact"/>
        <w:rPr>
          <w:sz w:val="20"/>
          <w:szCs w:val="20"/>
          <w:color w:val="auto"/>
        </w:rPr>
      </w:pPr>
    </w:p>
    <w:p>
      <w:pPr>
        <w:ind w:left="100" w:right="20" w:firstLine="748"/>
        <w:spacing w:after="0" w:line="319" w:lineRule="auto"/>
        <w:tabs>
          <w:tab w:leader="none" w:pos="111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69" w:lineRule="exact"/>
        <w:rPr>
          <w:rFonts w:ascii="Arial" w:cs="Arial" w:eastAsia="Arial" w:hAnsi="Arial"/>
          <w:sz w:val="16"/>
          <w:szCs w:val="16"/>
          <w:color w:val="auto"/>
        </w:rPr>
      </w:pPr>
    </w:p>
    <w:p>
      <w:pPr>
        <w:ind w:left="100" w:firstLine="748"/>
        <w:spacing w:after="0" w:line="287" w:lineRule="auto"/>
        <w:tabs>
          <w:tab w:leader="none" w:pos="1110"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204" w:lineRule="exact"/>
        <w:rPr>
          <w:rFonts w:ascii="Arial" w:cs="Arial" w:eastAsia="Arial" w:hAnsi="Arial"/>
          <w:sz w:val="17"/>
          <w:szCs w:val="17"/>
          <w:color w:val="auto"/>
        </w:rPr>
      </w:pPr>
    </w:p>
    <w:p>
      <w:pPr>
        <w:ind w:left="1120" w:hanging="272"/>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0" w:right="380" w:firstLine="1505"/>
        <w:spacing w:after="0" w:line="319" w:lineRule="auto"/>
        <w:tabs>
          <w:tab w:leader="none" w:pos="184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This Agreement will be governed by and construed in accordance with applicable federal laws and, to the extent not inconsistent therewith or preempted thereby, with the laws of the Commonwealth of Pennsylvania, including any applicable statutes of limitation, without regard to any otherwise applicable principles of conflicts of laws or choice of law rules (whether of the Commonwealth of Pennsylvania or any other jurisdiction) that would result in the application of the substantive or procedural rules or law of any other jurisdiction.</w:t>
      </w:r>
    </w:p>
    <w:p>
      <w:pPr>
        <w:spacing w:after="0" w:line="169" w:lineRule="exact"/>
        <w:rPr>
          <w:rFonts w:ascii="Arial" w:cs="Arial" w:eastAsia="Arial" w:hAnsi="Arial"/>
          <w:sz w:val="16"/>
          <w:szCs w:val="16"/>
          <w:color w:val="auto"/>
        </w:rPr>
      </w:pPr>
    </w:p>
    <w:p>
      <w:pPr>
        <w:ind w:left="100" w:right="120" w:firstLine="1505"/>
        <w:spacing w:after="0" w:line="272" w:lineRule="auto"/>
        <w:tabs>
          <w:tab w:leader="none" w:pos="185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Eastern District of Pennsylvania, or if that court does not have or will not accept jurisdiction, in any court of general jurisdiction in the Commonwealth of Pennsylvania,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217" w:lineRule="exact"/>
        <w:rPr>
          <w:rFonts w:ascii="Arial" w:cs="Arial" w:eastAsia="Arial" w:hAnsi="Arial"/>
          <w:sz w:val="18"/>
          <w:szCs w:val="18"/>
          <w:color w:val="auto"/>
        </w:rPr>
      </w:pPr>
    </w:p>
    <w:p>
      <w:pPr>
        <w:jc w:val="both"/>
        <w:ind w:left="100" w:right="220" w:firstLine="1505"/>
        <w:spacing w:after="0" w:line="296" w:lineRule="auto"/>
        <w:tabs>
          <w:tab w:leader="none" w:pos="1842"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3" w:lineRule="exact"/>
        <w:rPr>
          <w:rFonts w:ascii="Arial" w:cs="Arial" w:eastAsia="Arial" w:hAnsi="Arial"/>
          <w:sz w:val="17"/>
          <w:szCs w:val="17"/>
          <w:color w:val="auto"/>
        </w:rPr>
      </w:pPr>
    </w:p>
    <w:p>
      <w:pPr>
        <w:ind w:left="100" w:right="120" w:firstLine="1505"/>
        <w:spacing w:after="0" w:line="281" w:lineRule="auto"/>
        <w:tabs>
          <w:tab w:leader="none" w:pos="1852"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w:t>
      </w:r>
    </w:p>
    <w:p>
      <w:pPr>
        <w:spacing w:after="0" w:line="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68" w:right="479" w:bottom="1440" w:gutter="0" w:footer="0" w:header="0"/>
        </w:sectPr>
      </w:pPr>
    </w:p>
    <w:bookmarkStart w:id="162" w:name="page163"/>
    <w:bookmarkEnd w:id="162"/>
    <w:p>
      <w:pPr>
        <w:ind w:left="100" w:right="320"/>
        <w:spacing w:after="0" w:line="279" w:lineRule="auto"/>
        <w:rPr>
          <w:sz w:val="20"/>
          <w:szCs w:val="20"/>
          <w:color w:val="auto"/>
        </w:rPr>
      </w:pPr>
      <w:r>
        <w:rPr>
          <w:rFonts w:ascii="Arial" w:cs="Arial" w:eastAsia="Arial" w:hAnsi="Arial"/>
          <w:sz w:val="18"/>
          <w:szCs w:val="18"/>
          <w:color w:val="auto"/>
        </w:rPr>
        <w:t>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210" w:lineRule="exact"/>
        <w:rPr>
          <w:sz w:val="20"/>
          <w:szCs w:val="20"/>
          <w:color w:val="auto"/>
        </w:rPr>
      </w:pPr>
    </w:p>
    <w:p>
      <w:pPr>
        <w:ind w:left="100" w:right="180" w:firstLine="748"/>
        <w:spacing w:after="0" w:line="299" w:lineRule="auto"/>
        <w:tabs>
          <w:tab w:leader="none" w:pos="1110"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“Recoupment Policy”). Where the result of a performance measure was a factor in determining the compensation awarded or paid, but (i) the subsequently-restated performance measure was not the only factor used to determine the compensation awarded or paid, or</w:t>
      </w:r>
    </w:p>
    <w:p>
      <w:pPr>
        <w:spacing w:after="0" w:line="2" w:lineRule="exact"/>
        <w:rPr>
          <w:rFonts w:ascii="Arial" w:cs="Arial" w:eastAsia="Arial" w:hAnsi="Arial"/>
          <w:sz w:val="16"/>
          <w:szCs w:val="16"/>
          <w:color w:val="auto"/>
        </w:rPr>
      </w:pPr>
    </w:p>
    <w:p>
      <w:pPr>
        <w:ind w:left="100" w:right="180" w:firstLine="8"/>
        <w:spacing w:after="0" w:line="311" w:lineRule="auto"/>
        <w:tabs>
          <w:tab w:leader="none" w:pos="36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88" w:lineRule="exact"/>
        <w:rPr>
          <w:rFonts w:ascii="Arial" w:cs="Arial" w:eastAsia="Arial" w:hAnsi="Arial"/>
          <w:sz w:val="16"/>
          <w:szCs w:val="16"/>
          <w:color w:val="auto"/>
        </w:rPr>
      </w:pPr>
    </w:p>
    <w:p>
      <w:pPr>
        <w:ind w:left="100" w:right="400" w:firstLine="748"/>
        <w:spacing w:after="0" w:line="293" w:lineRule="auto"/>
        <w:tabs>
          <w:tab w:leader="none" w:pos="1110"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9" w:lineRule="exact"/>
        <w:rPr>
          <w:rFonts w:ascii="Arial" w:cs="Arial" w:eastAsia="Arial" w:hAnsi="Arial"/>
          <w:sz w:val="18"/>
          <w:szCs w:val="18"/>
          <w:color w:val="auto"/>
        </w:rPr>
      </w:pPr>
    </w:p>
    <w:p>
      <w:pPr>
        <w:ind w:left="100" w:right="340" w:firstLine="748"/>
        <w:spacing w:after="0" w:line="276" w:lineRule="auto"/>
        <w:tabs>
          <w:tab w:leader="none" w:pos="1110" w:val="left"/>
        </w:tabs>
        <w:numPr>
          <w:ilvl w:val="1"/>
          <w:numId w:val="119"/>
        </w:numPr>
        <w:rPr>
          <w:rFonts w:ascii="Arial" w:cs="Arial" w:eastAsia="Arial" w:hAnsi="Arial"/>
          <w:sz w:val="18"/>
          <w:szCs w:val="18"/>
          <w:color w:val="auto"/>
        </w:rPr>
      </w:pPr>
      <w:r>
        <w:rPr>
          <w:rFonts w:ascii="Arial" w:cs="Arial" w:eastAsia="Arial" w:hAnsi="Arial"/>
          <w:sz w:val="18"/>
          <w:szCs w:val="18"/>
          <w:b w:val="1"/>
          <w:bCs w:val="1"/>
          <w:color w:val="auto"/>
        </w:rPr>
        <w:t>Advice of Counsel. I ACKNOWLEDGE THAT, IN EXECUTING THIS AGREEMENT, I HAVE HAD THE RIGHT TO SEEK THE ADVICE OF INDEPENDENT LEGAL COUNSEL, AND I HAVE READ AND UNDERSTOOD ALL OF THE TERMS AND PROVISIONS OF THIS AGREEMENT. THIS AGREEMENT WILL NOT BE CONSTRUED AGAINST ANY PARTY BY REASON OF THE DRAFTING OR PREPARATION OF THIS AGREEMENT.</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ADAGIO THERAPEUTICS, INC.</w:t>
      </w:r>
    </w:p>
    <w:p>
      <w:pPr>
        <w:spacing w:after="0" w:line="200" w:lineRule="exact"/>
        <w:rPr>
          <w:sz w:val="20"/>
          <w:szCs w:val="20"/>
          <w:color w:val="auto"/>
        </w:rPr>
      </w:pPr>
    </w:p>
    <w:p>
      <w:pPr>
        <w:spacing w:after="0" w:line="326"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Tillman U. Gerngross</w:t>
            </w: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Tillman U. Gerngross, Ph. D.</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Its:</w:t>
            </w:r>
          </w:p>
        </w:tc>
        <w:tc>
          <w:tcPr>
            <w:tcW w:w="4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9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32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Rebecca Dabora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23495</wp:posOffset>
            </wp:positionV>
            <wp:extent cx="35572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Rebecca Dabora</w:t>
      </w: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Appendix A</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Outside Activities</w:t>
      </w:r>
    </w:p>
    <w:p>
      <w:pPr>
        <w:spacing w:after="0" w:line="256"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 xml:space="preserve">Executive provides infrequent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consultation services, less than a total of 5 hours per week, via an LLC owned by Executive as follows: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8" w:right="339" w:bottom="1440" w:gutter="0" w:footer="0" w:header="0"/>
        </w:sectPr>
      </w:pPr>
    </w:p>
    <w:bookmarkStart w:id="163" w:name="page164"/>
    <w:bookmarkEnd w:id="163"/>
    <w:p>
      <w:pPr>
        <w:ind w:left="120"/>
        <w:spacing w:after="0" w:line="297" w:lineRule="auto"/>
        <w:rPr>
          <w:sz w:val="20"/>
          <w:szCs w:val="20"/>
          <w:color w:val="auto"/>
        </w:rPr>
      </w:pPr>
      <w:r>
        <w:rPr>
          <w:rFonts w:ascii="Arial" w:cs="Arial" w:eastAsia="Arial" w:hAnsi="Arial"/>
          <w:sz w:val="18"/>
          <w:szCs w:val="18"/>
          <w:b w:val="1"/>
          <w:bCs w:val="1"/>
          <w:color w:val="auto"/>
        </w:rPr>
        <w:t xml:space="preserve">RDBio Consulting LLC </w:t>
      </w:r>
      <w:r>
        <w:rPr>
          <w:rFonts w:ascii="Arial" w:cs="Arial" w:eastAsia="Arial" w:hAnsi="Arial"/>
          <w:sz w:val="18"/>
          <w:szCs w:val="18"/>
          <w:color w:val="auto"/>
        </w:rPr>
        <w:t>– strategic and advisory consulting limited to the following companies: Scholar Rock, Vigil Neuroscience, Revitope, and</w:t>
      </w:r>
      <w:r>
        <w:rPr>
          <w:rFonts w:ascii="Arial" w:cs="Arial" w:eastAsia="Arial" w:hAnsi="Arial"/>
          <w:sz w:val="18"/>
          <w:szCs w:val="18"/>
          <w:b w:val="1"/>
          <w:bCs w:val="1"/>
          <w:color w:val="auto"/>
        </w:rPr>
        <w:t xml:space="preserve"> </w:t>
      </w:r>
      <w:r>
        <w:rPr>
          <w:rFonts w:ascii="Arial" w:cs="Arial" w:eastAsia="Arial" w:hAnsi="Arial"/>
          <w:sz w:val="18"/>
          <w:szCs w:val="18"/>
          <w:color w:val="auto"/>
        </w:rPr>
        <w:t>Immunitas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 addition, Executive serves as an Advisory Board member for </w:t>
      </w:r>
      <w:r>
        <w:rPr>
          <w:rFonts w:ascii="Arial" w:cs="Arial" w:eastAsia="Arial" w:hAnsi="Arial"/>
          <w:sz w:val="18"/>
          <w:szCs w:val="18"/>
          <w:b w:val="1"/>
          <w:bCs w:val="1"/>
          <w:color w:val="auto"/>
        </w:rPr>
        <w:t>Labshares,</w:t>
      </w:r>
      <w:r>
        <w:rPr>
          <w:rFonts w:ascii="Arial" w:cs="Arial" w:eastAsia="Arial" w:hAnsi="Arial"/>
          <w:sz w:val="18"/>
          <w:szCs w:val="18"/>
          <w:color w:val="auto"/>
        </w:rPr>
        <w:t xml:space="preserve"> Newton, MA</w:t>
      </w:r>
    </w:p>
    <w:p>
      <w:pPr>
        <w:spacing w:after="0" w:line="249"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14</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364" w:right="879" w:bottom="1440" w:gutter="0" w:footer="0" w:header="0"/>
        </w:sectPr>
      </w:pPr>
    </w:p>
    <w:bookmarkStart w:id="164" w:name="page165"/>
    <w:bookmarkEnd w:id="164"/>
    <w:p>
      <w:pPr>
        <w:jc w:val="center"/>
        <w:ind w:right="-119"/>
        <w:spacing w:after="0"/>
        <w:rPr>
          <w:sz w:val="20"/>
          <w:szCs w:val="20"/>
          <w:color w:val="auto"/>
        </w:rPr>
      </w:pPr>
      <w:r>
        <w:rPr>
          <w:rFonts w:ascii="Arial" w:cs="Arial" w:eastAsia="Arial" w:hAnsi="Arial"/>
          <w:sz w:val="18"/>
          <w:szCs w:val="18"/>
          <w:b w:val="1"/>
          <w:bCs w:val="1"/>
          <w:color w:val="auto"/>
        </w:rPr>
        <w:t>Appendix B</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SEPARATION AGREEMENT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[Address]</w:t>
      </w: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 Separation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[Name]:</w:t>
      </w:r>
    </w:p>
    <w:p>
      <w:pPr>
        <w:spacing w:after="0" w:line="252" w:lineRule="exact"/>
        <w:rPr>
          <w:sz w:val="20"/>
          <w:szCs w:val="20"/>
          <w:color w:val="auto"/>
        </w:rPr>
      </w:pPr>
    </w:p>
    <w:p>
      <w:pPr>
        <w:ind w:left="120" w:right="140"/>
        <w:spacing w:after="0" w:line="293"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193" w:lineRule="exact"/>
        <w:rPr>
          <w:sz w:val="20"/>
          <w:szCs w:val="20"/>
          <w:color w:val="auto"/>
        </w:rPr>
      </w:pPr>
    </w:p>
    <w:p>
      <w:pPr>
        <w:ind w:left="280" w:hanging="172"/>
        <w:spacing w:after="0"/>
        <w:tabs>
          <w:tab w:leader="none" w:pos="2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265" w:lineRule="exact"/>
        <w:rPr>
          <w:rFonts w:ascii="Arial" w:cs="Arial" w:eastAsia="Arial" w:hAnsi="Arial"/>
          <w:sz w:val="18"/>
          <w:szCs w:val="18"/>
          <w:b w:val="1"/>
          <w:bCs w:val="1"/>
          <w:color w:val="auto"/>
        </w:rPr>
      </w:pPr>
    </w:p>
    <w:p>
      <w:pPr>
        <w:ind w:left="100" w:firstLine="8"/>
        <w:spacing w:after="0" w:line="297" w:lineRule="auto"/>
        <w:tabs>
          <w:tab w:leader="none" w:pos="302"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Salary. </w:t>
      </w:r>
      <w:r>
        <w:rPr>
          <w:rFonts w:ascii="Arial" w:cs="Arial" w:eastAsia="Arial" w:hAnsi="Arial"/>
          <w:sz w:val="18"/>
          <w:szCs w:val="18"/>
          <w:color w:val="auto"/>
        </w:rPr>
        <w:t>On the Separation Date, the Company will pay you all accrued salary earned through the Separation Date, subject to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deductions and withholdings. You will receive these payments regardless of whether or not you sign this Agreement.</w:t>
      </w:r>
    </w:p>
    <w:p>
      <w:pPr>
        <w:spacing w:after="0" w:line="176" w:lineRule="exact"/>
        <w:rPr>
          <w:rFonts w:ascii="Arial" w:cs="Arial" w:eastAsia="Arial" w:hAnsi="Arial"/>
          <w:sz w:val="18"/>
          <w:szCs w:val="18"/>
          <w:b w:val="1"/>
          <w:bCs w:val="1"/>
          <w:color w:val="auto"/>
        </w:rPr>
      </w:pPr>
    </w:p>
    <w:p>
      <w:pPr>
        <w:ind w:left="100" w:firstLine="8"/>
        <w:spacing w:after="0" w:line="297" w:lineRule="auto"/>
        <w:tabs>
          <w:tab w:leader="none" w:pos="2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194" w:lineRule="exact"/>
        <w:rPr>
          <w:sz w:val="20"/>
          <w:szCs w:val="20"/>
          <w:color w:val="auto"/>
        </w:rPr>
      </w:pPr>
    </w:p>
    <w:p>
      <w:pPr>
        <w:ind w:left="120" w:right="100" w:firstLine="749"/>
        <w:spacing w:after="0" w:line="292" w:lineRule="auto"/>
        <w:rPr>
          <w:sz w:val="20"/>
          <w:szCs w:val="20"/>
          <w:color w:val="auto"/>
        </w:rPr>
      </w:pPr>
      <w:r>
        <w:rPr>
          <w:rFonts w:ascii="Arial" w:cs="Arial" w:eastAsia="Arial" w:hAnsi="Arial"/>
          <w:sz w:val="17"/>
          <w:szCs w:val="17"/>
          <w:color w:val="auto"/>
        </w:rPr>
        <w:t>The Company is offering severance to you in reliance on Treasury Regulation Section 1.409A-1(b)(9) and the short term deferral exemption in Treasury Regulation Section 1.409A- 1(b)(4). Any payments made in reliance on Treasury Regulation Section 1.409A-1(b)(4) will be made not later than March 15, 20 .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-342265</wp:posOffset>
            </wp:positionV>
            <wp:extent cx="285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Benefit Plans.</w:t>
      </w:r>
    </w:p>
    <w:p>
      <w:pPr>
        <w:spacing w:after="0" w:line="256" w:lineRule="exact"/>
        <w:rPr>
          <w:sz w:val="20"/>
          <w:szCs w:val="20"/>
          <w:color w:val="auto"/>
        </w:rPr>
      </w:pPr>
    </w:p>
    <w:p>
      <w:pPr>
        <w:ind w:left="120" w:right="40"/>
        <w:spacing w:after="0" w:line="319"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169" w:lineRule="exact"/>
        <w:rPr>
          <w:sz w:val="20"/>
          <w:szCs w:val="20"/>
          <w:color w:val="auto"/>
        </w:rPr>
      </w:pPr>
    </w:p>
    <w:p>
      <w:pPr>
        <w:ind w:left="120" w:right="720"/>
        <w:spacing w:after="0" w:line="293" w:lineRule="auto"/>
        <w:rPr>
          <w:sz w:val="20"/>
          <w:szCs w:val="20"/>
          <w:color w:val="auto"/>
        </w:rPr>
      </w:pPr>
      <w:r>
        <w:rPr>
          <w:rFonts w:ascii="Arial" w:cs="Arial" w:eastAsia="Arial" w:hAnsi="Arial"/>
          <w:sz w:val="18"/>
          <w:szCs w:val="18"/>
          <w:color w:val="auto"/>
        </w:rPr>
        <w:t>Deductions for the 401(k) Plan will end with your last regular paycheck. You will receive information by mail concerning 401(k) plan rollover procedures should you be a participant in this program.</w:t>
      </w:r>
    </w:p>
    <w:p>
      <w:pPr>
        <w:spacing w:after="0" w:line="197" w:lineRule="exact"/>
        <w:rPr>
          <w:sz w:val="20"/>
          <w:szCs w:val="20"/>
          <w:color w:val="auto"/>
        </w:rPr>
      </w:pPr>
    </w:p>
    <w:p>
      <w:pPr>
        <w:ind w:left="120" w:right="20"/>
        <w:spacing w:after="0" w:line="293"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260" w:lineRule="exact"/>
        <w:rPr>
          <w:sz w:val="20"/>
          <w:szCs w:val="20"/>
          <w:color w:val="auto"/>
        </w:rPr>
      </w:pPr>
    </w:p>
    <w:p>
      <w:pPr>
        <w:ind w:left="100"/>
        <w:spacing w:after="0"/>
        <w:tabs>
          <w:tab w:leader="none" w:pos="4760" w:val="left"/>
        </w:tabs>
        <w:rPr>
          <w:sz w:val="20"/>
          <w:szCs w:val="20"/>
          <w:color w:val="auto"/>
        </w:rPr>
      </w:pPr>
      <w:r>
        <w:rPr>
          <w:rFonts w:ascii="Arial" w:cs="Arial" w:eastAsia="Arial" w:hAnsi="Arial"/>
          <w:sz w:val="18"/>
          <w:szCs w:val="18"/>
          <w:b w:val="1"/>
          <w:bCs w:val="1"/>
          <w:color w:val="auto"/>
        </w:rPr>
        <w:t xml:space="preserve">5. Stock Options.  </w:t>
      </w:r>
      <w:r>
        <w:rPr>
          <w:rFonts w:ascii="Arial" w:cs="Arial" w:eastAsia="Arial" w:hAnsi="Arial"/>
          <w:sz w:val="18"/>
          <w:szCs w:val="18"/>
          <w:color w:val="auto"/>
        </w:rPr>
        <w:t>You were granted an option to purchase</w:t>
      </w:r>
      <w:r>
        <w:rPr>
          <w:sz w:val="20"/>
          <w:szCs w:val="20"/>
          <w:color w:val="auto"/>
        </w:rPr>
        <w:tab/>
      </w:r>
      <w:r>
        <w:rPr>
          <w:rFonts w:ascii="Arial" w:cs="Arial" w:eastAsia="Arial" w:hAnsi="Arial"/>
          <w:sz w:val="16"/>
          <w:szCs w:val="16"/>
          <w:color w:val="auto"/>
        </w:rPr>
        <w:t>shares of the Company’s common stock, pursuant to the Company’s [correct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-7620</wp:posOffset>
            </wp:positionV>
            <wp:extent cx="24066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240665" cy="889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Stock or incentive plan] (the “Plan”). Under the terms of the Plan and your stock option grant, vesting will cease as of the Separation Date.</w:t>
      </w:r>
    </w:p>
    <w:p>
      <w:pPr>
        <w:spacing w:after="0" w:line="261" w:lineRule="exact"/>
        <w:rPr>
          <w:sz w:val="20"/>
          <w:szCs w:val="20"/>
          <w:color w:val="auto"/>
        </w:rPr>
      </w:pPr>
    </w:p>
    <w:p>
      <w:pPr>
        <w:ind w:left="100" w:right="20" w:firstLine="8"/>
        <w:spacing w:after="0" w:line="268" w:lineRule="auto"/>
        <w:tabs>
          <w:tab w:leader="none" w:pos="304"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15</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32" w:right="459" w:bottom="1440" w:gutter="0" w:footer="0" w:header="0"/>
        </w:sectPr>
      </w:pPr>
    </w:p>
    <w:bookmarkStart w:id="165" w:name="page166"/>
    <w:bookmarkEnd w:id="165"/>
    <w:p>
      <w:pPr>
        <w:jc w:val="both"/>
        <w:ind w:left="100" w:right="20" w:firstLine="8"/>
        <w:spacing w:after="0" w:line="281" w:lineRule="auto"/>
        <w:tabs>
          <w:tab w:leader="none" w:pos="325"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90" w:lineRule="exact"/>
        <w:rPr>
          <w:rFonts w:ascii="Arial" w:cs="Arial" w:eastAsia="Arial" w:hAnsi="Arial"/>
          <w:sz w:val="18"/>
          <w:szCs w:val="18"/>
          <w:b w:val="1"/>
          <w:bCs w:val="1"/>
          <w:color w:val="auto"/>
        </w:rPr>
      </w:pPr>
    </w:p>
    <w:p>
      <w:pPr>
        <w:jc w:val="both"/>
        <w:ind w:left="100" w:firstLine="8"/>
        <w:spacing w:after="0" w:line="312" w:lineRule="auto"/>
        <w:tabs>
          <w:tab w:leader="none" w:pos="293"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By the Separation Date, you agree to return to the Company all Company documents (and all copies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Company property that you have had in your possession at any time, including, but not limited to, Company files, notes, drawings, records, business plans and forecasts, financial information, specifications, computer- 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Arial" w:cs="Arial" w:eastAsia="Arial" w:hAnsi="Arial"/>
          <w:sz w:val="16"/>
          <w:szCs w:val="16"/>
          <w:b w:val="1"/>
          <w:bCs w:val="1"/>
          <w:color w:val="auto"/>
        </w:rPr>
        <w:t>Receipt of</w:t>
      </w:r>
      <w:r>
        <w:rPr>
          <w:rFonts w:ascii="Arial" w:cs="Arial" w:eastAsia="Arial" w:hAnsi="Arial"/>
          <w:sz w:val="16"/>
          <w:szCs w:val="16"/>
          <w:color w:val="auto"/>
        </w:rPr>
        <w:t xml:space="preserve"> </w:t>
      </w:r>
      <w:r>
        <w:rPr>
          <w:rFonts w:ascii="Arial" w:cs="Arial" w:eastAsia="Arial" w:hAnsi="Arial"/>
          <w:sz w:val="16"/>
          <w:szCs w:val="16"/>
          <w:b w:val="1"/>
          <w:bCs w:val="1"/>
          <w:color w:val="auto"/>
        </w:rPr>
        <w:t>the severance benefits described in Section 3 of this Agreement is expressly conditioned upon return of all Company Property.</w:t>
      </w:r>
    </w:p>
    <w:p>
      <w:pPr>
        <w:spacing w:after="0" w:line="184" w:lineRule="exact"/>
        <w:rPr>
          <w:rFonts w:ascii="Arial" w:cs="Arial" w:eastAsia="Arial" w:hAnsi="Arial"/>
          <w:sz w:val="16"/>
          <w:szCs w:val="16"/>
          <w:b w:val="1"/>
          <w:bCs w:val="1"/>
          <w:color w:val="auto"/>
        </w:rPr>
      </w:pPr>
    </w:p>
    <w:p>
      <w:pPr>
        <w:jc w:val="both"/>
        <w:ind w:left="100" w:firstLine="8"/>
        <w:spacing w:after="0" w:line="286" w:lineRule="auto"/>
        <w:tabs>
          <w:tab w:leader="none" w:pos="329"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 Information and Post-Termination Obligations. </w:t>
      </w:r>
      <w:r>
        <w:rPr>
          <w:rFonts w:ascii="Arial" w:cs="Arial" w:eastAsia="Arial" w:hAnsi="Arial"/>
          <w:sz w:val="17"/>
          <w:szCs w:val="17"/>
          <w:color w:val="auto"/>
        </w:rPr>
        <w:t>Both during and after your employment you acknowledge your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205" w:lineRule="exact"/>
        <w:rPr>
          <w:rFonts w:ascii="Arial" w:cs="Arial" w:eastAsia="Arial" w:hAnsi="Arial"/>
          <w:sz w:val="17"/>
          <w:szCs w:val="17"/>
          <w:b w:val="1"/>
          <w:bCs w:val="1"/>
          <w:color w:val="auto"/>
        </w:rPr>
      </w:pPr>
    </w:p>
    <w:p>
      <w:pPr>
        <w:jc w:val="both"/>
        <w:ind w:left="100" w:firstLine="8"/>
        <w:spacing w:after="0" w:line="287" w:lineRule="auto"/>
        <w:tabs>
          <w:tab w:leader="none" w:pos="383"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Non-Compete. </w:t>
      </w:r>
      <w:r>
        <w:rPr>
          <w:rFonts w:ascii="Arial" w:cs="Arial" w:eastAsia="Arial" w:hAnsi="Arial"/>
          <w:sz w:val="17"/>
          <w:szCs w:val="17"/>
          <w:color w:val="auto"/>
        </w:rPr>
        <w:t>In exchange for the payments and other consideration under this Agreement, to which you would not otherwise be entitled, you</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95" w:lineRule="exact"/>
        <w:rPr>
          <w:rFonts w:ascii="Arial" w:cs="Arial" w:eastAsia="Arial" w:hAnsi="Arial"/>
          <w:sz w:val="17"/>
          <w:szCs w:val="17"/>
          <w:b w:val="1"/>
          <w:bCs w:val="1"/>
          <w:color w:val="auto"/>
        </w:rPr>
      </w:pPr>
    </w:p>
    <w:p>
      <w:pPr>
        <w:ind w:left="100" w:right="20" w:firstLine="748"/>
        <w:spacing w:after="0" w:line="293" w:lineRule="auto"/>
        <w:tabs>
          <w:tab w:leader="none" w:pos="1040" w:val="left"/>
        </w:tabs>
        <w:numPr>
          <w:ilvl w:val="1"/>
          <w:numId w:val="122"/>
        </w:numPr>
        <w:rPr>
          <w:rFonts w:ascii="Arial" w:cs="Arial" w:eastAsia="Arial" w:hAnsi="Arial"/>
          <w:sz w:val="18"/>
          <w:szCs w:val="18"/>
          <w:b w:val="1"/>
          <w:bCs w:val="1"/>
          <w:color w:val="auto"/>
        </w:rPr>
      </w:pPr>
      <w:r>
        <w:rPr>
          <w:rFonts w:ascii="Arial" w:cs="Arial" w:eastAsia="Arial" w:hAnsi="Arial"/>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96" w:lineRule="exact"/>
        <w:rPr>
          <w:rFonts w:ascii="Arial" w:cs="Arial" w:eastAsia="Arial" w:hAnsi="Arial"/>
          <w:sz w:val="18"/>
          <w:szCs w:val="18"/>
          <w:b w:val="1"/>
          <w:bCs w:val="1"/>
          <w:color w:val="auto"/>
        </w:rPr>
      </w:pPr>
    </w:p>
    <w:p>
      <w:pPr>
        <w:ind w:left="100" w:firstLine="748"/>
        <w:spacing w:after="0" w:line="324" w:lineRule="auto"/>
        <w:tabs>
          <w:tab w:leader="none" w:pos="1061" w:val="left"/>
        </w:tabs>
        <w:numPr>
          <w:ilvl w:val="1"/>
          <w:numId w:val="122"/>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70" w:lineRule="exact"/>
        <w:rPr>
          <w:rFonts w:ascii="Arial" w:cs="Arial" w:eastAsia="Arial" w:hAnsi="Arial"/>
          <w:sz w:val="17"/>
          <w:szCs w:val="17"/>
          <w:b w:val="1"/>
          <w:bCs w:val="1"/>
          <w:color w:val="auto"/>
        </w:rPr>
      </w:pPr>
    </w:p>
    <w:p>
      <w:pPr>
        <w:jc w:val="both"/>
        <w:ind w:left="100" w:firstLine="8"/>
        <w:spacing w:after="0" w:line="282" w:lineRule="auto"/>
        <w:tabs>
          <w:tab w:leader="none" w:pos="36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16</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607" w:right="459" w:bottom="1440" w:gutter="0" w:footer="0" w:header="0"/>
        </w:sectPr>
      </w:pPr>
    </w:p>
    <w:bookmarkStart w:id="166" w:name="page167"/>
    <w:bookmarkEnd w:id="166"/>
    <w:p>
      <w:pPr>
        <w:ind w:left="100"/>
        <w:spacing w:after="0" w:line="324" w:lineRule="auto"/>
        <w:rPr>
          <w:sz w:val="20"/>
          <w:szCs w:val="20"/>
          <w:color w:val="auto"/>
        </w:rPr>
      </w:pPr>
      <w:r>
        <w:rPr>
          <w:rFonts w:ascii="Arial" w:cs="Arial" w:eastAsia="Arial" w:hAnsi="Arial"/>
          <w:sz w:val="17"/>
          <w:szCs w:val="17"/>
          <w:color w:val="auto"/>
        </w:rPr>
        <w:t>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0" w:lineRule="exact"/>
        <w:rPr>
          <w:sz w:val="20"/>
          <w:szCs w:val="20"/>
          <w:color w:val="auto"/>
        </w:rPr>
      </w:pPr>
    </w:p>
    <w:p>
      <w:pPr>
        <w:jc w:val="both"/>
        <w:ind w:left="100" w:firstLine="8"/>
        <w:spacing w:after="0" w:line="287" w:lineRule="auto"/>
        <w:tabs>
          <w:tab w:leader="none" w:pos="37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Non-Disparagement. </w:t>
      </w:r>
      <w:r>
        <w:rPr>
          <w:rFonts w:ascii="Arial" w:cs="Arial" w:eastAsia="Arial" w:hAnsi="Arial"/>
          <w:sz w:val="17"/>
          <w:szCs w:val="17"/>
          <w:color w:val="auto"/>
        </w:rPr>
        <w:t>You agree not to disparage the Company, and the Company’s attorneys, directors, managers, partners, employees,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91" w:lineRule="exact"/>
        <w:rPr>
          <w:rFonts w:ascii="Arial" w:cs="Arial" w:eastAsia="Arial" w:hAnsi="Arial"/>
          <w:sz w:val="17"/>
          <w:szCs w:val="17"/>
          <w:b w:val="1"/>
          <w:bCs w:val="1"/>
          <w:color w:val="auto"/>
        </w:rPr>
      </w:pPr>
    </w:p>
    <w:p>
      <w:pPr>
        <w:jc w:val="both"/>
        <w:ind w:left="100" w:firstLine="8"/>
        <w:spacing w:after="0" w:line="276" w:lineRule="auto"/>
        <w:tabs>
          <w:tab w:leader="none" w:pos="40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208" w:lineRule="exact"/>
        <w:rPr>
          <w:rFonts w:ascii="Arial" w:cs="Arial" w:eastAsia="Arial" w:hAnsi="Arial"/>
          <w:sz w:val="18"/>
          <w:szCs w:val="18"/>
          <w:b w:val="1"/>
          <w:bCs w:val="1"/>
          <w:color w:val="auto"/>
        </w:rPr>
      </w:pPr>
    </w:p>
    <w:p>
      <w:pPr>
        <w:jc w:val="both"/>
        <w:ind w:left="100" w:firstLine="8"/>
        <w:spacing w:after="0" w:line="285" w:lineRule="auto"/>
        <w:tabs>
          <w:tab w:leader="none" w:pos="377"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214" w:lineRule="exact"/>
        <w:rPr>
          <w:rFonts w:ascii="Arial" w:cs="Arial" w:eastAsia="Arial" w:hAnsi="Arial"/>
          <w:sz w:val="17"/>
          <w:szCs w:val="17"/>
          <w:b w:val="1"/>
          <w:bCs w:val="1"/>
          <w:color w:val="auto"/>
        </w:rPr>
      </w:pPr>
    </w:p>
    <w:p>
      <w:pPr>
        <w:ind w:left="1500" w:hanging="639"/>
        <w:spacing w:after="0"/>
        <w:tabs>
          <w:tab w:leader="none" w:pos="1500" w:val="left"/>
        </w:tabs>
        <w:numPr>
          <w:ilvl w:val="1"/>
          <w:numId w:val="123"/>
        </w:numPr>
        <w:rPr>
          <w:rFonts w:ascii="Arial" w:cs="Arial" w:eastAsia="Arial" w:hAnsi="Arial"/>
          <w:sz w:val="22"/>
          <w:szCs w:val="22"/>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269" w:lineRule="exact"/>
        <w:rPr>
          <w:rFonts w:ascii="Arial" w:cs="Arial" w:eastAsia="Arial" w:hAnsi="Arial"/>
          <w:sz w:val="22"/>
          <w:szCs w:val="22"/>
          <w:color w:val="auto"/>
        </w:rPr>
      </w:pPr>
    </w:p>
    <w:p>
      <w:pPr>
        <w:ind w:left="1500" w:right="200" w:hanging="639"/>
        <w:spacing w:after="0" w:line="260" w:lineRule="auto"/>
        <w:tabs>
          <w:tab w:leader="none" w:pos="1500" w:val="left"/>
        </w:tabs>
        <w:numPr>
          <w:ilvl w:val="1"/>
          <w:numId w:val="123"/>
        </w:numPr>
        <w:rPr>
          <w:rFonts w:ascii="Arial" w:cs="Arial" w:eastAsia="Arial" w:hAnsi="Arial"/>
          <w:sz w:val="22"/>
          <w:szCs w:val="22"/>
          <w:color w:val="auto"/>
        </w:rPr>
      </w:pPr>
      <w:r>
        <w:rPr>
          <w:rFonts w:ascii="Arial" w:cs="Arial" w:eastAsia="Arial" w:hAnsi="Arial"/>
          <w:sz w:val="18"/>
          <w:szCs w:val="18"/>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17</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8" w:right="459" w:bottom="1440" w:gutter="0" w:footer="0" w:header="0"/>
        </w:sectPr>
      </w:pPr>
    </w:p>
    <w:bookmarkStart w:id="167" w:name="page168"/>
    <w:bookmarkEnd w:id="167"/>
    <w:p>
      <w:pPr>
        <w:ind w:left="1500" w:right="120"/>
        <w:spacing w:after="0" w:line="275" w:lineRule="auto"/>
        <w:rPr>
          <w:sz w:val="20"/>
          <w:szCs w:val="20"/>
          <w:color w:val="auto"/>
        </w:rPr>
      </w:pPr>
      <w:r>
        <w:rPr>
          <w:rFonts w:ascii="Arial" w:cs="Arial" w:eastAsia="Arial" w:hAnsi="Arial"/>
          <w:sz w:val="18"/>
          <w:szCs w:val="18"/>
          <w:color w:val="auto"/>
        </w:rPr>
        <w:t>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239" w:lineRule="exact"/>
        <w:rPr>
          <w:sz w:val="20"/>
          <w:szCs w:val="20"/>
          <w:color w:val="auto"/>
        </w:rPr>
      </w:pPr>
    </w:p>
    <w:p>
      <w:pPr>
        <w:ind w:left="1500" w:right="40" w:hanging="639"/>
        <w:spacing w:after="0" w:line="278" w:lineRule="auto"/>
        <w:tabs>
          <w:tab w:leader="none" w:pos="1500" w:val="left"/>
        </w:tabs>
        <w:numPr>
          <w:ilvl w:val="0"/>
          <w:numId w:val="124"/>
        </w:numPr>
        <w:rPr>
          <w:rFonts w:ascii="Arial" w:cs="Arial" w:eastAsia="Arial" w:hAnsi="Arial"/>
          <w:sz w:val="21"/>
          <w:szCs w:val="21"/>
          <w:color w:val="auto"/>
        </w:rPr>
      </w:pPr>
      <w:r>
        <w:rPr>
          <w:rFonts w:ascii="Arial" w:cs="Arial" w:eastAsia="Arial" w:hAnsi="Arial"/>
          <w:sz w:val="17"/>
          <w:szCs w:val="17"/>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230" w:lineRule="exact"/>
        <w:rPr>
          <w:rFonts w:ascii="Arial" w:cs="Arial" w:eastAsia="Arial" w:hAnsi="Arial"/>
          <w:sz w:val="21"/>
          <w:szCs w:val="21"/>
          <w:color w:val="auto"/>
        </w:rPr>
      </w:pPr>
    </w:p>
    <w:p>
      <w:pPr>
        <w:ind w:left="1500" w:right="60" w:hanging="639"/>
        <w:spacing w:after="0" w:line="300" w:lineRule="auto"/>
        <w:tabs>
          <w:tab w:leader="none" w:pos="1500" w:val="left"/>
        </w:tabs>
        <w:numPr>
          <w:ilvl w:val="0"/>
          <w:numId w:val="124"/>
        </w:numPr>
        <w:rPr>
          <w:rFonts w:ascii="Arial" w:cs="Arial" w:eastAsia="Arial" w:hAnsi="Arial"/>
          <w:sz w:val="19"/>
          <w:szCs w:val="19"/>
          <w:color w:val="auto"/>
        </w:rPr>
      </w:pPr>
      <w:r>
        <w:rPr>
          <w:rFonts w:ascii="Arial" w:cs="Arial" w:eastAsia="Arial" w:hAnsi="Arial"/>
          <w:sz w:val="16"/>
          <w:szCs w:val="16"/>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97" w:lineRule="exact"/>
        <w:rPr>
          <w:sz w:val="20"/>
          <w:szCs w:val="20"/>
          <w:color w:val="auto"/>
        </w:rPr>
      </w:pPr>
    </w:p>
    <w:p>
      <w:pPr>
        <w:ind w:left="120" w:right="120"/>
        <w:spacing w:after="0" w:line="319" w:lineRule="auto"/>
        <w:rPr>
          <w:sz w:val="20"/>
          <w:szCs w:val="20"/>
          <w:color w:val="auto"/>
        </w:rPr>
      </w:pPr>
      <w:r>
        <w:rPr>
          <w:rFonts w:ascii="Arial" w:cs="Arial" w:eastAsia="Arial" w:hAnsi="Arial"/>
          <w:sz w:val="16"/>
          <w:szCs w:val="16"/>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w:t>
      </w:r>
    </w:p>
    <w:p>
      <w:pPr>
        <w:spacing w:after="0" w:line="237" w:lineRule="exact"/>
        <w:rPr>
          <w:sz w:val="20"/>
          <w:szCs w:val="20"/>
          <w:color w:val="auto"/>
        </w:rPr>
      </w:pPr>
    </w:p>
    <w:p>
      <w:pPr>
        <w:ind w:left="120"/>
        <w:spacing w:after="0" w:line="304" w:lineRule="auto"/>
        <w:rPr>
          <w:sz w:val="20"/>
          <w:szCs w:val="20"/>
          <w:color w:val="auto"/>
        </w:rPr>
      </w:pPr>
      <w:r>
        <w:rPr>
          <w:rFonts w:ascii="Arial" w:cs="Arial" w:eastAsia="Arial" w:hAnsi="Arial"/>
          <w:sz w:val="16"/>
          <w:szCs w:val="16"/>
          <w:color w:val="auto"/>
        </w:rPr>
        <w:t>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18</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68" w:right="479" w:bottom="1440" w:gutter="0" w:footer="0" w:header="0"/>
        </w:sectPr>
      </w:pPr>
    </w:p>
    <w:bookmarkStart w:id="168" w:name="page169"/>
    <w:bookmarkEnd w:id="168"/>
    <w:p>
      <w:pPr>
        <w:jc w:val="both"/>
        <w:ind w:left="100" w:firstLine="8"/>
        <w:spacing w:after="0" w:line="303" w:lineRule="auto"/>
        <w:tabs>
          <w:tab w:leader="none" w:pos="374"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Your Acknowledgments and Affirmations/ Effective Date of Agreement. </w:t>
      </w:r>
      <w:r>
        <w:rPr>
          <w:rFonts w:ascii="Arial" w:cs="Arial" w:eastAsia="Arial" w:hAnsi="Arial"/>
          <w:sz w:val="16"/>
          <w:szCs w:val="16"/>
          <w:color w:val="auto"/>
        </w:rPr>
        <w:t>You acknowledge that you are knowingly and voluntarily waiving and</w:t>
      </w:r>
      <w:r>
        <w:rPr>
          <w:rFonts w:ascii="Arial" w:cs="Arial" w:eastAsia="Arial" w:hAnsi="Arial"/>
          <w:sz w:val="16"/>
          <w:szCs w:val="16"/>
          <w:b w:val="1"/>
          <w:bCs w:val="1"/>
          <w:color w:val="auto"/>
        </w:rPr>
        <w:t xml:space="preserve"> </w:t>
      </w:r>
      <w:r>
        <w:rPr>
          <w:rFonts w:ascii="Arial" w:cs="Arial" w:eastAsia="Arial" w:hAnsi="Arial"/>
          <w:sz w:val="16"/>
          <w:szCs w:val="16"/>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195" w:lineRule="exact"/>
        <w:rPr>
          <w:rFonts w:ascii="Arial" w:cs="Arial" w:eastAsia="Arial" w:hAnsi="Arial"/>
          <w:sz w:val="16"/>
          <w:szCs w:val="16"/>
          <w:b w:val="1"/>
          <w:bCs w:val="1"/>
          <w:color w:val="auto"/>
        </w:rPr>
      </w:pPr>
    </w:p>
    <w:p>
      <w:pPr>
        <w:jc w:val="both"/>
        <w:ind w:left="100" w:firstLine="8"/>
        <w:spacing w:after="0" w:line="281" w:lineRule="auto"/>
        <w:tabs>
          <w:tab w:leader="none" w:pos="374"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190" w:lineRule="exact"/>
        <w:rPr>
          <w:rFonts w:ascii="Arial" w:cs="Arial" w:eastAsia="Arial" w:hAnsi="Arial"/>
          <w:sz w:val="18"/>
          <w:szCs w:val="18"/>
          <w:b w:val="1"/>
          <w:bCs w:val="1"/>
          <w:color w:val="auto"/>
        </w:rPr>
      </w:pPr>
    </w:p>
    <w:p>
      <w:pPr>
        <w:jc w:val="both"/>
        <w:ind w:left="100" w:firstLine="8"/>
        <w:spacing w:after="0" w:line="270" w:lineRule="auto"/>
        <w:tabs>
          <w:tab w:leader="none" w:pos="377"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216" w:lineRule="exact"/>
        <w:rPr>
          <w:rFonts w:ascii="Arial" w:cs="Arial" w:eastAsia="Arial" w:hAnsi="Arial"/>
          <w:sz w:val="18"/>
          <w:szCs w:val="18"/>
          <w:b w:val="1"/>
          <w:bCs w:val="1"/>
          <w:color w:val="auto"/>
        </w:rPr>
      </w:pPr>
    </w:p>
    <w:p>
      <w:pPr>
        <w:jc w:val="both"/>
        <w:ind w:left="100" w:firstLine="8"/>
        <w:spacing w:after="0" w:line="287" w:lineRule="auto"/>
        <w:tabs>
          <w:tab w:leader="none" w:pos="377"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208" w:lineRule="exact"/>
        <w:rPr>
          <w:rFonts w:ascii="Arial" w:cs="Arial" w:eastAsia="Arial" w:hAnsi="Arial"/>
          <w:sz w:val="17"/>
          <w:szCs w:val="17"/>
          <w:b w:val="1"/>
          <w:bCs w:val="1"/>
          <w:color w:val="auto"/>
        </w:rPr>
      </w:pPr>
    </w:p>
    <w:p>
      <w:pPr>
        <w:jc w:val="both"/>
        <w:ind w:left="100" w:firstLine="8"/>
        <w:spacing w:after="0" w:line="266" w:lineRule="auto"/>
        <w:tabs>
          <w:tab w:leader="none" w:pos="392"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To ensure the rapid and economical resolution of disputes that may arise in connection with your employment with the Company, you and the 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4" w:right="459" w:bottom="1440" w:gutter="0" w:footer="0" w:header="0"/>
        </w:sectPr>
      </w:pPr>
    </w:p>
    <w:bookmarkStart w:id="169" w:name="page170"/>
    <w:bookmarkEnd w:id="169"/>
    <w:p>
      <w:pPr>
        <w:jc w:val="both"/>
        <w:ind w:left="100"/>
        <w:spacing w:after="0" w:line="300" w:lineRule="auto"/>
        <w:rPr>
          <w:sz w:val="20"/>
          <w:szCs w:val="20"/>
          <w:color w:val="auto"/>
        </w:rPr>
      </w:pPr>
      <w:r>
        <w:rPr>
          <w:rFonts w:ascii="Arial" w:cs="Arial" w:eastAsia="Arial" w:hAnsi="Arial"/>
          <w:sz w:val="16"/>
          <w:szCs w:val="16"/>
          <w:color w:val="auto"/>
        </w:rPr>
        <w:t xml:space="preserve">employment disputes (available upon request and also currently available at http://www.jamsadr.com/rules-employment-arbitration/). </w:t>
      </w:r>
      <w:r>
        <w:rPr>
          <w:rFonts w:ascii="Arial" w:cs="Arial" w:eastAsia="Arial" w:hAnsi="Arial"/>
          <w:sz w:val="16"/>
          <w:szCs w:val="16"/>
          <w:b w:val="1"/>
          <w:bCs w:val="1"/>
          <w:color w:val="auto"/>
        </w:rPr>
        <w:t>You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that by agreeing to this arbitration procedure, both you and the Company waive the right to resolve any such dispute through a trial by jury or judge or administrative proceeding. </w:t>
      </w:r>
      <w:r>
        <w:rPr>
          <w:rFonts w:ascii="Arial" w:cs="Arial" w:eastAsia="Arial" w:hAnsi="Arial"/>
          <w:sz w:val="16"/>
          <w:szCs w:val="16"/>
          <w:color w:val="auto"/>
        </w:rPr>
        <w:t>You will have the right to be represented by legal counsel at any arbitration proceeding. The arbitrator shall: (a)</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authority to compel adequate discovery for the resolution of the dispute and to award such relief as would otherwise be permitted by law; and</w:t>
      </w:r>
    </w:p>
    <w:p>
      <w:pPr>
        <w:spacing w:after="0" w:line="3" w:lineRule="exact"/>
        <w:rPr>
          <w:sz w:val="20"/>
          <w:szCs w:val="20"/>
          <w:color w:val="auto"/>
        </w:rPr>
      </w:pPr>
    </w:p>
    <w:p>
      <w:pPr>
        <w:jc w:val="both"/>
        <w:ind w:left="100" w:firstLine="8"/>
        <w:spacing w:after="0" w:line="314" w:lineRule="auto"/>
        <w:tabs>
          <w:tab w:leader="none" w:pos="35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86" w:lineRule="exact"/>
        <w:rPr>
          <w:sz w:val="20"/>
          <w:szCs w:val="20"/>
          <w:color w:val="auto"/>
        </w:rPr>
      </w:pPr>
    </w:p>
    <w:p>
      <w:pPr>
        <w:ind w:left="120"/>
        <w:spacing w:after="0" w:line="324"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wish you good luck in your future endeavors.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Adagio Therapeutics, Inc.</w:t>
      </w: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23495</wp:posOffset>
            </wp:positionV>
            <wp:extent cx="31375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AGREED TO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3566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20</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364" w:right="459" w:bottom="1440" w:gutter="0" w:footer="0" w:header="0"/>
        </w:sectPr>
      </w:pPr>
    </w:p>
    <w:bookmarkStart w:id="170" w:name="page171"/>
    <w:bookmarkEnd w:id="170"/>
    <w:p>
      <w:pPr>
        <w:ind w:left="4460"/>
        <w:spacing w:after="0"/>
        <w:rPr>
          <w:sz w:val="20"/>
          <w:szCs w:val="20"/>
          <w:color w:val="auto"/>
        </w:rPr>
      </w:pPr>
      <w:r>
        <w:rPr>
          <w:rFonts w:ascii="Arial" w:cs="Arial" w:eastAsia="Arial" w:hAnsi="Arial"/>
          <w:sz w:val="18"/>
          <w:szCs w:val="18"/>
          <w:b w:val="1"/>
          <w:bCs w:val="1"/>
          <w:color w:val="auto"/>
        </w:rPr>
        <w:t>CONSIDERATION PERIOD</w:t>
      </w:r>
    </w:p>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 understand that I have the right to take at least 21 days to consider whether to sign this Agreement, which I received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3810</wp:posOffset>
            </wp:positionV>
            <wp:extent cx="10566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1056640" cy="8255"/>
                    </a:xfrm>
                    <a:prstGeom prst="rect">
                      <a:avLst/>
                    </a:prstGeom>
                    <a:noFill/>
                  </pic:spPr>
                </pic:pic>
              </a:graphicData>
            </a:graphic>
          </wp:anchor>
        </w:drawing>
        <w:drawing>
          <wp:anchor simplePos="0" relativeHeight="251657728" behindDoc="1" locked="0" layoutInCell="0" allowOverlap="1">
            <wp:simplePos x="0" y="0"/>
            <wp:positionH relativeFrom="column">
              <wp:posOffset>6699250</wp:posOffset>
            </wp:positionH>
            <wp:positionV relativeFrom="paragraph">
              <wp:posOffset>3810</wp:posOffset>
            </wp:positionV>
            <wp:extent cx="16383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163830" cy="8255"/>
                    </a:xfrm>
                    <a:prstGeom prst="rect">
                      <a:avLst/>
                    </a:prstGeom>
                    <a:noFill/>
                  </pic:spPr>
                </pic:pic>
              </a:graphicData>
            </a:graphic>
          </wp:anchor>
        </w:drawing>
      </w:r>
    </w:p>
    <w:p>
      <w:pPr>
        <w:spacing w:after="0" w:line="26" w:lineRule="exact"/>
        <w:rPr>
          <w:sz w:val="20"/>
          <w:szCs w:val="20"/>
          <w:color w:val="auto"/>
        </w:rPr>
      </w:pPr>
    </w:p>
    <w:p>
      <w:pPr>
        <w:ind w:left="120" w:right="440" w:hanging="8"/>
        <w:spacing w:after="0" w:line="292" w:lineRule="auto"/>
        <w:tabs>
          <w:tab w:leader="none" w:pos="2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20 . If I elect to sign this Agreement before 21 days have passed, I understand I am to sign and date below this paragraph to confirm that I knowingly and voluntarily agree to waive the 21-day consideration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-199390</wp:posOffset>
            </wp:positionV>
            <wp:extent cx="285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35661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3566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21</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DM_US 180923310-7.115049.0011</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254193915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59055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40" w:top="432" w:right="9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Tillman U. Gerngross, certify that:</w:t>
      </w:r>
    </w:p>
    <w:p>
      <w:pPr>
        <w:spacing w:after="0" w:line="239" w:lineRule="exact"/>
        <w:rPr>
          <w:sz w:val="20"/>
          <w:szCs w:val="20"/>
          <w:color w:val="auto"/>
        </w:rPr>
      </w:pPr>
    </w:p>
    <w:p>
      <w:pPr>
        <w:ind w:left="440" w:hanging="432"/>
        <w:spacing w:after="0"/>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Adagio Therapeutics,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93" w:lineRule="auto"/>
        <w:tabs>
          <w:tab w:leader="none" w:pos="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960" w:right="380" w:hanging="443"/>
        <w:spacing w:after="0" w:line="279"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960" w:right="60" w:hanging="443"/>
        <w:spacing w:after="0" w:line="279"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480" w:val="left"/>
        </w:tabs>
        <w:rPr>
          <w:sz w:val="20"/>
          <w:szCs w:val="20"/>
          <w:color w:val="auto"/>
        </w:rPr>
      </w:pPr>
      <w:r>
        <w:rPr>
          <w:rFonts w:ascii="Arial" w:cs="Arial" w:eastAsia="Arial" w:hAnsi="Arial"/>
          <w:sz w:val="18"/>
          <w:szCs w:val="18"/>
          <w:color w:val="auto"/>
        </w:rPr>
        <w:t>Date: September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Tillman U. Gerngross, Ph.D.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Jane Pritchett Henderson</w:t>
      </w:r>
      <w:r>
        <w:rPr>
          <w:rFonts w:ascii="Arial" w:cs="Arial" w:eastAsia="Arial" w:hAnsi="Arial"/>
          <w:sz w:val="18"/>
          <w:szCs w:val="18"/>
          <w:color w:val="0000FF"/>
        </w:rPr>
        <w:t>,</w:t>
      </w:r>
      <w:r>
        <w:rPr>
          <w:rFonts w:ascii="Arial" w:cs="Arial" w:eastAsia="Arial" w:hAnsi="Arial"/>
          <w:sz w:val="18"/>
          <w:szCs w:val="18"/>
          <w:color w:val="auto"/>
        </w:rPr>
        <w:t xml:space="preserve"> certify that:</w:t>
      </w:r>
    </w:p>
    <w:p>
      <w:pPr>
        <w:spacing w:after="0" w:line="239" w:lineRule="exact"/>
        <w:rPr>
          <w:sz w:val="20"/>
          <w:szCs w:val="20"/>
          <w:color w:val="auto"/>
        </w:rPr>
      </w:pPr>
    </w:p>
    <w:p>
      <w:pPr>
        <w:ind w:left="440" w:hanging="432"/>
        <w:spacing w:after="0"/>
        <w:tabs>
          <w:tab w:leader="none" w:pos="4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Adagio Therapeutics, Inc.;</w:t>
      </w:r>
    </w:p>
    <w:p>
      <w:pPr>
        <w:spacing w:after="0" w:line="238" w:lineRule="exact"/>
        <w:rPr>
          <w:rFonts w:ascii="Arial" w:cs="Arial" w:eastAsia="Arial" w:hAnsi="Arial"/>
          <w:sz w:val="18"/>
          <w:szCs w:val="18"/>
          <w:color w:val="auto"/>
        </w:rPr>
      </w:pPr>
    </w:p>
    <w:p>
      <w:pPr>
        <w:jc w:val="both"/>
        <w:ind w:left="440" w:right="320" w:hanging="432"/>
        <w:spacing w:after="0" w:line="279" w:lineRule="auto"/>
        <w:tabs>
          <w:tab w:leader="none" w:pos="4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440" w:right="280" w:hanging="432"/>
        <w:spacing w:after="0" w:line="324" w:lineRule="auto"/>
        <w:tabs>
          <w:tab w:leader="none" w:pos="4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440" w:right="320" w:hanging="432"/>
        <w:spacing w:after="0" w:line="293" w:lineRule="auto"/>
        <w:tabs>
          <w:tab w:leader="none" w:pos="4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960" w:right="80" w:hanging="443"/>
        <w:spacing w:after="0" w:line="279" w:lineRule="auto"/>
        <w:tabs>
          <w:tab w:leader="none" w:pos="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960" w:right="560" w:hanging="443"/>
        <w:spacing w:after="0" w:line="359" w:lineRule="auto"/>
        <w:tabs>
          <w:tab w:leader="none" w:pos="9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960" w:right="60" w:hanging="443"/>
        <w:spacing w:after="0" w:line="279" w:lineRule="auto"/>
        <w:tabs>
          <w:tab w:leader="none" w:pos="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440" w:right="20" w:hanging="432"/>
        <w:spacing w:after="0" w:line="324" w:lineRule="auto"/>
        <w:tabs>
          <w:tab w:leader="none" w:pos="4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960" w:right="800" w:hanging="443"/>
        <w:spacing w:after="0" w:line="359" w:lineRule="auto"/>
        <w:tabs>
          <w:tab w:leader="none" w:pos="9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960" w:right="480" w:hanging="443"/>
        <w:spacing w:after="0" w:line="293" w:lineRule="auto"/>
        <w:tabs>
          <w:tab w:leader="none" w:pos="9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600" w:val="left"/>
        </w:tabs>
        <w:rPr>
          <w:sz w:val="20"/>
          <w:szCs w:val="20"/>
          <w:color w:val="auto"/>
        </w:rPr>
      </w:pPr>
      <w:r>
        <w:rPr>
          <w:rFonts w:ascii="Arial" w:cs="Arial" w:eastAsia="Arial" w:hAnsi="Arial"/>
          <w:sz w:val="18"/>
          <w:szCs w:val="18"/>
          <w:color w:val="auto"/>
        </w:rPr>
        <w:t>Date: September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Jane Pritchett Henderson</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In connection with the Quarterly Report of Adagio Therapeutics (the “Company”) on Form 10-Q for the period ended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60" w:hanging="443"/>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3"/>
        <w:spacing w:after="0" w:line="293"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7480" w:val="left"/>
        </w:tabs>
        <w:rPr>
          <w:sz w:val="20"/>
          <w:szCs w:val="20"/>
          <w:color w:val="auto"/>
        </w:rPr>
      </w:pPr>
      <w:r>
        <w:rPr>
          <w:rFonts w:ascii="Arial" w:cs="Arial" w:eastAsia="Arial" w:hAnsi="Arial"/>
          <w:sz w:val="18"/>
          <w:szCs w:val="18"/>
          <w:color w:val="auto"/>
        </w:rPr>
        <w:t>Date: September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Tillman U. Gerngross, Ph.D.</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40" w:firstLine="509"/>
        <w:spacing w:after="0" w:line="279" w:lineRule="auto"/>
        <w:rPr>
          <w:sz w:val="20"/>
          <w:szCs w:val="20"/>
          <w:color w:val="auto"/>
        </w:rPr>
      </w:pPr>
      <w:r>
        <w:rPr>
          <w:rFonts w:ascii="Arial" w:cs="Arial" w:eastAsia="Arial" w:hAnsi="Arial"/>
          <w:sz w:val="18"/>
          <w:szCs w:val="18"/>
          <w:color w:val="auto"/>
        </w:rPr>
        <w:t>In connection with the Quarterly Report of Adagio Therapeutics (the “Company”) on Form 10-Q for the period ended June 30, 2021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960" w:hanging="443"/>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960" w:right="680" w:hanging="443"/>
        <w:spacing w:after="0" w:line="293"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24" w:lineRule="exact"/>
        <w:rPr>
          <w:sz w:val="20"/>
          <w:szCs w:val="20"/>
          <w:color w:val="auto"/>
        </w:rPr>
      </w:pPr>
    </w:p>
    <w:p>
      <w:pPr>
        <w:ind w:left="20"/>
        <w:spacing w:after="0"/>
        <w:tabs>
          <w:tab w:leader="none" w:pos="5680" w:val="left"/>
          <w:tab w:leader="none" w:pos="7600" w:val="left"/>
        </w:tabs>
        <w:rPr>
          <w:sz w:val="20"/>
          <w:szCs w:val="20"/>
          <w:color w:val="auto"/>
        </w:rPr>
      </w:pPr>
      <w:r>
        <w:rPr>
          <w:rFonts w:ascii="Arial" w:cs="Arial" w:eastAsia="Arial" w:hAnsi="Arial"/>
          <w:sz w:val="18"/>
          <w:szCs w:val="18"/>
          <w:color w:val="auto"/>
        </w:rPr>
        <w:t>Date: September 20,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Jane Pritchett Henderson</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4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5" w:name="page176"/>
    <w:bookmarkEnd w:id="1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1."/>
      <w:numFmt w:val="decimal"/>
      <w:start w:val="2"/>
    </w:lvl>
  </w:abstractNum>
  <w:abstractNum w:abstractNumId="4">
    <w:nsid w:val="5DB70AE5"/>
    <w:multiLevelType w:val="hybridMultilevel"/>
    <w:lvl w:ilvl="0">
      <w:lvlJc w:val="left"/>
      <w:lvlText w:val="%1)"/>
      <w:numFmt w:val="decimal"/>
      <w:start w:val="606"/>
    </w:lvl>
  </w:abstractNum>
  <w:abstractNum w:abstractNumId="5">
    <w:nsid w:val="100F8FCA"/>
    <w:multiLevelType w:val="hybridMultilevel"/>
    <w:lvl w:ilvl="0">
      <w:lvlJc w:val="left"/>
      <w:lvlText w:val="%1."/>
      <w:numFmt w:val="decimal"/>
      <w:start w:val="3"/>
    </w:lvl>
  </w:abstractNum>
  <w:abstractNum w:abstractNumId="6">
    <w:nsid w:val="6590700B"/>
    <w:multiLevelType w:val="hybridMultilevel"/>
    <w:lvl w:ilvl="0">
      <w:lvlJc w:val="left"/>
      <w:lvlText w:val="•"/>
      <w:numFmt w:val="bullet"/>
      <w:start w:val="1"/>
    </w:lvl>
    <w:lvl w:ilvl="1">
      <w:lvlJc w:val="left"/>
      <w:lvlText w:val="•"/>
      <w:numFmt w:val="bullet"/>
      <w:start w:val="1"/>
    </w:lvl>
  </w:abstractNum>
  <w:abstractNum w:abstractNumId="7">
    <w:nsid w:val="15014ACB"/>
    <w:multiLevelType w:val="hybridMultilevel"/>
    <w:lvl w:ilvl="0">
      <w:lvlJc w:val="left"/>
      <w:lvlText w:val="%1."/>
      <w:numFmt w:val="decimal"/>
      <w:start w:val="6"/>
    </w:lvl>
  </w:abstractNum>
  <w:abstractNum w:abstractNumId="8">
    <w:nsid w:val="5F5E7FD0"/>
    <w:multiLevelType w:val="hybridMultilevel"/>
    <w:lvl w:ilvl="0">
      <w:lvlJc w:val="left"/>
      <w:lvlText w:val="%1."/>
      <w:numFmt w:val="decimal"/>
      <w:start w:val="7"/>
    </w:lvl>
  </w:abstractNum>
  <w:abstractNum w:abstractNumId="9">
    <w:nsid w:val="98A3148"/>
    <w:multiLevelType w:val="hybridMultilevel"/>
    <w:lvl w:ilvl="0">
      <w:lvlJc w:val="left"/>
      <w:lvlText w:val="%1."/>
      <w:numFmt w:val="decimal"/>
      <w:start w:val="10"/>
    </w:lvl>
  </w:abstractNum>
  <w:abstractNum w:abstractNumId="10">
    <w:nsid w:val="799D0247"/>
    <w:multiLevelType w:val="hybridMultilevel"/>
    <w:lvl w:ilvl="0">
      <w:lvlJc w:val="left"/>
      <w:lvlText w:val="%1."/>
      <w:numFmt w:val="decimal"/>
      <w:start w:val="19"/>
    </w:lvl>
  </w:abstractNum>
  <w:abstractNum w:abstractNumId="11">
    <w:nsid w:val="6B94764"/>
    <w:multiLevelType w:val="hybridMultilevel"/>
    <w:lvl w:ilvl="0">
      <w:lvlJc w:val="left"/>
      <w:lvlText w:val="%1."/>
      <w:numFmt w:val="decimal"/>
      <w:start w:val="382"/>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1."/>
      <w:numFmt w:val="decimal"/>
      <w:start w:val="1"/>
    </w:lvl>
    <w:lvl w:ilvl="1">
      <w:lvlJc w:val="left"/>
      <w:lvlText w:val="(%2)"/>
      <w:numFmt w:val="lowerLetter"/>
      <w:start w:val="1"/>
    </w:lvl>
  </w:abstractNum>
  <w:abstractNum w:abstractNumId="15">
    <w:nsid w:val="661E3F1E"/>
    <w:multiLevelType w:val="hybridMultilevel"/>
    <w:lvl w:ilvl="0">
      <w:lvlJc w:val="left"/>
      <w:lvlText w:val="(%1)"/>
      <w:numFmt w:val="lowerLetter"/>
      <w:start w:val="3"/>
    </w:lvl>
  </w:abstractNum>
  <w:abstractNum w:abstractNumId="16">
    <w:nsid w:val="5DC79EA8"/>
    <w:multiLevelType w:val="hybridMultilevel"/>
    <w:lvl w:ilvl="0">
      <w:lvlJc w:val="left"/>
      <w:lvlText w:val="(%1)"/>
      <w:numFmt w:val="lowerLetter"/>
      <w:start w:val="1"/>
    </w:lvl>
  </w:abstractNum>
  <w:abstractNum w:abstractNumId="17">
    <w:nsid w:val="540A471C"/>
    <w:multiLevelType w:val="hybridMultilevel"/>
    <w:lvl w:ilvl="0">
      <w:lvlJc w:val="left"/>
      <w:lvlText w:val="(%1)"/>
      <w:numFmt w:val="lowerRoman"/>
      <w:start w:val="1"/>
    </w:lvl>
  </w:abstractNum>
  <w:abstractNum w:abstractNumId="18">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Roman"/>
      <w:start w:val="1"/>
    </w:lvl>
  </w:abstractNum>
  <w:abstractNum w:abstractNumId="19">
    <w:nsid w:val="51D9C56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20">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Roman"/>
      <w:start w:val="1"/>
    </w:lvl>
  </w:abstractNum>
  <w:abstractNum w:abstractNumId="21">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lowerRoman"/>
      <w:start w:val="4"/>
    </w:lvl>
  </w:abstractNum>
  <w:abstractNum w:abstractNumId="22">
    <w:nsid w:val="11447B73"/>
    <w:multiLevelType w:val="hybridMultilevel"/>
    <w:lvl w:ilvl="0">
      <w:lvlJc w:val="left"/>
      <w:lvlText w:val="(%1)"/>
      <w:numFmt w:val="lowerRoman"/>
      <w:start w:val="5"/>
    </w:lvl>
  </w:abstractNum>
  <w:abstractNum w:abstractNumId="23">
    <w:nsid w:val="42963E5A"/>
    <w:multiLevelType w:val="hybridMultilevel"/>
    <w:lvl w:ilvl="0">
      <w:lvlJc w:val="left"/>
      <w:lvlText w:val="(%1)"/>
      <w:numFmt w:val="lowerRoman"/>
      <w:start w:val="6"/>
    </w:lvl>
  </w:abstractNum>
  <w:abstractNum w:abstractNumId="24">
    <w:nsid w:val="A0382C5"/>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5">
    <w:nsid w:val="8F2B15E"/>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26">
    <w:nsid w:val="1A32234B"/>
    <w:multiLevelType w:val="hybridMultilevel"/>
    <w:lvl w:ilvl="0">
      <w:lvlJc w:val="left"/>
      <w:lvlText w:val="(%1)"/>
      <w:numFmt w:val="lowerRoman"/>
      <w:start w:val="2"/>
    </w:lvl>
  </w:abstractNum>
  <w:abstractNum w:abstractNumId="27">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8">
    <w:nsid w:val="68EB2F6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9">
    <w:nsid w:val="4962813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0">
    <w:nsid w:val="60B6DF70"/>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4"/>
    </w:lvl>
  </w:abstractNum>
  <w:abstractNum w:abstractNumId="31">
    <w:nsid w:val="6A5EE64"/>
    <w:multiLevelType w:val="hybridMultilevel"/>
    <w:lvl w:ilvl="0">
      <w:lvlJc w:val="left"/>
      <w:lvlText w:val="%1"/>
      <w:numFmt w:val="decimal"/>
      <w:start w:val="1"/>
    </w:lvl>
    <w:lvl w:ilvl="1">
      <w:lvlJc w:val="left"/>
      <w:lvlText w:val="%2."/>
      <w:numFmt w:val="decimal"/>
      <w:start w:val="6"/>
    </w:lvl>
  </w:abstractNum>
  <w:abstractNum w:abstractNumId="32">
    <w:nsid w:val="14330624"/>
    <w:multiLevelType w:val="hybridMultilevel"/>
    <w:lvl w:ilvl="0">
      <w:lvlJc w:val="left"/>
      <w:lvlText w:val="(%1)"/>
      <w:numFmt w:val="decimal"/>
      <w:start w:val="12"/>
    </w:lvl>
    <w:lvl w:ilvl="1">
      <w:lvlJc w:val="left"/>
      <w:lvlText w:val="%2"/>
      <w:numFmt w:val="decimal"/>
      <w:start w:val="1"/>
    </w:lvl>
  </w:abstractNum>
  <w:abstractNum w:abstractNumId="33">
    <w:nsid w:val="7FFFCA1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4">
    <w:nsid w:val="1A27709E"/>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2"/>
    </w:lvl>
  </w:abstractNum>
  <w:abstractNum w:abstractNumId="35">
    <w:nsid w:val="71EA1109"/>
    <w:multiLevelType w:val="hybridMultilevel"/>
    <w:lvl w:ilvl="0">
      <w:lvlJc w:val="left"/>
      <w:lvlText w:val="(%1)"/>
      <w:numFmt w:val="lowerLetter"/>
      <w:start w:val="3"/>
    </w:lvl>
    <w:lvl w:ilvl="1">
      <w:lvlJc w:val="left"/>
      <w:lvlText w:val="(%2)"/>
      <w:numFmt w:val="lowerLetter"/>
      <w:start w:val="4"/>
    </w:lvl>
  </w:abstractNum>
  <w:abstractNum w:abstractNumId="36">
    <w:nsid w:val="100F59D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2"/>
    </w:lvl>
  </w:abstractNum>
  <w:abstractNum w:abstractNumId="37">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8">
    <w:nsid w:val="6EB5BD4"/>
    <w:multiLevelType w:val="hybridMultilevel"/>
    <w:lvl w:ilvl="0">
      <w:lvlJc w:val="left"/>
      <w:lvlText w:val="%1"/>
      <w:numFmt w:val="decimal"/>
      <w:start w:val="1"/>
    </w:lvl>
    <w:lvl w:ilvl="1">
      <w:lvlJc w:val="left"/>
      <w:lvlText w:val="(%2)"/>
      <w:numFmt w:val="lowerLetter"/>
      <w:start w:val="2"/>
    </w:lvl>
  </w:abstractNum>
  <w:abstractNum w:abstractNumId="39">
    <w:nsid w:val="6F6DD9AC"/>
    <w:multiLevelType w:val="hybridMultilevel"/>
    <w:lvl w:ilvl="0">
      <w:lvlJc w:val="left"/>
      <w:lvlText w:val="%1."/>
      <w:numFmt w:val="decimal"/>
      <w:start w:val="9"/>
    </w:lvl>
    <w:lvl w:ilvl="1">
      <w:lvlJc w:val="left"/>
      <w:lvlText w:val="(%2)"/>
      <w:numFmt w:val="lowerLetter"/>
      <w:start w:val="1"/>
    </w:lvl>
  </w:abstractNum>
  <w:abstractNum w:abstractNumId="40">
    <w:nsid w:val="94211F2"/>
    <w:multiLevelType w:val="hybridMultilevel"/>
    <w:lvl w:ilvl="0">
      <w:lvlJc w:val="left"/>
      <w:lvlText w:val="%1"/>
      <w:numFmt w:val="decimal"/>
      <w:start w:val="1"/>
    </w:lvl>
    <w:lvl w:ilvl="1">
      <w:lvlJc w:val="left"/>
      <w:lvlText w:val="(%2)"/>
      <w:numFmt w:val="lowerLetter"/>
      <w:start w:val="3"/>
    </w:lvl>
  </w:abstractNum>
  <w:abstractNum w:abstractNumId="41">
    <w:nsid w:val="885E1B"/>
    <w:multiLevelType w:val="hybridMultilevel"/>
    <w:lvl w:ilvl="0">
      <w:lvlJc w:val="left"/>
      <w:lvlText w:val="%1."/>
      <w:numFmt w:val="decimal"/>
      <w:start w:val="10"/>
    </w:lvl>
    <w:lvl w:ilvl="1">
      <w:lvlJc w:val="left"/>
      <w:lvlText w:val="%2"/>
      <w:numFmt w:val="lowerLetter"/>
      <w:start w:val="1"/>
    </w:lvl>
  </w:abstractNum>
  <w:abstractNum w:abstractNumId="42">
    <w:nsid w:val="76272110"/>
    <w:multiLevelType w:val="hybridMultilevel"/>
    <w:lvl w:ilvl="0">
      <w:lvlJc w:val="left"/>
      <w:lvlText w:val="%1"/>
      <w:numFmt w:val="lowerRoman"/>
      <w:start w:val="1"/>
    </w:lvl>
    <w:lvl w:ilvl="1">
      <w:lvlJc w:val="left"/>
      <w:lvlText w:val="%2."/>
      <w:numFmt w:val="decimal"/>
      <w:start w:val="14"/>
    </w:lvl>
  </w:abstractNum>
  <w:abstractNum w:abstractNumId="43">
    <w:nsid w:val="4C04A8AF"/>
    <w:multiLevelType w:val="hybridMultilevel"/>
    <w:lvl w:ilvl="0">
      <w:lvlJc w:val="left"/>
      <w:lvlText w:val="(%1)"/>
      <w:numFmt w:val="lowerRoman"/>
      <w:start w:val="1"/>
    </w:lvl>
    <w:lvl w:ilvl="1">
      <w:lvlJc w:val="left"/>
      <w:lvlText w:val="%2."/>
      <w:numFmt w:val="decimal"/>
      <w:start w:val="18"/>
    </w:lvl>
  </w:abstractNum>
  <w:abstractNum w:abstractNumId="44">
    <w:nsid w:val="1716703B"/>
    <w:multiLevelType w:val="hybridMultilevel"/>
    <w:lvl w:ilvl="0">
      <w:lvlJc w:val="left"/>
      <w:lvlText w:val="%1."/>
      <w:numFmt w:val="decimal"/>
      <w:start w:val="20"/>
    </w:lvl>
    <w:lvl w:ilvl="1">
      <w:lvlJc w:val="left"/>
      <w:lvlText w:val="(%2)"/>
      <w:numFmt w:val="lowerLetter"/>
      <w:start w:val="1"/>
    </w:lvl>
  </w:abstractNum>
  <w:abstractNum w:abstractNumId="45">
    <w:nsid w:val="14E17E33"/>
    <w:multiLevelType w:val="hybridMultilevel"/>
    <w:lvl w:ilvl="0">
      <w:lvlJc w:val="left"/>
      <w:lvlText w:val="%1."/>
      <w:numFmt w:val="decimal"/>
      <w:start w:val="24"/>
    </w:lvl>
  </w:abstractNum>
  <w:abstractNum w:abstractNumId="46">
    <w:nsid w:val="3222E7CD"/>
    <w:multiLevelType w:val="hybridMultilevel"/>
    <w:lvl w:ilvl="0">
      <w:lvlJc w:val="left"/>
      <w:lvlText w:val="%1."/>
      <w:numFmt w:val="decimal"/>
      <w:start w:val="1"/>
    </w:lvl>
  </w:abstractNum>
  <w:abstractNum w:abstractNumId="47">
    <w:nsid w:val="74DE0EE3"/>
    <w:multiLevelType w:val="hybridMultilevel"/>
    <w:lvl w:ilvl="0">
      <w:lvlJc w:val="left"/>
      <w:lvlText w:val="%1."/>
      <w:numFmt w:val="decimal"/>
      <w:start w:val="5"/>
    </w:lvl>
  </w:abstractNum>
  <w:abstractNum w:abstractNumId="48">
    <w:nsid w:val="68EBC550"/>
    <w:multiLevelType w:val="hybridMultilevel"/>
    <w:lvl w:ilvl="0">
      <w:lvlJc w:val="left"/>
      <w:lvlText w:val="%1."/>
      <w:numFmt w:val="decimal"/>
      <w:start w:val="7"/>
    </w:lvl>
    <w:lvl w:ilvl="1">
      <w:lvlJc w:val="left"/>
      <w:lvlText w:val="%2)"/>
      <w:numFmt w:val="lowerLetter"/>
      <w:start w:val="1"/>
    </w:lvl>
  </w:abstractNum>
  <w:abstractNum w:abstractNumId="49">
    <w:nsid w:val="2DF6D648"/>
    <w:multiLevelType w:val="hybridMultilevel"/>
    <w:lvl w:ilvl="0">
      <w:lvlJc w:val="left"/>
      <w:lvlText w:val="%1."/>
      <w:numFmt w:val="decimal"/>
      <w:start w:val="12"/>
    </w:lvl>
    <w:lvl w:ilvl="1">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1."/>
      <w:numFmt w:val="decimal"/>
      <w:start w:val="15"/>
    </w:lvl>
  </w:abstractNum>
  <w:abstractNum w:abstractNumId="52">
    <w:nsid w:val="39EE015C"/>
    <w:multiLevelType w:val="hybridMultilevel"/>
    <w:lvl w:ilvl="0">
      <w:lvlJc w:val="left"/>
      <w:lvlText w:val="%1."/>
      <w:numFmt w:val="decimal"/>
      <w:start w:val="16"/>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1."/>
      <w:numFmt w:val="decimal"/>
      <w:start w:val="1"/>
    </w:lvl>
  </w:abstractNum>
  <w:abstractNum w:abstractNumId="55">
    <w:nsid w:val="43F18422"/>
    <w:multiLevelType w:val="hybridMultilevel"/>
    <w:lvl w:ilvl="0">
      <w:lvlJc w:val="left"/>
      <w:lvlText w:val="%1."/>
      <w:numFmt w:val="decimal"/>
      <w:start w:val="3"/>
    </w:lvl>
  </w:abstractNum>
  <w:abstractNum w:abstractNumId="56">
    <w:nsid w:val="60EF0119"/>
    <w:multiLevelType w:val="hybridMultilevel"/>
    <w:lvl w:ilvl="0">
      <w:lvlJc w:val="left"/>
      <w:lvlText w:val="%1."/>
      <w:numFmt w:val="decimal"/>
      <w:start w:val="6"/>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lowerLetter"/>
      <w:start w:val="1"/>
    </w:lvl>
    <w:lvl w:ilvl="1">
      <w:lvlJc w:val="left"/>
      <w:lvlText w:val="(%2)"/>
      <w:numFmt w:val="lowerLetter"/>
      <w:start w:val="3"/>
    </w:lvl>
  </w:abstractNum>
  <w:abstractNum w:abstractNumId="59">
    <w:nsid w:val="49DA307D"/>
    <w:multiLevelType w:val="hybridMultilevel"/>
    <w:lvl w:ilvl="0">
      <w:lvlJc w:val="left"/>
      <w:lvlText w:val="(%1)"/>
      <w:numFmt w:val="lowerLetter"/>
      <w:start w:val="9"/>
    </w:lvl>
    <w:lvl w:ilvl="1">
      <w:lvlJc w:val="left"/>
      <w:lvlText w:val="%2"/>
      <w:numFmt w:val="lowerLetter"/>
      <w:start w:val="1"/>
    </w:lvl>
  </w:abstractNum>
  <w:abstractNum w:abstractNumId="60">
    <w:nsid w:val="7055A5F5"/>
    <w:multiLevelType w:val="hybridMultilevel"/>
    <w:lvl w:ilvl="0">
      <w:lvlJc w:val="left"/>
      <w:lvlText w:val="(%1)"/>
      <w:numFmt w:val="lowerLetter"/>
      <w:start w:val="2"/>
    </w:lvl>
  </w:abstractNum>
  <w:abstractNum w:abstractNumId="61">
    <w:nsid w:val="5FB8370B"/>
    <w:multiLevelType w:val="hybridMultilevel"/>
    <w:lvl w:ilvl="0">
      <w:lvlJc w:val="left"/>
      <w:lvlText w:val="(%1)"/>
      <w:numFmt w:val="lowerLetter"/>
      <w:start w:val="1"/>
    </w:lvl>
  </w:abstractNum>
  <w:abstractNum w:abstractNumId="62">
    <w:nsid w:val="50801EE1"/>
    <w:multiLevelType w:val="hybridMultilevel"/>
    <w:lvl w:ilvl="0">
      <w:lvlJc w:val="left"/>
      <w:lvlText w:val="%1"/>
      <w:numFmt w:val="decimal"/>
      <w:start w:val="1"/>
    </w:lvl>
    <w:lvl w:ilvl="1">
      <w:lvlJc w:val="left"/>
      <w:lvlText w:val="(%2)"/>
      <w:numFmt w:val="lowerLetter"/>
      <w:start w:val="2"/>
    </w:lvl>
  </w:abstractNum>
  <w:abstractNum w:abstractNumId="63">
    <w:nsid w:val="488AC1A"/>
    <w:multiLevelType w:val="hybridMultilevel"/>
    <w:lvl w:ilvl="0">
      <w:lvlJc w:val="left"/>
      <w:lvlText w:val="%1."/>
      <w:numFmt w:val="decimal"/>
      <w:start w:val="7"/>
    </w:lvl>
    <w:lvl w:ilvl="1">
      <w:lvlJc w:val="left"/>
      <w:lvlText w:val="%2"/>
      <w:numFmt w:val="lowerLetter"/>
      <w:start w:val="1"/>
    </w:lvl>
  </w:abstractNum>
  <w:abstractNum w:abstractNumId="64">
    <w:nsid w:val="5FB8011C"/>
    <w:multiLevelType w:val="hybridMultilevel"/>
    <w:lvl w:ilvl="0">
      <w:lvlJc w:val="left"/>
      <w:lvlText w:val="%1"/>
      <w:numFmt w:val="decimal"/>
      <w:start w:val="1"/>
    </w:lvl>
    <w:lvl w:ilvl="1">
      <w:lvlJc w:val="left"/>
      <w:lvlText w:val="(%2)"/>
      <w:numFmt w:val="lowerLetter"/>
      <w:start w:val="1"/>
    </w:lvl>
  </w:abstractNum>
  <w:abstractNum w:abstractNumId="65">
    <w:nsid w:val="6AA78F7F"/>
    <w:multiLevelType w:val="hybridMultilevel"/>
    <w:lvl w:ilvl="0">
      <w:lvlJc w:val="left"/>
      <w:lvlText w:val="(%1)"/>
      <w:numFmt w:val="decimal"/>
      <w:start w:val="1"/>
    </w:lvl>
    <w:lvl w:ilvl="1">
      <w:lvlJc w:val="left"/>
      <w:lvlText w:val="(%2)"/>
      <w:numFmt w:val="lowerLetter"/>
      <w:start w:val="2"/>
    </w:lvl>
  </w:abstractNum>
  <w:abstractNum w:abstractNumId="66">
    <w:nsid w:val="7672BD23"/>
    <w:multiLevelType w:val="hybridMultilevel"/>
    <w:lvl w:ilvl="0">
      <w:lvlJc w:val="left"/>
      <w:lvlText w:val="%1."/>
      <w:numFmt w:val="decimal"/>
      <w:start w:val="1"/>
    </w:lvl>
    <w:lvl w:ilvl="1">
      <w:lvlJc w:val="left"/>
      <w:lvlText w:val="(%2)"/>
      <w:numFmt w:val="lowerLetter"/>
      <w:start w:val="1"/>
    </w:lvl>
  </w:abstractNum>
  <w:abstractNum w:abstractNumId="67">
    <w:nsid w:val="6FC75AF8"/>
    <w:multiLevelType w:val="hybridMultilevel"/>
    <w:lvl w:ilvl="0">
      <w:lvlJc w:val="left"/>
      <w:lvlText w:val="(%1)"/>
      <w:numFmt w:val="lowerLetter"/>
      <w:start w:val="3"/>
    </w:lvl>
  </w:abstractNum>
  <w:abstractNum w:abstractNumId="68">
    <w:nsid w:val="6A5F7029"/>
    <w:multiLevelType w:val="hybridMultilevel"/>
    <w:lvl w:ilvl="0">
      <w:lvlJc w:val="left"/>
      <w:lvlText w:val="(%1)"/>
      <w:numFmt w:val="lowerLetter"/>
      <w:start w:val="1"/>
    </w:lvl>
    <w:lvl w:ilvl="1">
      <w:lvlJc w:val="left"/>
      <w:lvlText w:val="(%2)"/>
      <w:numFmt w:val="lowerRoman"/>
      <w:start w:val="1"/>
    </w:lvl>
  </w:abstractNum>
  <w:abstractNum w:abstractNumId="69">
    <w:nsid w:val="7D5E18F8"/>
    <w:multiLevelType w:val="hybridMultilevel"/>
    <w:lvl w:ilvl="0">
      <w:lvlJc w:val="left"/>
      <w:lvlText w:val="(%1)"/>
      <w:numFmt w:val="lowerLetter"/>
      <w:start w:val="8"/>
    </w:lvl>
    <w:lvl w:ilvl="1">
      <w:lvlJc w:val="left"/>
      <w:lvlText w:val="(%2)"/>
      <w:numFmt w:val="lowerRoman"/>
      <w:start w:val="1"/>
    </w:lvl>
  </w:abstractNum>
  <w:abstractNum w:abstractNumId="70">
    <w:nsid w:val="5F3534A4"/>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71">
    <w:nsid w:val="73A1821B"/>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1"/>
    </w:lvl>
  </w:abstractNum>
  <w:abstractNum w:abstractNumId="72">
    <w:nsid w:val="7DE67713"/>
    <w:multiLevelType w:val="hybridMultilevel"/>
    <w:lvl w:ilvl="0">
      <w:lvlJc w:val="left"/>
      <w:lvlText w:val="(%1)"/>
      <w:numFmt w:val="lowerRoman"/>
      <w:start w:val="3"/>
    </w:lvl>
  </w:abstractNum>
  <w:abstractNum w:abstractNumId="73">
    <w:nsid w:val="555C55B5"/>
    <w:multiLevelType w:val="hybridMultilevel"/>
    <w:lvl w:ilvl="0">
      <w:lvlJc w:val="left"/>
      <w:lvlText w:val="%1."/>
      <w:numFmt w:val="decimal"/>
      <w:start w:val="3"/>
    </w:lvl>
    <w:lvl w:ilvl="1">
      <w:lvlJc w:val="left"/>
      <w:lvlText w:val="(%2)"/>
      <w:numFmt w:val="lowerLetter"/>
      <w:start w:val="1"/>
    </w:lvl>
  </w:abstractNum>
  <w:abstractNum w:abstractNumId="74">
    <w:nsid w:val="3FA62ACA"/>
    <w:multiLevelType w:val="hybridMultilevel"/>
    <w:lvl w:ilvl="0">
      <w:lvlJc w:val="left"/>
      <w:lvlText w:val="%1"/>
      <w:numFmt w:val="decimal"/>
      <w:start w:val="1"/>
    </w:lvl>
    <w:lvl w:ilvl="1">
      <w:lvlJc w:val="left"/>
      <w:lvlText w:val="(%2)"/>
      <w:numFmt w:val="lowerLetter"/>
      <w:start w:val="1"/>
    </w:lvl>
  </w:abstractNum>
  <w:abstractNum w:abstractNumId="75">
    <w:nsid w:val="14FCE74E"/>
    <w:multiLevelType w:val="hybridMultilevel"/>
    <w:lvl w:ilvl="0">
      <w:lvlJc w:val="left"/>
      <w:lvlText w:val="%1."/>
      <w:numFmt w:val="decimal"/>
      <w:start w:val="5"/>
    </w:lvl>
    <w:lvl w:ilvl="1">
      <w:lvlJc w:val="left"/>
      <w:lvlText w:val="%2"/>
      <w:numFmt w:val="lowerLetter"/>
      <w:start w:val="1"/>
    </w:lvl>
  </w:abstractNum>
  <w:abstractNum w:abstractNumId="76">
    <w:nsid w:val="6A3DD3E8"/>
    <w:multiLevelType w:val="hybridMultilevel"/>
    <w:lvl w:ilvl="0">
      <w:lvlJc w:val="left"/>
      <w:lvlText w:val="%1"/>
      <w:numFmt w:val="upperLetter"/>
      <w:start w:val="1"/>
    </w:lvl>
    <w:lvl w:ilvl="1">
      <w:lvlJc w:val="left"/>
      <w:lvlText w:val="(%2)"/>
      <w:numFmt w:val="lowerLetter"/>
      <w:start w:val="1"/>
    </w:lvl>
  </w:abstractNum>
  <w:abstractNum w:abstractNumId="77">
    <w:nsid w:val="71C91298"/>
    <w:multiLevelType w:val="hybridMultilevel"/>
    <w:lvl w:ilvl="0">
      <w:lvlJc w:val="left"/>
      <w:lvlText w:val="(%1)"/>
      <w:numFmt w:val="upperLetter"/>
      <w:start w:val="1"/>
    </w:lvl>
    <w:lvl w:ilvl="1">
      <w:lvlJc w:val="left"/>
      <w:lvlText w:val="(%2)"/>
      <w:numFmt w:val="lowerLetter"/>
      <w:start w:val="4"/>
    </w:lvl>
  </w:abstractNum>
  <w:abstractNum w:abstractNumId="78">
    <w:nsid w:val="9DAF632"/>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79">
    <w:nsid w:val="53299938"/>
    <w:multiLevelType w:val="hybridMultilevel"/>
    <w:lvl w:ilvl="0">
      <w:lvlJc w:val="left"/>
      <w:lvlText w:val="(%1)"/>
      <w:numFmt w:val="decimal"/>
      <w:start w:val="2"/>
    </w:lvl>
    <w:lvl w:ilvl="1">
      <w:lvlJc w:val="left"/>
      <w:lvlText w:val="%2."/>
      <w:numFmt w:val="decimal"/>
      <w:start w:val="7"/>
    </w:lvl>
    <w:lvl w:ilvl="2">
      <w:lvlJc w:val="left"/>
      <w:lvlText w:val="(%3)"/>
      <w:numFmt w:val="lowerLetter"/>
      <w:start w:val="1"/>
    </w:lvl>
  </w:abstractNum>
  <w:abstractNum w:abstractNumId="80">
    <w:nsid w:val="1FBFE8E0"/>
    <w:multiLevelType w:val="hybridMultilevel"/>
    <w:lvl w:ilvl="0">
      <w:lvlJc w:val="left"/>
      <w:lvlText w:val="%1"/>
      <w:numFmt w:val="decimal"/>
      <w:start w:val="1"/>
    </w:lvl>
    <w:lvl w:ilvl="1">
      <w:lvlJc w:val="left"/>
      <w:lvlText w:val="(%2)"/>
      <w:numFmt w:val="lowerLetter"/>
      <w:start w:val="2"/>
    </w:lvl>
  </w:abstractNum>
  <w:abstractNum w:abstractNumId="81">
    <w:nsid w:val="5092CA79"/>
    <w:multiLevelType w:val="hybridMultilevel"/>
    <w:lvl w:ilvl="0">
      <w:lvlJc w:val="left"/>
      <w:lvlText w:val="%1."/>
      <w:numFmt w:val="decimal"/>
      <w:start w:val="8"/>
    </w:lvl>
    <w:lvl w:ilvl="1">
      <w:lvlJc w:val="left"/>
      <w:lvlText w:val="(%2)"/>
      <w:numFmt w:val="lowerLetter"/>
      <w:start w:val="1"/>
    </w:lvl>
  </w:abstractNum>
  <w:abstractNum w:abstractNumId="82">
    <w:nsid w:val="1D545C4D"/>
    <w:multiLevelType w:val="hybridMultilevel"/>
    <w:lvl w:ilvl="0">
      <w:lvlJc w:val="left"/>
      <w:lvlText w:val="%1"/>
      <w:numFmt w:val="decimal"/>
      <w:start w:val="1"/>
    </w:lvl>
    <w:lvl w:ilvl="1">
      <w:lvlJc w:val="left"/>
      <w:lvlText w:val="(%2)"/>
      <w:numFmt w:val="lowerLetter"/>
      <w:start w:val="3"/>
    </w:lvl>
  </w:abstractNum>
  <w:abstractNum w:abstractNumId="83">
    <w:nsid w:val="59ADEA3D"/>
    <w:multiLevelType w:val="hybridMultilevel"/>
    <w:lvl w:ilvl="0">
      <w:lvlJc w:val="left"/>
      <w:lvlText w:val="%1."/>
      <w:numFmt w:val="decimal"/>
      <w:start w:val="9"/>
    </w:lvl>
    <w:lvl w:ilvl="1">
      <w:lvlJc w:val="left"/>
      <w:lvlText w:val="%2"/>
      <w:numFmt w:val="lowerLetter"/>
      <w:start w:val="1"/>
    </w:lvl>
  </w:abstractNum>
  <w:abstractNum w:abstractNumId="84">
    <w:nsid w:val="288F1A34"/>
    <w:multiLevelType w:val="hybridMultilevel"/>
    <w:lvl w:ilvl="0">
      <w:lvlJc w:val="left"/>
      <w:lvlText w:val="%1."/>
      <w:numFmt w:val="decimal"/>
      <w:start w:val="10"/>
    </w:lvl>
  </w:abstractNum>
  <w:abstractNum w:abstractNumId="85">
    <w:nsid w:val="2A155DBC"/>
    <w:multiLevelType w:val="hybridMultilevel"/>
    <w:lvl w:ilvl="0">
      <w:lvlJc w:val="left"/>
      <w:lvlText w:val="%1"/>
      <w:numFmt w:val="lowerRoman"/>
      <w:start w:val="1"/>
    </w:lvl>
    <w:lvl w:ilvl="1">
      <w:lvlJc w:val="left"/>
      <w:lvlText w:val="%2."/>
      <w:numFmt w:val="decimal"/>
      <w:start w:val="13"/>
    </w:lvl>
  </w:abstractNum>
  <w:abstractNum w:abstractNumId="86">
    <w:nsid w:val="1D9F6E5F"/>
    <w:multiLevelType w:val="hybridMultilevel"/>
    <w:lvl w:ilvl="0">
      <w:lvlJc w:val="left"/>
      <w:lvlText w:val="(%1)"/>
      <w:numFmt w:val="lowerRoman"/>
      <w:start w:val="2"/>
    </w:lvl>
    <w:lvl w:ilvl="1">
      <w:lvlJc w:val="left"/>
      <w:lvlText w:val="%2."/>
      <w:numFmt w:val="decimal"/>
      <w:start w:val="19"/>
    </w:lvl>
  </w:abstractNum>
  <w:abstractNum w:abstractNumId="87">
    <w:nsid w:val="97E1B4E"/>
    <w:multiLevelType w:val="hybridMultilevel"/>
    <w:lvl w:ilvl="0">
      <w:lvlJc w:val="left"/>
      <w:lvlText w:val="%1."/>
      <w:numFmt w:val="decimal"/>
      <w:start w:val="20"/>
    </w:lvl>
    <w:lvl w:ilvl="1">
      <w:lvlJc w:val="left"/>
      <w:lvlText w:val="(%2)"/>
      <w:numFmt w:val="lowerLetter"/>
      <w:start w:val="1"/>
    </w:lvl>
  </w:abstractNum>
  <w:abstractNum w:abstractNumId="88">
    <w:nsid w:val="51088277"/>
    <w:multiLevelType w:val="hybridMultilevel"/>
    <w:lvl w:ilvl="0">
      <w:lvlJc w:val="left"/>
      <w:lvlText w:val="%1."/>
      <w:numFmt w:val="decimal"/>
      <w:start w:val="23"/>
    </w:lvl>
  </w:abstractNum>
  <w:abstractNum w:abstractNumId="89">
    <w:nsid w:val="1CA0C5FA"/>
    <w:multiLevelType w:val="hybridMultilevel"/>
    <w:lvl w:ilvl="0">
      <w:lvlJc w:val="left"/>
      <w:lvlText w:val="%1."/>
      <w:numFmt w:val="decimal"/>
      <w:start w:val="1"/>
    </w:lvl>
  </w:abstractNum>
  <w:abstractNum w:abstractNumId="90">
    <w:nsid w:val="53584BCB"/>
    <w:multiLevelType w:val="hybridMultilevel"/>
    <w:lvl w:ilvl="0">
      <w:lvlJc w:val="left"/>
      <w:lvlText w:val="%1."/>
      <w:numFmt w:val="decimal"/>
      <w:start w:val="6"/>
    </w:lvl>
  </w:abstractNum>
  <w:abstractNum w:abstractNumId="91">
    <w:nsid w:val="415E286C"/>
    <w:multiLevelType w:val="hybridMultilevel"/>
    <w:lvl w:ilvl="0">
      <w:lvlJc w:val="left"/>
      <w:lvlText w:val="(%1)"/>
      <w:numFmt w:val="lowerLetter"/>
      <w:start w:val="1"/>
    </w:lvl>
  </w:abstractNum>
  <w:abstractNum w:abstractNumId="92">
    <w:nsid w:val="7C58FD05"/>
    <w:multiLevelType w:val="hybridMultilevel"/>
    <w:lvl w:ilvl="0">
      <w:lvlJc w:val="left"/>
      <w:lvlText w:val="%1."/>
      <w:numFmt w:val="decimal"/>
      <w:start w:val="11"/>
    </w:lvl>
  </w:abstractNum>
  <w:abstractNum w:abstractNumId="93">
    <w:nsid w:val="23D86AAC"/>
    <w:multiLevelType w:val="hybridMultilevel"/>
    <w:lvl w:ilvl="0">
      <w:lvlJc w:val="left"/>
      <w:lvlText w:val="%1."/>
      <w:numFmt w:val="decimal"/>
      <w:start w:val="12"/>
    </w:lvl>
  </w:abstractNum>
  <w:abstractNum w:abstractNumId="94">
    <w:nsid w:val="45E6D486"/>
    <w:multiLevelType w:val="hybridMultilevel"/>
    <w:lvl w:ilvl="0">
      <w:lvlJc w:val="left"/>
      <w:lvlText w:val="%1."/>
      <w:numFmt w:val="decimal"/>
      <w:start w:val="14"/>
    </w:lvl>
  </w:abstractNum>
  <w:abstractNum w:abstractNumId="95">
    <w:nsid w:val="5C10FE21"/>
    <w:multiLevelType w:val="hybridMultilevel"/>
    <w:lvl w:ilvl="0">
      <w:lvlJc w:val="left"/>
      <w:lvlText w:val="%1."/>
      <w:numFmt w:val="decimal"/>
      <w:start w:val="15"/>
    </w:lvl>
  </w:abstractNum>
  <w:abstractNum w:abstractNumId="96">
    <w:nsid w:val="E7FFA2B"/>
    <w:multiLevelType w:val="hybridMultilevel"/>
    <w:lvl w:ilvl="0">
      <w:lvlJc w:val="left"/>
      <w:lvlText w:val=","/>
      <w:numFmt w:val="bullet"/>
      <w:start w:val="1"/>
    </w:lvl>
  </w:abstractNum>
  <w:abstractNum w:abstractNumId="97">
    <w:nsid w:val="3C5991AA"/>
    <w:multiLevelType w:val="hybridMultilevel"/>
    <w:lvl w:ilvl="0">
      <w:lvlJc w:val="left"/>
      <w:lvlText w:val="%1."/>
      <w:numFmt w:val="decimal"/>
      <w:start w:val="1"/>
    </w:lvl>
    <w:lvl w:ilvl="1">
      <w:lvlJc w:val="left"/>
      <w:lvlText w:val="(%2)"/>
      <w:numFmt w:val="lowerLetter"/>
      <w:start w:val="1"/>
    </w:lvl>
  </w:abstractNum>
  <w:abstractNum w:abstractNumId="98">
    <w:nsid w:val="4BD8591A"/>
    <w:multiLevelType w:val="hybridMultilevel"/>
    <w:lvl w:ilvl="0">
      <w:lvlJc w:val="left"/>
      <w:lvlText w:val="(%1)"/>
      <w:numFmt w:val="lowerLetter"/>
      <w:start w:val="3"/>
    </w:lvl>
  </w:abstractNum>
  <w:abstractNum w:abstractNumId="99">
    <w:nsid w:val="78DF6A55"/>
    <w:multiLevelType w:val="hybridMultilevel"/>
    <w:lvl w:ilvl="0">
      <w:lvlJc w:val="left"/>
      <w:lvlText w:val="(%1)"/>
      <w:numFmt w:val="lowerLetter"/>
      <w:start w:val="1"/>
    </w:lvl>
    <w:lvl w:ilvl="1">
      <w:lvlJc w:val="left"/>
      <w:lvlText w:val="(%2)"/>
      <w:numFmt w:val="lowerLetter"/>
      <w:start w:val="9"/>
    </w:lvl>
  </w:abstractNum>
  <w:abstractNum w:abstractNumId="100">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1">
    <w:nsid w:val="2B0D8DB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02">
    <w:nsid w:val="6C80EC70"/>
    <w:multiLevelType w:val="hybridMultilevel"/>
    <w:lvl w:ilvl="0">
      <w:lvlJc w:val="left"/>
      <w:lvlText w:val="(%1)"/>
      <w:numFmt w:val="lowerRoman"/>
      <w:start w:val="2"/>
    </w:lvl>
  </w:abstractNum>
  <w:abstractNum w:abstractNumId="103">
    <w:nsid w:val="379E21B5"/>
    <w:multiLevelType w:val="hybridMultilevel"/>
    <w:lvl w:ilvl="0">
      <w:lvlJc w:val="left"/>
      <w:lvlText w:val="(%1)"/>
      <w:numFmt w:val="lowerLetter"/>
      <w:start w:val="4"/>
    </w:lvl>
    <w:lvl w:ilvl="1">
      <w:lvlJc w:val="left"/>
      <w:lvlText w:val="(%2)"/>
      <w:numFmt w:val="lowerRoman"/>
      <w:start w:val="1"/>
    </w:lvl>
  </w:abstractNum>
  <w:abstractNum w:abstractNumId="104">
    <w:nsid w:val="69E373"/>
    <w:multiLevelType w:val="hybridMultilevel"/>
    <w:lvl w:ilvl="0">
      <w:lvlJc w:val="left"/>
      <w:lvlText w:val="(%1)"/>
      <w:numFmt w:val="lowerRoman"/>
      <w:start w:val="2"/>
    </w:lvl>
  </w:abstractNum>
  <w:abstractNum w:abstractNumId="105">
    <w:nsid w:val="2C27173B"/>
    <w:multiLevelType w:val="hybridMultilevel"/>
    <w:lvl w:ilvl="0">
      <w:lvlJc w:val="left"/>
      <w:lvlText w:val="%1."/>
      <w:numFmt w:val="decimal"/>
      <w:start w:val="4"/>
    </w:lvl>
    <w:lvl w:ilvl="1">
      <w:lvlJc w:val="left"/>
      <w:lvlText w:val="(%2)"/>
      <w:numFmt w:val="lowerLetter"/>
      <w:start w:val="1"/>
    </w:lvl>
  </w:abstractNum>
  <w:abstractNum w:abstractNumId="106">
    <w:nsid w:val="4C9B090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7">
    <w:nsid w:val="6AA7B75C"/>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3"/>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decimal"/>
      <w:start w:val="7"/>
    </w:lvl>
    <w:lvl w:ilvl="1">
      <w:lvlJc w:val="left"/>
      <w:lvlText w:val="(%2)"/>
      <w:numFmt w:val="lowerLetter"/>
      <w:start w:val="1"/>
    </w:lvl>
  </w:abstractNum>
  <w:abstractNum w:abstractNumId="110">
    <w:nsid w:val="3DD15094"/>
    <w:multiLevelType w:val="hybridMultilevel"/>
    <w:lvl w:ilvl="0">
      <w:lvlJc w:val="left"/>
      <w:lvlText w:val="%1"/>
      <w:numFmt w:val="decimal"/>
      <w:start w:val="1"/>
    </w:lvl>
    <w:lvl w:ilvl="1">
      <w:lvlJc w:val="left"/>
      <w:lvlText w:val="(%2)"/>
      <w:numFmt w:val="lowerLetter"/>
      <w:start w:val="2"/>
    </w:lvl>
  </w:abstractNum>
  <w:abstractNum w:abstractNumId="111">
    <w:nsid w:val="3DB012B3"/>
    <w:multiLevelType w:val="hybridMultilevel"/>
    <w:lvl w:ilvl="0">
      <w:lvlJc w:val="left"/>
      <w:lvlText w:val="%1."/>
      <w:numFmt w:val="decimal"/>
      <w:start w:val="9"/>
    </w:lvl>
    <w:lvl w:ilvl="1">
      <w:lvlJc w:val="left"/>
      <w:lvlText w:val="(%2)"/>
      <w:numFmt w:val="lowerLetter"/>
      <w:start w:val="1"/>
    </w:lvl>
  </w:abstractNum>
  <w:abstractNum w:abstractNumId="112">
    <w:nsid w:val="2708C9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13">
    <w:nsid w:val="5B25ACE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14">
    <w:nsid w:val="175DFCF0"/>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15">
    <w:nsid w:val="4F97E3E4"/>
    <w:multiLevelType w:val="hybridMultilevel"/>
    <w:lvl w:ilvl="0">
      <w:lvlJc w:val="left"/>
      <w:lvlText w:val="%1."/>
      <w:numFmt w:val="decimal"/>
      <w:start w:val="14"/>
    </w:lvl>
  </w:abstractNum>
  <w:abstractNum w:abstractNumId="116">
    <w:nsid w:val="53B0A9E"/>
    <w:multiLevelType w:val="hybridMultilevel"/>
    <w:lvl w:ilvl="0">
      <w:lvlJc w:val="left"/>
      <w:lvlText w:val="%1."/>
      <w:numFmt w:val="decimal"/>
      <w:start w:val="20"/>
    </w:lvl>
    <w:lvl w:ilvl="1">
      <w:lvlJc w:val="left"/>
      <w:lvlText w:val="(%2)"/>
      <w:numFmt w:val="lowerLetter"/>
      <w:start w:val="1"/>
    </w:lvl>
  </w:abstractNum>
  <w:abstractNum w:abstractNumId="117">
    <w:nsid w:val="34FD6B4F"/>
    <w:multiLevelType w:val="hybridMultilevel"/>
    <w:lvl w:ilvl="0">
      <w:lvlJc w:val="left"/>
      <w:lvlText w:val="%1"/>
      <w:numFmt w:val="lowerRoman"/>
      <w:start w:val="1"/>
    </w:lvl>
    <w:lvl w:ilvl="1">
      <w:lvlJc w:val="left"/>
      <w:lvlText w:val="%2."/>
      <w:numFmt w:val="decimal"/>
      <w:start w:val="23"/>
    </w:lvl>
  </w:abstractNum>
  <w:abstractNum w:abstractNumId="118">
    <w:nsid w:val="5915FF32"/>
    <w:multiLevelType w:val="hybridMultilevel"/>
    <w:lvl w:ilvl="0">
      <w:lvlJc w:val="left"/>
      <w:lvlText w:val="(%1)"/>
      <w:numFmt w:val="lowerRoman"/>
      <w:start w:val="2"/>
    </w:lvl>
    <w:lvl w:ilvl="1">
      <w:lvlJc w:val="left"/>
      <w:lvlText w:val="%2."/>
      <w:numFmt w:val="decimal"/>
      <w:start w:val="24"/>
    </w:lvl>
  </w:abstractNum>
  <w:abstractNum w:abstractNumId="119">
    <w:nsid w:val="56438D15"/>
    <w:multiLevelType w:val="hybridMultilevel"/>
    <w:lvl w:ilvl="0">
      <w:lvlJc w:val="left"/>
      <w:lvlText w:val="%1."/>
      <w:numFmt w:val="decimal"/>
      <w:start w:val="1"/>
    </w:lvl>
  </w:abstractNum>
  <w:abstractNum w:abstractNumId="120">
    <w:nsid w:val="519E3149"/>
    <w:multiLevelType w:val="hybridMultilevel"/>
    <w:lvl w:ilvl="0">
      <w:lvlJc w:val="left"/>
      <w:lvlText w:val="%1."/>
      <w:numFmt w:val="decimal"/>
      <w:start w:val="6"/>
    </w:lvl>
  </w:abstractNum>
  <w:abstractNum w:abstractNumId="121">
    <w:nsid w:val="2C6E4AFD"/>
    <w:multiLevelType w:val="hybridMultilevel"/>
    <w:lvl w:ilvl="0">
      <w:lvlJc w:val="left"/>
      <w:lvlText w:val="%1."/>
      <w:numFmt w:val="decimal"/>
      <w:start w:val="7"/>
    </w:lvl>
    <w:lvl w:ilvl="1">
      <w:lvlJc w:val="left"/>
      <w:lvlText w:val="%2)"/>
      <w:numFmt w:val="lowerLetter"/>
      <w:start w:val="1"/>
    </w:lvl>
  </w:abstractNum>
  <w:abstractNum w:abstractNumId="122">
    <w:nsid w:val="17A1B582"/>
    <w:multiLevelType w:val="hybridMultilevel"/>
    <w:lvl w:ilvl="0">
      <w:lvlJc w:val="left"/>
      <w:lvlText w:val="%1."/>
      <w:numFmt w:val="decimal"/>
      <w:start w:val="12"/>
    </w:lvl>
    <w:lvl w:ilvl="1">
      <w:lvlJc w:val="left"/>
      <w:lvlText w:val="•"/>
      <w:numFmt w:val="bullet"/>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1."/>
      <w:numFmt w:val="decimal"/>
      <w:start w:val="15"/>
    </w:lvl>
  </w:abstractNum>
  <w:abstractNum w:abstractNumId="125">
    <w:nsid w:val="5D888A08"/>
    <w:multiLevelType w:val="hybridMultilevel"/>
    <w:lvl w:ilvl="0">
      <w:lvlJc w:val="left"/>
      <w:lvlText w:val="(%1)"/>
      <w:numFmt w:val="lowerLetter"/>
      <w:start w:val="2"/>
    </w:lvl>
  </w:abstractNum>
  <w:abstractNum w:abstractNumId="126">
    <w:nsid w:val="2A082C70"/>
    <w:multiLevelType w:val="hybridMultilevel"/>
    <w:lvl w:ilvl="0">
      <w:lvlJc w:val="left"/>
      <w:lvlText w:val=","/>
      <w:numFmt w:val="bullet"/>
      <w:start w:val="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269" Type="http://schemas.openxmlformats.org/officeDocument/2006/relationships/hyperlink" Target="https://www.sec.gov/Archives/edgar/data/1832038/000119312521242044/d211424dex31.htm" TargetMode="External"/><Relationship Id="rId270" Type="http://schemas.openxmlformats.org/officeDocument/2006/relationships/hyperlink" Target="https://www.sec.gov/Archives/edgar/data/1832038/000119312521242044/d211424dex32.htm" TargetMode="External"/><Relationship Id="rId271" Type="http://schemas.openxmlformats.org/officeDocument/2006/relationships/hyperlink" Target="https://www.sec.gov/Archives/edgar/data/1832038/000119312521232137/d549501dex102.htm" TargetMode="External"/><Relationship Id="rId272" Type="http://schemas.openxmlformats.org/officeDocument/2006/relationships/hyperlink" Target="https://www.sec.gov/Archives/edgar/data/1832038/000119312521232137/d549501dex103.htm" TargetMode="External"/><Relationship Id="rId273" Type="http://schemas.openxmlformats.org/officeDocument/2006/relationships/hyperlink" Target="https://www.sec.gov/Archives/edgar/data/1832038/000119312521232137/d549501dex104.htm" TargetMode="External"/><Relationship Id="rId274" Type="http://schemas.openxmlformats.org/officeDocument/2006/relationships/hyperlink" Target="https://www.sec.gov/Archives/edgar/data/1832038/000119312521217506/d549501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2021-09-20T15:32:42Z</dcterms:created>
  <dcterms:modified xsi:type="dcterms:W3CDTF">2021-09-20T15:32:42Z</dcterms:modified>
</cp:coreProperties>
</file>