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4"/>
          </w:tcPr>
          <w:p>
            <w:pPr>
              <w:jc w:val="center"/>
              <w:ind w:right="18"/>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00" w:type="dxa"/>
            <w:vAlign w:val="bottom"/>
          </w:tcPr>
          <w:p>
            <w:pPr>
              <w:spacing w:after="0" w:line="20" w:lineRule="exact"/>
              <w:rPr>
                <w:sz w:val="1"/>
                <w:szCs w:val="1"/>
                <w:color w:val="auto"/>
              </w:rPr>
            </w:pPr>
          </w:p>
        </w:tc>
        <w:tc>
          <w:tcPr>
            <w:tcW w:w="6100" w:type="dxa"/>
            <w:vAlign w:val="bottom"/>
            <w:gridSpan w:val="23"/>
            <w:vMerge w:val="restart"/>
          </w:tcPr>
          <w:p>
            <w:pPr>
              <w:jc w:val="center"/>
              <w:ind w:right="98"/>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6100" w:type="dxa"/>
            <w:vAlign w:val="bottom"/>
            <w:gridSpan w:val="23"/>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 w:type="dxa"/>
            <w:vAlign w:val="bottom"/>
          </w:tcPr>
          <w:p>
            <w:pPr>
              <w:spacing w:after="0"/>
              <w:rPr>
                <w:sz w:val="11"/>
                <w:szCs w:val="11"/>
                <w:color w:val="auto"/>
              </w:rPr>
            </w:pPr>
          </w:p>
        </w:tc>
        <w:tc>
          <w:tcPr>
            <w:tcW w:w="5500" w:type="dxa"/>
            <w:vAlign w:val="bottom"/>
            <w:gridSpan w:val="22"/>
            <w:vMerge w:val="restart"/>
          </w:tcPr>
          <w:p>
            <w:pPr>
              <w:jc w:val="center"/>
              <w:ind w:left="37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5500" w:type="dxa"/>
            <w:vAlign w:val="bottom"/>
            <w:gridSpan w:val="22"/>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5500" w:type="dxa"/>
            <w:vAlign w:val="bottom"/>
            <w:gridSpan w:val="2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4"/>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9"/>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Elia Marc</w:t>
              </w:r>
            </w:hyperlink>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Invivyd,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IVVD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7"/>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7"/>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260" w:type="dxa"/>
            <w:vAlign w:val="bottom"/>
            <w:tcBorders>
              <w:top w:val="single" w:sz="8" w:color="EEEEEE"/>
            </w:tcBorders>
          </w:tcPr>
          <w:p>
            <w:pPr>
              <w:spacing w:after="0"/>
              <w:rPr>
                <w:sz w:val="7"/>
                <w:szCs w:val="7"/>
                <w:color w:val="auto"/>
              </w:rPr>
            </w:pPr>
          </w:p>
        </w:tc>
        <w:tc>
          <w:tcPr>
            <w:tcW w:w="380" w:type="dxa"/>
            <w:vAlign w:val="bottom"/>
            <w:tcBorders>
              <w:top w:val="single" w:sz="8" w:color="EEEEEE"/>
            </w:tcBorders>
          </w:tcPr>
          <w:p>
            <w:pPr>
              <w:spacing w:after="0"/>
              <w:rPr>
                <w:sz w:val="7"/>
                <w:szCs w:val="7"/>
                <w:color w:val="auto"/>
              </w:rPr>
            </w:pPr>
          </w:p>
        </w:tc>
        <w:tc>
          <w:tcPr>
            <w:tcW w:w="140" w:type="dxa"/>
            <w:vAlign w:val="bottom"/>
            <w:tcBorders>
              <w:top w:val="single" w:sz="8" w:color="EEEEEE"/>
            </w:tcBorders>
          </w:tcPr>
          <w:p>
            <w:pPr>
              <w:spacing w:after="0"/>
              <w:rPr>
                <w:sz w:val="7"/>
                <w:szCs w:val="7"/>
                <w:color w:val="auto"/>
              </w:rPr>
            </w:pPr>
          </w:p>
        </w:tc>
        <w:tc>
          <w:tcPr>
            <w:tcW w:w="1040" w:type="dxa"/>
            <w:vAlign w:val="bottom"/>
            <w:tcBorders>
              <w:top w:val="single" w:sz="8" w:color="EEEEEE"/>
            </w:tcBorders>
          </w:tcPr>
          <w:p>
            <w:pPr>
              <w:spacing w:after="0"/>
              <w:rPr>
                <w:sz w:val="7"/>
                <w:szCs w:val="7"/>
                <w:color w:val="auto"/>
              </w:rPr>
            </w:pPr>
          </w:p>
        </w:tc>
        <w:tc>
          <w:tcPr>
            <w:tcW w:w="100" w:type="dxa"/>
            <w:vAlign w:val="bottom"/>
            <w:tcBorders>
              <w:top w:val="single" w:sz="8" w:color="EEEEEE"/>
            </w:tcBorders>
          </w:tcPr>
          <w:p>
            <w:pPr>
              <w:spacing w:after="0"/>
              <w:rPr>
                <w:sz w:val="7"/>
                <w:szCs w:val="7"/>
                <w:color w:val="auto"/>
              </w:rPr>
            </w:pPr>
          </w:p>
        </w:tc>
        <w:tc>
          <w:tcPr>
            <w:tcW w:w="106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60" w:type="dxa"/>
            <w:vAlign w:val="bottom"/>
            <w:gridSpan w:val="14"/>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4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60" w:type="dxa"/>
            <w:vAlign w:val="bottom"/>
            <w:gridSpan w:val="14"/>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0" w:type="dxa"/>
            <w:vAlign w:val="bottom"/>
            <w:gridSpan w:val="11"/>
            <w:vMerge w:val="restart"/>
          </w:tcPr>
          <w:p>
            <w:pPr>
              <w:ind w:left="240"/>
              <w:spacing w:after="0"/>
              <w:rPr>
                <w:sz w:val="20"/>
                <w:szCs w:val="20"/>
                <w:color w:val="auto"/>
              </w:rPr>
            </w:pPr>
            <w:r>
              <w:rPr>
                <w:rFonts w:ascii="Arial" w:cs="Arial" w:eastAsia="Arial" w:hAnsi="Arial"/>
                <w:sz w:val="17"/>
                <w:szCs w:val="17"/>
                <w:color w:val="0000FF"/>
              </w:rPr>
              <w:t>05/23/2023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INVIVYD, INC.</w:t>
            </w: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gridSpan w:val="11"/>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4"/>
            <w:vMerge w:val="restart"/>
          </w:tcPr>
          <w:p>
            <w:pPr>
              <w:ind w:left="20"/>
              <w:spacing w:after="0"/>
              <w:rPr>
                <w:sz w:val="20"/>
                <w:szCs w:val="20"/>
                <w:color w:val="auto"/>
              </w:rPr>
            </w:pPr>
            <w:r>
              <w:rPr>
                <w:rFonts w:ascii="Arial" w:cs="Arial" w:eastAsia="Arial" w:hAnsi="Arial"/>
                <w:sz w:val="17"/>
                <w:szCs w:val="17"/>
                <w:color w:val="0000FF"/>
              </w:rPr>
              <w:t>See Remarks</w:t>
            </w: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gridSpan w:val="8"/>
            <w:vMerge w:val="restart"/>
          </w:tcPr>
          <w:p>
            <w:pPr>
              <w:ind w:left="20"/>
              <w:spacing w:after="0"/>
              <w:rPr>
                <w:sz w:val="20"/>
                <w:szCs w:val="20"/>
                <w:color w:val="auto"/>
              </w:rPr>
            </w:pPr>
            <w:r>
              <w:rPr>
                <w:rFonts w:ascii="Arial" w:cs="Arial" w:eastAsia="Arial" w:hAnsi="Arial"/>
                <w:sz w:val="17"/>
                <w:szCs w:val="17"/>
                <w:color w:val="0000FF"/>
              </w:rPr>
              <w:t>1601 TRAPELO ROAD, SUITE 178</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980" w:type="dxa"/>
            <w:vAlign w:val="bottom"/>
            <w:tcBorders>
              <w:bottom w:val="single" w:sz="8" w:color="2C2C2C"/>
            </w:tcBorders>
            <w:gridSpan w:val="11"/>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8"/>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gridSpan w:val="15"/>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WALTHAM</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60" w:type="dxa"/>
            <w:vAlign w:val="bottom"/>
            <w:gridSpan w:val="2"/>
            <w:vMerge w:val="restart"/>
          </w:tcPr>
          <w:p>
            <w:pPr>
              <w:ind w:left="60"/>
              <w:spacing w:after="0"/>
              <w:rPr>
                <w:sz w:val="20"/>
                <w:szCs w:val="20"/>
                <w:color w:val="auto"/>
              </w:rPr>
            </w:pPr>
            <w:r>
              <w:rPr>
                <w:rFonts w:ascii="Arial" w:cs="Arial" w:eastAsia="Arial" w:hAnsi="Arial"/>
                <w:sz w:val="17"/>
                <w:szCs w:val="17"/>
                <w:color w:val="0000FF"/>
              </w:rPr>
              <w:t>02451</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2960" w:type="dxa"/>
            <w:vAlign w:val="bottom"/>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gridSpan w:val="2"/>
          </w:tcPr>
          <w:p>
            <w:pPr>
              <w:spacing w:after="0"/>
              <w:rPr>
                <w:sz w:val="7"/>
                <w:szCs w:val="7"/>
                <w:color w:val="auto"/>
              </w:rPr>
            </w:pPr>
          </w:p>
        </w:tc>
        <w:tc>
          <w:tcPr>
            <w:tcW w:w="2040" w:type="dxa"/>
            <w:vAlign w:val="bottom"/>
            <w:tcBorders>
              <w:bottom w:val="single" w:sz="8" w:color="2C2C2C"/>
            </w:tcBorders>
            <w:gridSpan w:val="4"/>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520" w:type="dxa"/>
            <w:vAlign w:val="bottom"/>
            <w:gridSpan w:val="15"/>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520" w:type="dxa"/>
            <w:vAlign w:val="bottom"/>
            <w:gridSpan w:val="15"/>
            <w:vMerge w:val="continue"/>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28"/>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7"/>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4"/>
                <w:szCs w:val="14"/>
                <w:color w:val="auto"/>
              </w:rPr>
            </w:pPr>
          </w:p>
        </w:tc>
        <w:tc>
          <w:tcPr>
            <w:tcW w:w="1720" w:type="dxa"/>
            <w:vAlign w:val="bottom"/>
            <w:gridSpan w:val="8"/>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8"/>
          </w:tcPr>
          <w:p>
            <w:pPr>
              <w:ind w:left="6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1300" w:type="dxa"/>
            <w:vAlign w:val="bottom"/>
            <w:tcBorders>
              <w:bottom w:val="single" w:sz="8" w:color="2C2C2C"/>
            </w:tcBorders>
            <w:gridSpan w:val="4"/>
          </w:tcPr>
          <w:p>
            <w:pPr>
              <w:spacing w:after="0"/>
              <w:rPr>
                <w:sz w:val="6"/>
                <w:szCs w:val="6"/>
                <w:color w:val="auto"/>
              </w:rPr>
            </w:pPr>
          </w:p>
        </w:tc>
        <w:tc>
          <w:tcPr>
            <w:tcW w:w="36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gridSpan w:val="3"/>
          </w:tcPr>
          <w:p>
            <w:pPr>
              <w:spacing w:after="0"/>
              <w:rPr>
                <w:sz w:val="6"/>
                <w:szCs w:val="6"/>
                <w:color w:val="auto"/>
              </w:rPr>
            </w:pPr>
          </w:p>
        </w:tc>
        <w:tc>
          <w:tcPr>
            <w:tcW w:w="420" w:type="dxa"/>
            <w:vAlign w:val="bottom"/>
            <w:tcBorders>
              <w:bottom w:val="single" w:sz="8" w:color="2C2C2C"/>
            </w:tcBorders>
            <w:gridSpan w:val="2"/>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5"/>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2"/>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10"/>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00" w:type="dxa"/>
            <w:vAlign w:val="bottom"/>
          </w:tcPr>
          <w:p>
            <w:pPr>
              <w:spacing w:after="0"/>
              <w:rPr>
                <w:sz w:val="11"/>
                <w:szCs w:val="11"/>
                <w:color w:val="auto"/>
              </w:rPr>
            </w:pPr>
          </w:p>
        </w:tc>
        <w:tc>
          <w:tcPr>
            <w:tcW w:w="10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10"/>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gridSpan w:val="7"/>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05/23/2023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5"/>
          </w:tcPr>
          <w:p>
            <w:pPr>
              <w:ind w:left="40"/>
              <w:spacing w:after="0"/>
              <w:rPr>
                <w:sz w:val="20"/>
                <w:szCs w:val="20"/>
                <w:color w:val="auto"/>
              </w:rPr>
            </w:pPr>
            <w:r>
              <w:rPr>
                <w:rFonts w:ascii="Arial" w:cs="Arial" w:eastAsia="Arial" w:hAnsi="Arial"/>
                <w:sz w:val="13"/>
                <w:szCs w:val="13"/>
                <w:color w:val="0000FF"/>
              </w:rPr>
              <w:t>A</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7"/>
                <w:szCs w:val="17"/>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05/22/2033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50,000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50,000</w:t>
            </w:r>
          </w:p>
        </w:tc>
        <w:tc>
          <w:tcPr>
            <w:tcW w:w="32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gridSpan w:val="3"/>
          </w:tcPr>
          <w:p>
            <w:pPr>
              <w:ind w:left="60"/>
              <w:spacing w:after="0" w:line="83" w:lineRule="exact"/>
              <w:rPr>
                <w:sz w:val="20"/>
                <w:szCs w:val="20"/>
                <w:color w:val="auto"/>
              </w:rPr>
            </w:pPr>
            <w:r>
              <w:rPr>
                <w:rFonts w:ascii="Arial" w:cs="Arial" w:eastAsia="Arial" w:hAnsi="Arial"/>
                <w:sz w:val="9"/>
                <w:szCs w:val="9"/>
                <w:color w:val="0000FF"/>
              </w:rPr>
              <w:t>(Right to</w:t>
            </w: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4"/>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6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ind w:left="20"/>
              <w:spacing w:after="0" w:line="217" w:lineRule="exact"/>
              <w:rPr>
                <w:rFonts w:ascii="Arial" w:cs="Arial" w:eastAsia="Arial" w:hAnsi="Arial"/>
                <w:sz w:val="21"/>
                <w:szCs w:val="21"/>
                <w:color w:val="0000EE"/>
              </w:rPr>
            </w:pPr>
            <w:hyperlink r:id="rId8">
              <w:r>
                <w:rPr>
                  <w:rFonts w:ascii="Arial" w:cs="Arial" w:eastAsia="Arial" w:hAnsi="Arial"/>
                  <w:sz w:val="21"/>
                  <w:szCs w:val="21"/>
                  <w:color w:val="0000EE"/>
                </w:rPr>
                <w:t>Elia Marc</w:t>
              </w:r>
            </w:hyperlink>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20" w:type="dxa"/>
            <w:vAlign w:val="bottom"/>
            <w:gridSpan w:val="6"/>
          </w:tcPr>
          <w:p>
            <w:pPr>
              <w:ind w:left="20"/>
              <w:spacing w:after="0"/>
              <w:rPr>
                <w:sz w:val="20"/>
                <w:szCs w:val="20"/>
                <w:color w:val="auto"/>
              </w:rPr>
            </w:pPr>
            <w:r>
              <w:rPr>
                <w:rFonts w:ascii="Arial" w:cs="Arial" w:eastAsia="Arial" w:hAnsi="Arial"/>
                <w:sz w:val="17"/>
                <w:szCs w:val="17"/>
                <w:color w:val="0000FF"/>
              </w:rPr>
              <w:t>C/O INVIVYD, INC.</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80" w:type="dxa"/>
            <w:vAlign w:val="bottom"/>
            <w:gridSpan w:val="8"/>
          </w:tcPr>
          <w:p>
            <w:pPr>
              <w:ind w:left="20"/>
              <w:spacing w:after="0"/>
              <w:rPr>
                <w:sz w:val="20"/>
                <w:szCs w:val="20"/>
                <w:color w:val="auto"/>
              </w:rPr>
            </w:pPr>
            <w:r>
              <w:rPr>
                <w:rFonts w:ascii="Arial" w:cs="Arial" w:eastAsia="Arial" w:hAnsi="Arial"/>
                <w:sz w:val="17"/>
                <w:szCs w:val="17"/>
                <w:color w:val="0000FF"/>
              </w:rPr>
              <w:t>1601 TRAPELO ROAD, SUITE 178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WALTHAM</w:t>
            </w:r>
          </w:p>
        </w:tc>
        <w:tc>
          <w:tcPr>
            <w:tcW w:w="1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7"/>
                <w:szCs w:val="17"/>
                <w:color w:val="0000FF"/>
              </w:rPr>
              <w:t>MA</w:t>
            </w:r>
          </w:p>
        </w:tc>
        <w:tc>
          <w:tcPr>
            <w:tcW w:w="1160" w:type="dxa"/>
            <w:vAlign w:val="bottom"/>
            <w:gridSpan w:val="2"/>
          </w:tcPr>
          <w:p>
            <w:pPr>
              <w:ind w:left="400"/>
              <w:spacing w:after="0"/>
              <w:rPr>
                <w:sz w:val="20"/>
                <w:szCs w:val="20"/>
                <w:color w:val="auto"/>
              </w:rPr>
            </w:pPr>
            <w:r>
              <w:rPr>
                <w:rFonts w:ascii="Arial" w:cs="Arial" w:eastAsia="Arial" w:hAnsi="Arial"/>
                <w:sz w:val="17"/>
                <w:szCs w:val="17"/>
                <w:color w:val="0000FF"/>
              </w:rPr>
              <w:t>02451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4"/>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8"/>
          </w:tcPr>
          <w:p>
            <w:pPr>
              <w:ind w:left="20"/>
              <w:spacing w:after="0" w:line="217" w:lineRule="exact"/>
              <w:rPr>
                <w:rFonts w:ascii="Arial" w:cs="Arial" w:eastAsia="Arial" w:hAnsi="Arial"/>
                <w:sz w:val="21"/>
                <w:szCs w:val="21"/>
                <w:color w:val="0000EE"/>
              </w:rPr>
            </w:pPr>
            <w:hyperlink r:id="rId10">
              <w:r>
                <w:rPr>
                  <w:rFonts w:ascii="Arial" w:cs="Arial" w:eastAsia="Arial" w:hAnsi="Arial"/>
                  <w:sz w:val="21"/>
                  <w:szCs w:val="21"/>
                  <w:color w:val="0000EE"/>
                </w:rPr>
                <w:t>M28 Capital Management LP</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80" w:type="dxa"/>
            <w:vAlign w:val="bottom"/>
            <w:gridSpan w:val="8"/>
          </w:tcPr>
          <w:p>
            <w:pPr>
              <w:ind w:left="20"/>
              <w:spacing w:after="0"/>
              <w:rPr>
                <w:sz w:val="20"/>
                <w:szCs w:val="20"/>
                <w:color w:val="auto"/>
              </w:rPr>
            </w:pPr>
            <w:r>
              <w:rPr>
                <w:rFonts w:ascii="Arial" w:cs="Arial" w:eastAsia="Arial" w:hAnsi="Arial"/>
                <w:sz w:val="17"/>
                <w:szCs w:val="17"/>
                <w:color w:val="0000FF"/>
              </w:rPr>
              <w:t>700 CANAL STREET, 2ND FLOOR</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STAMFORD</w:t>
            </w:r>
          </w:p>
        </w:tc>
        <w:tc>
          <w:tcPr>
            <w:tcW w:w="1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7"/>
                <w:szCs w:val="17"/>
                <w:color w:val="0000FF"/>
              </w:rPr>
              <w:t>CT</w:t>
            </w:r>
          </w:p>
        </w:tc>
        <w:tc>
          <w:tcPr>
            <w:tcW w:w="1160" w:type="dxa"/>
            <w:vAlign w:val="bottom"/>
            <w:gridSpan w:val="2"/>
          </w:tcPr>
          <w:p>
            <w:pPr>
              <w:ind w:left="40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-9225280</wp:posOffset>
            </wp:positionV>
            <wp:extent cx="7045960" cy="9305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extLst>
                    </a:blip>
                    <a:srcRect/>
                    <a:stretch>
                      <a:fillRect/>
                    </a:stretch>
                  </pic:blipFill>
                  <pic:spPr bwMode="auto">
                    <a:xfrm>
                      <a:off x="0" y="0"/>
                      <a:ext cx="7045960" cy="930592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62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May 23, 2023 and vests in full upon the earlier of (i) May 23, 2024 or (ii) the date of the Issuer's 2024 Annual Meeting of Stockholders, subject to the Reporting Person's continuous service through such vesting date. The grant was awarded to Marc Elia ("Mr. Elia"). Mr. Elia is deemed to hold the grant for the benefit of M28 Capital Management LP ("M28 Capital Management") and the funds managed by M28 Capital Management.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902" w:orient="portrait"/>
          <w:cols w:equalWidth="0" w:num="1">
            <w:col w:w="11080"/>
          </w:cols>
          <w:pgMar w:left="460" w:top="223" w:right="359" w:bottom="0" w:gutter="0" w:footer="0" w:header="0"/>
        </w:sectPr>
      </w:pPr>
    </w:p>
    <w:p>
      <w:pPr>
        <w:spacing w:after="0" w:line="61" w:lineRule="exact"/>
        <w:rPr>
          <w:sz w:val="20"/>
          <w:szCs w:val="20"/>
          <w:color w:val="auto"/>
        </w:rPr>
      </w:pPr>
    </w:p>
    <w:p>
      <w:pPr>
        <w:ind w:left="40" w:right="180"/>
        <w:spacing w:after="0" w:line="344" w:lineRule="auto"/>
        <w:rPr>
          <w:sz w:val="20"/>
          <w:szCs w:val="20"/>
          <w:color w:val="auto"/>
        </w:rPr>
      </w:pPr>
      <w:r>
        <w:rPr>
          <w:rFonts w:ascii="Arial" w:cs="Arial" w:eastAsia="Arial" w:hAnsi="Arial"/>
          <w:sz w:val="11"/>
          <w:szCs w:val="11"/>
          <w:color w:val="008000"/>
        </w:rPr>
        <w:t>M28 Capital Management may be deemed to be a director by deputization for purposes of Section 16 under the Securities Exchange Act of 1934, as amended, by virtue of the fact that Mr. Elia, who indirectly controls M28 Capital Management, currently serves on the board of directors of the Issuer. The Reporting Persons expressly disclaim beneficial ownership of the securities reported herein except to the extent</w:t>
      </w:r>
    </w:p>
    <w:p>
      <w:pPr>
        <w:sectPr>
          <w:pgSz w:w="11900" w:h="16902" w:orient="portrait"/>
          <w:cols w:equalWidth="0" w:num="1">
            <w:col w:w="11080"/>
          </w:cols>
          <w:pgMar w:left="460" w:top="223"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of its or his pecuniary interest therein, if any.</w:t>
      </w:r>
    </w:p>
    <w:p>
      <w:pPr>
        <w:spacing w:after="0" w:line="56"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60" w:type="dxa"/>
            <w:vAlign w:val="bottom"/>
            <w:gridSpan w:val="4"/>
          </w:tcPr>
          <w:p>
            <w:pPr>
              <w:spacing w:after="0"/>
              <w:rPr>
                <w:sz w:val="20"/>
                <w:szCs w:val="20"/>
                <w:color w:val="auto"/>
              </w:rPr>
            </w:pPr>
            <w:r>
              <w:rPr>
                <w:rFonts w:ascii="Arial" w:cs="Arial" w:eastAsia="Arial" w:hAnsi="Arial"/>
                <w:sz w:val="17"/>
                <w:szCs w:val="17"/>
                <w:color w:val="0000FF"/>
                <w:w w:val="96"/>
              </w:rPr>
              <w:t>/s/ Jill Andersen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05/25/2023</w:t>
            </w: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3"/>
            <w:vMerge w:val="restart"/>
          </w:tcPr>
          <w:p>
            <w:pPr>
              <w:spacing w:after="0" w:line="189" w:lineRule="exact"/>
              <w:rPr>
                <w:sz w:val="20"/>
                <w:szCs w:val="20"/>
                <w:color w:val="auto"/>
              </w:rPr>
            </w:pPr>
            <w:r>
              <w:rPr>
                <w:rFonts w:ascii="Arial" w:cs="Arial" w:eastAsia="Arial" w:hAnsi="Arial"/>
                <w:sz w:val="17"/>
                <w:szCs w:val="17"/>
                <w:color w:val="0000FF"/>
              </w:rPr>
              <w:t>fact for Marc Elia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3"/>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6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0000FF"/>
                <w:w w:val="90"/>
              </w:rPr>
              <w:t>M28 Capital Management LP,</w:t>
            </w: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05/25/2023</w:t>
            </w:r>
          </w:p>
        </w:tc>
        <w:tc>
          <w:tcPr>
            <w:tcW w:w="0" w:type="dxa"/>
            <w:vAlign w:val="bottom"/>
          </w:tcPr>
          <w:p>
            <w:pPr>
              <w:spacing w:after="0"/>
              <w:rPr>
                <w:sz w:val="1"/>
                <w:szCs w:val="1"/>
                <w:color w:val="auto"/>
              </w:rPr>
            </w:pPr>
          </w:p>
        </w:tc>
      </w:tr>
      <w:tr>
        <w:trPr>
          <w:trHeight w:val="84"/>
        </w:trPr>
        <w:tc>
          <w:tcPr>
            <w:tcW w:w="2060" w:type="dxa"/>
            <w:vAlign w:val="bottom"/>
            <w:gridSpan w:val="4"/>
            <w:vMerge w:val="restart"/>
          </w:tcPr>
          <w:p>
            <w:pPr>
              <w:spacing w:after="0" w:line="189" w:lineRule="exact"/>
              <w:rPr>
                <w:sz w:val="20"/>
                <w:szCs w:val="20"/>
                <w:color w:val="auto"/>
              </w:rPr>
            </w:pPr>
            <w:r>
              <w:rPr>
                <w:rFonts w:ascii="Arial" w:cs="Arial" w:eastAsia="Arial" w:hAnsi="Arial"/>
                <w:sz w:val="17"/>
                <w:szCs w:val="17"/>
                <w:color w:val="0000FF"/>
              </w:rPr>
              <w:t>By: /s/ Chris Taliercio</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6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20" w:firstLine="4"/>
        <w:spacing w:after="0" w:line="312"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31"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1" Type="http://schemas.openxmlformats.org/officeDocument/2006/relationships/image" Target="media/image1.png"/><Relationship Id="rId8" Type="http://schemas.openxmlformats.org/officeDocument/2006/relationships/hyperlink" Target="http://www.sec.gov/cgi-bin/browse-edgar?action=getcompany&amp;CIK=0001830496" TargetMode="External"/><Relationship Id="rId9" Type="http://schemas.openxmlformats.org/officeDocument/2006/relationships/hyperlink" Target="http://www.sec.gov/cgi-bin/browse-edgar?action=getcompany&amp;CIK=0001832038" TargetMode="External"/><Relationship Id="rId10" Type="http://schemas.openxmlformats.org/officeDocument/2006/relationships/hyperlink" Target="http://www.sec.gov/cgi-bin/browse-edgar?action=getcompany&amp;CIK=0001807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2023-05-25T17:41:46Z</dcterms:created>
  <dcterms:modified xsi:type="dcterms:W3CDTF">2023-05-25T17:41:46Z</dcterms:modified>
</cp:coreProperties>
</file>