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163830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w:t>
      </w:r>
    </w:p>
    <w:p>
      <w:pPr>
        <w:jc w:val="center"/>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Date of report (Date of earliest event reported): September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160655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Invivyd,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5"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Arial" w:cs="Arial" w:eastAsia="Arial" w:hAnsi="Arial"/>
                <w:sz w:val="13"/>
                <w:szCs w:val="13"/>
                <w:b w:val="1"/>
                <w:bCs w:val="1"/>
                <w:color w:val="auto"/>
                <w:w w:val="87"/>
              </w:rPr>
              <w:t>Delaware</w:t>
            </w:r>
          </w:p>
        </w:tc>
        <w:tc>
          <w:tcPr>
            <w:tcW w:w="2380" w:type="dxa"/>
            <w:vAlign w:val="bottom"/>
          </w:tcPr>
          <w:p>
            <w:pPr>
              <w:ind w:left="900"/>
              <w:spacing w:after="0"/>
              <w:rPr>
                <w:sz w:val="20"/>
                <w:szCs w:val="20"/>
                <w:color w:val="auto"/>
              </w:rPr>
            </w:pPr>
            <w:r>
              <w:rPr>
                <w:rFonts w:ascii="Arial" w:cs="Arial" w:eastAsia="Arial" w:hAnsi="Arial"/>
                <w:sz w:val="13"/>
                <w:szCs w:val="13"/>
                <w:b w:val="1"/>
                <w:bCs w:val="1"/>
                <w:color w:val="auto"/>
              </w:rPr>
              <w:t>001-40703</w:t>
            </w:r>
          </w:p>
        </w:tc>
        <w:tc>
          <w:tcPr>
            <w:tcW w:w="1720" w:type="dxa"/>
            <w:vAlign w:val="bottom"/>
          </w:tcPr>
          <w:p>
            <w:pPr>
              <w:jc w:val="center"/>
              <w:ind w:left="885"/>
              <w:spacing w:after="0"/>
              <w:rPr>
                <w:sz w:val="20"/>
                <w:szCs w:val="20"/>
                <w:color w:val="auto"/>
              </w:rPr>
            </w:pPr>
            <w:r>
              <w:rPr>
                <w:rFonts w:ascii="Arial" w:cs="Arial" w:eastAsia="Arial" w:hAnsi="Arial"/>
                <w:sz w:val="13"/>
                <w:szCs w:val="13"/>
                <w:b w:val="1"/>
                <w:bCs w:val="1"/>
                <w:color w:val="auto"/>
                <w:w w:val="89"/>
              </w:rPr>
              <w:t>85-1403134</w:t>
            </w:r>
          </w:p>
        </w:tc>
      </w:tr>
      <w:tr>
        <w:trPr>
          <w:trHeight w:val="104"/>
        </w:trPr>
        <w:tc>
          <w:tcPr>
            <w:tcW w:w="2060" w:type="dxa"/>
            <w:vAlign w:val="bottom"/>
          </w:tcPr>
          <w:p>
            <w:pPr>
              <w:jc w:val="center"/>
              <w:ind w:right="825"/>
              <w:spacing w:after="0" w:line="104" w:lineRule="exact"/>
              <w:rPr>
                <w:sz w:val="20"/>
                <w:szCs w:val="20"/>
                <w:color w:val="auto"/>
              </w:rPr>
            </w:pPr>
            <w:r>
              <w:rPr>
                <w:rFonts w:ascii="Arial" w:cs="Arial" w:eastAsia="Arial" w:hAnsi="Arial"/>
                <w:sz w:val="10"/>
                <w:szCs w:val="10"/>
                <w:b w:val="1"/>
                <w:bCs w:val="1"/>
                <w:color w:val="auto"/>
                <w:w w:val="91"/>
              </w:rPr>
              <w:t>(State or Other Jurisdiction</w:t>
            </w:r>
          </w:p>
        </w:tc>
        <w:tc>
          <w:tcPr>
            <w:tcW w:w="2380" w:type="dxa"/>
            <w:vAlign w:val="bottom"/>
          </w:tcPr>
          <w:p>
            <w:pPr>
              <w:ind w:left="880"/>
              <w:spacing w:after="0" w:line="104" w:lineRule="exact"/>
              <w:rPr>
                <w:sz w:val="20"/>
                <w:szCs w:val="20"/>
                <w:color w:val="auto"/>
              </w:rPr>
            </w:pPr>
            <w:r>
              <w:rPr>
                <w:rFonts w:ascii="Arial" w:cs="Arial" w:eastAsia="Arial" w:hAnsi="Arial"/>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Arial" w:cs="Arial" w:eastAsia="Arial" w:hAnsi="Arial"/>
                <w:sz w:val="10"/>
                <w:szCs w:val="10"/>
                <w:b w:val="1"/>
                <w:bCs w:val="1"/>
                <w:color w:val="auto"/>
                <w:w w:val="96"/>
              </w:rPr>
              <w:t>(IRS Employer</w:t>
            </w:r>
          </w:p>
        </w:tc>
      </w:tr>
      <w:tr>
        <w:trPr>
          <w:trHeight w:val="130"/>
        </w:trPr>
        <w:tc>
          <w:tcPr>
            <w:tcW w:w="2060" w:type="dxa"/>
            <w:vAlign w:val="bottom"/>
          </w:tcPr>
          <w:p>
            <w:pPr>
              <w:jc w:val="center"/>
              <w:ind w:right="825"/>
              <w:spacing w:after="0"/>
              <w:rPr>
                <w:sz w:val="20"/>
                <w:szCs w:val="20"/>
                <w:color w:val="auto"/>
              </w:rPr>
            </w:pPr>
            <w:r>
              <w:rPr>
                <w:rFonts w:ascii="Arial" w:cs="Arial" w:eastAsia="Arial" w:hAnsi="Arial"/>
                <w:sz w:val="10"/>
                <w:szCs w:val="10"/>
                <w:b w:val="1"/>
                <w:bCs w:val="1"/>
                <w:color w:val="auto"/>
                <w:w w:val="92"/>
              </w:rPr>
              <w:t>of Incorporation)</w:t>
            </w:r>
          </w:p>
        </w:tc>
        <w:tc>
          <w:tcPr>
            <w:tcW w:w="2380" w:type="dxa"/>
            <w:vAlign w:val="bottom"/>
          </w:tcPr>
          <w:p>
            <w:pPr>
              <w:ind w:left="880"/>
              <w:spacing w:after="0"/>
              <w:rPr>
                <w:sz w:val="20"/>
                <w:szCs w:val="20"/>
                <w:color w:val="auto"/>
              </w:rPr>
            </w:pPr>
            <w:r>
              <w:rPr>
                <w:rFonts w:ascii="Arial" w:cs="Arial" w:eastAsia="Arial" w:hAnsi="Arial"/>
                <w:sz w:val="10"/>
                <w:szCs w:val="10"/>
                <w:b w:val="1"/>
                <w:bCs w:val="1"/>
                <w:color w:val="auto"/>
              </w:rPr>
              <w:t>File Number)</w:t>
            </w:r>
          </w:p>
        </w:tc>
        <w:tc>
          <w:tcPr>
            <w:tcW w:w="1720" w:type="dxa"/>
            <w:vAlign w:val="bottom"/>
          </w:tcPr>
          <w:p>
            <w:pPr>
              <w:jc w:val="center"/>
              <w:ind w:left="885"/>
              <w:spacing w:after="0"/>
              <w:rPr>
                <w:sz w:val="20"/>
                <w:szCs w:val="20"/>
                <w:color w:val="auto"/>
              </w:rPr>
            </w:pPr>
            <w:r>
              <w:rPr>
                <w:rFonts w:ascii="Arial" w:cs="Arial" w:eastAsia="Arial" w:hAnsi="Arial"/>
                <w:sz w:val="10"/>
                <w:szCs w:val="10"/>
                <w:b w:val="1"/>
                <w:bCs w:val="1"/>
                <w:color w:val="auto"/>
                <w:w w:val="92"/>
              </w:rPr>
              <w:t>Identification No.)</w:t>
            </w:r>
          </w:p>
        </w:tc>
      </w:tr>
    </w:tbl>
    <w:p>
      <w:pPr>
        <w:spacing w:after="0" w:line="137" w:lineRule="exact"/>
        <w:rPr>
          <w:sz w:val="24"/>
          <w:szCs w:val="24"/>
          <w:color w:val="auto"/>
        </w:rPr>
      </w:pPr>
    </w:p>
    <w:tbl>
      <w:tblPr>
        <w:tblLayout w:type="fixed"/>
        <w:tblInd w:w="1720" w:type="dxa"/>
        <w:tblCellMar>
          <w:top w:w="0" w:type="dxa"/>
          <w:left w:w="0" w:type="dxa"/>
          <w:bottom w:w="0" w:type="dxa"/>
          <w:right w:w="0" w:type="dxa"/>
        </w:tblCellMar>
      </w:tblPr>
      <w:tr>
        <w:trPr>
          <w:trHeight w:val="152"/>
        </w:trPr>
        <w:tc>
          <w:tcPr>
            <w:tcW w:w="3140" w:type="dxa"/>
            <w:vAlign w:val="bottom"/>
          </w:tcPr>
          <w:p>
            <w:pPr>
              <w:jc w:val="center"/>
              <w:ind w:right="1341"/>
              <w:spacing w:after="0"/>
              <w:rPr>
                <w:sz w:val="20"/>
                <w:szCs w:val="20"/>
                <w:color w:val="auto"/>
              </w:rPr>
            </w:pPr>
            <w:r>
              <w:rPr>
                <w:rFonts w:ascii="Arial" w:cs="Arial" w:eastAsia="Arial" w:hAnsi="Arial"/>
                <w:sz w:val="13"/>
                <w:szCs w:val="13"/>
                <w:b w:val="1"/>
                <w:bCs w:val="1"/>
                <w:color w:val="auto"/>
                <w:w w:val="87"/>
              </w:rPr>
              <w:t>1601 Trapelo Road, Suite 178</w:t>
            </w:r>
          </w:p>
        </w:tc>
        <w:tc>
          <w:tcPr>
            <w:tcW w:w="1860" w:type="dxa"/>
            <w:vAlign w:val="bottom"/>
          </w:tcPr>
          <w:p>
            <w:pPr>
              <w:spacing w:after="0"/>
              <w:rPr>
                <w:sz w:val="13"/>
                <w:szCs w:val="13"/>
                <w:color w:val="auto"/>
              </w:rPr>
            </w:pPr>
          </w:p>
        </w:tc>
      </w:tr>
      <w:tr>
        <w:trPr>
          <w:trHeight w:val="159"/>
        </w:trPr>
        <w:tc>
          <w:tcPr>
            <w:tcW w:w="3140" w:type="dxa"/>
            <w:vAlign w:val="bottom"/>
          </w:tcPr>
          <w:p>
            <w:pPr>
              <w:jc w:val="center"/>
              <w:ind w:right="1341"/>
              <w:spacing w:after="0"/>
              <w:rPr>
                <w:sz w:val="20"/>
                <w:szCs w:val="20"/>
                <w:color w:val="auto"/>
              </w:rPr>
            </w:pPr>
            <w:r>
              <w:rPr>
                <w:rFonts w:ascii="Arial" w:cs="Arial" w:eastAsia="Arial" w:hAnsi="Arial"/>
                <w:sz w:val="13"/>
                <w:szCs w:val="13"/>
                <w:b w:val="1"/>
                <w:bCs w:val="1"/>
                <w:color w:val="auto"/>
                <w:w w:val="95"/>
              </w:rPr>
              <w:t>Waltham, MA</w:t>
            </w:r>
          </w:p>
        </w:tc>
        <w:tc>
          <w:tcPr>
            <w:tcW w:w="1860" w:type="dxa"/>
            <w:vAlign w:val="bottom"/>
          </w:tcPr>
          <w:p>
            <w:pPr>
              <w:jc w:val="right"/>
              <w:ind w:right="3"/>
              <w:spacing w:after="0"/>
              <w:rPr>
                <w:sz w:val="20"/>
                <w:szCs w:val="20"/>
                <w:color w:val="auto"/>
              </w:rPr>
            </w:pPr>
            <w:r>
              <w:rPr>
                <w:rFonts w:ascii="Arial" w:cs="Arial" w:eastAsia="Arial" w:hAnsi="Arial"/>
                <w:sz w:val="13"/>
                <w:szCs w:val="13"/>
                <w:b w:val="1"/>
                <w:bCs w:val="1"/>
                <w:color w:val="auto"/>
              </w:rPr>
              <w:t>02451</w:t>
            </w:r>
          </w:p>
        </w:tc>
      </w:tr>
      <w:tr>
        <w:trPr>
          <w:trHeight w:val="130"/>
        </w:trPr>
        <w:tc>
          <w:tcPr>
            <w:tcW w:w="3140" w:type="dxa"/>
            <w:vAlign w:val="bottom"/>
          </w:tcPr>
          <w:p>
            <w:pPr>
              <w:jc w:val="center"/>
              <w:ind w:right="1341"/>
              <w:spacing w:after="0"/>
              <w:rPr>
                <w:sz w:val="20"/>
                <w:szCs w:val="20"/>
                <w:color w:val="auto"/>
              </w:rPr>
            </w:pPr>
            <w:r>
              <w:rPr>
                <w:rFonts w:ascii="Arial" w:cs="Arial" w:eastAsia="Arial" w:hAnsi="Arial"/>
                <w:sz w:val="10"/>
                <w:szCs w:val="10"/>
                <w:b w:val="1"/>
                <w:bCs w:val="1"/>
                <w:color w:val="auto"/>
                <w:w w:val="91"/>
              </w:rPr>
              <w:t>(Address of Principal Executive Offices)</w:t>
            </w:r>
          </w:p>
        </w:tc>
        <w:tc>
          <w:tcPr>
            <w:tcW w:w="1860" w:type="dxa"/>
            <w:vAlign w:val="bottom"/>
          </w:tcPr>
          <w:p>
            <w:pPr>
              <w:jc w:val="center"/>
              <w:ind w:left="1343"/>
              <w:spacing w:after="0"/>
              <w:rPr>
                <w:sz w:val="20"/>
                <w:szCs w:val="20"/>
                <w:color w:val="auto"/>
              </w:rPr>
            </w:pPr>
            <w:r>
              <w:rPr>
                <w:rFonts w:ascii="Arial" w:cs="Arial" w:eastAsia="Arial" w:hAnsi="Arial"/>
                <w:sz w:val="10"/>
                <w:szCs w:val="10"/>
                <w:b w:val="1"/>
                <w:bCs w:val="1"/>
                <w:color w:val="auto"/>
                <w:w w:val="92"/>
              </w:rPr>
              <w:t>(Zip Code)</w:t>
            </w:r>
          </w:p>
        </w:tc>
      </w:tr>
    </w:tbl>
    <w:p>
      <w:pPr>
        <w:spacing w:after="0" w:line="9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 (781) 819-0080</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Not applicable</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140335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5" w:lineRule="exact"/>
        <w:rPr>
          <w:sz w:val="24"/>
          <w:szCs w:val="24"/>
          <w:color w:val="auto"/>
        </w:rPr>
      </w:pPr>
    </w:p>
    <w:p>
      <w:pPr>
        <w:ind w:left="640" w:right="979"/>
        <w:spacing w:after="0" w:line="261"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63"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35" w:lineRule="exact"/>
        <w:rPr>
          <w:sz w:val="24"/>
          <w:szCs w:val="24"/>
          <w:color w:val="auto"/>
        </w:rPr>
      </w:pPr>
    </w:p>
    <w:p>
      <w:pPr>
        <w:ind w:left="640"/>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37"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2"/>
              </w:rPr>
              <w:t>Trading</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7"/>
              </w:rPr>
              <w:t>Name of each exchange</w:t>
            </w:r>
          </w:p>
        </w:tc>
      </w:tr>
      <w:tr>
        <w:trPr>
          <w:trHeight w:val="128"/>
        </w:trPr>
        <w:tc>
          <w:tcPr>
            <w:tcW w:w="27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5"/>
              </w:rPr>
              <w:t>Title of each class</w:t>
            </w:r>
          </w:p>
        </w:tc>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Symbol(s)</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8"/>
              </w:rPr>
              <w:t>on which registered</w:t>
            </w:r>
          </w:p>
        </w:tc>
      </w:tr>
      <w:tr>
        <w:trPr>
          <w:trHeight w:val="150"/>
        </w:trPr>
        <w:tc>
          <w:tcPr>
            <w:tcW w:w="26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6"/>
              </w:rPr>
              <w:t>Common stock, par value $0.0001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IVVD</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9"/>
              </w:rPr>
              <w:t>The Nasdaq Stock Market LLC</w:t>
            </w:r>
          </w:p>
        </w:tc>
      </w:tr>
    </w:tbl>
    <w:p>
      <w:pPr>
        <w:spacing w:after="0" w:line="105" w:lineRule="exact"/>
        <w:rPr>
          <w:sz w:val="24"/>
          <w:szCs w:val="24"/>
          <w:color w:val="auto"/>
        </w:rPr>
      </w:pPr>
    </w:p>
    <w:p>
      <w:pPr>
        <w:ind w:left="640" w:right="859"/>
        <w:spacing w:after="0" w:line="261"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9" w:lineRule="exact"/>
        <w:rPr>
          <w:sz w:val="24"/>
          <w:szCs w:val="24"/>
          <w:color w:val="auto"/>
        </w:rPr>
      </w:pPr>
    </w:p>
    <w:p>
      <w:pPr>
        <w:ind w:left="684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90" w:lineRule="exact"/>
        <w:rPr>
          <w:sz w:val="24"/>
          <w:szCs w:val="24"/>
          <w:color w:val="auto"/>
        </w:rPr>
      </w:pPr>
    </w:p>
    <w:p>
      <w:pPr>
        <w:ind w:left="640" w:right="859"/>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9" w:right="1440" w:bottom="1440" w:gutter="0" w:footer="0" w:header="0"/>
        </w:sectPr>
      </w:pPr>
    </w:p>
    <w:bookmarkStart w:id="1" w:name="page2"/>
    <w:bookmarkEnd w:id="1"/>
    <w:p>
      <w:pPr>
        <w:ind w:left="640"/>
        <w:spacing w:after="0"/>
        <w:tabs>
          <w:tab w:leader="none" w:pos="130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8.01.</w:t>
      </w:r>
      <w:r>
        <w:rPr>
          <w:sz w:val="20"/>
          <w:szCs w:val="20"/>
          <w:color w:val="auto"/>
        </w:rPr>
        <w:tab/>
      </w:r>
      <w:r>
        <w:rPr>
          <w:rFonts w:ascii="Arial" w:cs="Arial" w:eastAsia="Arial" w:hAnsi="Arial"/>
          <w:sz w:val="11"/>
          <w:szCs w:val="11"/>
          <w:b w:val="1"/>
          <w:bCs w:val="1"/>
          <w:color w:val="auto"/>
        </w:rPr>
        <w:t>Other Events.</w:t>
      </w:r>
    </w:p>
    <w:p>
      <w:pPr>
        <w:spacing w:after="0" w:line="82" w:lineRule="exact"/>
        <w:rPr>
          <w:sz w:val="20"/>
          <w:szCs w:val="20"/>
          <w:color w:val="auto"/>
        </w:rPr>
      </w:pPr>
    </w:p>
    <w:p>
      <w:pPr>
        <w:ind w:left="640" w:right="739" w:firstLine="309"/>
        <w:spacing w:after="0" w:line="261" w:lineRule="auto"/>
        <w:rPr>
          <w:sz w:val="20"/>
          <w:szCs w:val="20"/>
          <w:color w:val="auto"/>
        </w:rPr>
      </w:pPr>
      <w:r>
        <w:rPr>
          <w:rFonts w:ascii="Arial" w:cs="Arial" w:eastAsia="Arial" w:hAnsi="Arial"/>
          <w:sz w:val="13"/>
          <w:szCs w:val="13"/>
          <w:color w:val="auto"/>
        </w:rPr>
        <w:t>On September 11, 2023, Invivyd, Inc. posted an updated corporate presentation on its website at www.invivyd.com. A copy of the presentation is filed herewith as Exhibit 99.1 and is incorporated by reference in this Item 8.01.</w:t>
      </w:r>
    </w:p>
    <w:p>
      <w:pPr>
        <w:spacing w:after="0" w:line="230"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 Exhibits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20" w:type="dxa"/>
            <w:vAlign w:val="bottom"/>
          </w:tcPr>
          <w:p>
            <w:pPr>
              <w:jc w:val="center"/>
              <w:spacing w:after="0"/>
              <w:rPr>
                <w:sz w:val="20"/>
                <w:szCs w:val="20"/>
                <w:color w:val="auto"/>
              </w:rPr>
            </w:pPr>
            <w:r>
              <w:rPr>
                <w:rFonts w:ascii="Arial" w:cs="Arial" w:eastAsia="Arial" w:hAnsi="Arial"/>
                <w:sz w:val="10"/>
                <w:szCs w:val="10"/>
                <w:b w:val="1"/>
                <w:bCs w:val="1"/>
                <w:color w:val="auto"/>
                <w:w w:val="95"/>
              </w:rPr>
              <w:t>Exhibit</w:t>
            </w:r>
          </w:p>
        </w:tc>
        <w:tc>
          <w:tcPr>
            <w:tcW w:w="3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4580" w:type="dxa"/>
            <w:vAlign w:val="bottom"/>
            <w:vMerge w:val="restart"/>
          </w:tcPr>
          <w:p>
            <w:pPr>
              <w:ind w:left="76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19"/>
        </w:trPr>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No.</w:t>
            </w:r>
          </w:p>
        </w:tc>
        <w:tc>
          <w:tcPr>
            <w:tcW w:w="300" w:type="dxa"/>
            <w:vAlign w:val="bottom"/>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45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20" w:type="dxa"/>
            <w:vAlign w:val="bottom"/>
          </w:tcPr>
          <w:p>
            <w:pPr>
              <w:spacing w:after="0"/>
              <w:rPr>
                <w:sz w:val="20"/>
                <w:szCs w:val="20"/>
                <w:color w:val="auto"/>
              </w:rPr>
            </w:pPr>
            <w:r>
              <w:rPr>
                <w:rFonts w:ascii="Arial" w:cs="Arial" w:eastAsia="Arial" w:hAnsi="Arial"/>
                <w:sz w:val="13"/>
                <w:szCs w:val="13"/>
                <w:color w:val="auto"/>
              </w:rPr>
              <w:t>99.1</w:t>
            </w:r>
          </w:p>
        </w:tc>
        <w:tc>
          <w:tcPr>
            <w:tcW w:w="300" w:type="dxa"/>
            <w:vAlign w:val="bottom"/>
          </w:tcPr>
          <w:p>
            <w:pPr>
              <w:spacing w:after="0"/>
              <w:rPr>
                <w:sz w:val="15"/>
                <w:szCs w:val="15"/>
                <w:color w:val="auto"/>
              </w:rPr>
            </w:pPr>
          </w:p>
        </w:tc>
        <w:tc>
          <w:tcPr>
            <w:tcW w:w="2540" w:type="dxa"/>
            <w:vAlign w:val="bottom"/>
            <w:tcBorders>
              <w:bottom w:val="single" w:sz="8" w:color="0000EE"/>
            </w:tcBorders>
          </w:tcPr>
          <w:p>
            <w:pPr>
              <w:spacing w:after="0"/>
              <w:rPr>
                <w:sz w:val="20"/>
                <w:szCs w:val="20"/>
                <w:color w:val="auto"/>
              </w:rPr>
            </w:pPr>
            <w:r>
              <w:rPr>
                <w:rFonts w:ascii="Arial" w:cs="Arial" w:eastAsia="Arial" w:hAnsi="Arial"/>
                <w:sz w:val="13"/>
                <w:szCs w:val="13"/>
                <w:color w:val="0000EE"/>
                <w:w w:val="85"/>
              </w:rPr>
              <w:t>Corporate Presentation, dated September 11, 2023</w:t>
            </w:r>
          </w:p>
        </w:tc>
        <w:tc>
          <w:tcPr>
            <w:tcW w:w="4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0" w:type="dxa"/>
            <w:vAlign w:val="bottom"/>
          </w:tcPr>
          <w:p>
            <w:pPr>
              <w:spacing w:after="0"/>
              <w:rPr>
                <w:sz w:val="20"/>
                <w:szCs w:val="20"/>
                <w:color w:val="auto"/>
              </w:rPr>
            </w:pPr>
            <w:r>
              <w:rPr>
                <w:rFonts w:ascii="Arial" w:cs="Arial" w:eastAsia="Arial" w:hAnsi="Arial"/>
                <w:sz w:val="13"/>
                <w:szCs w:val="13"/>
                <w:color w:val="auto"/>
              </w:rPr>
              <w:t>104</w:t>
            </w:r>
          </w:p>
        </w:tc>
        <w:tc>
          <w:tcPr>
            <w:tcW w:w="300" w:type="dxa"/>
            <w:vAlign w:val="bottom"/>
          </w:tcPr>
          <w:p>
            <w:pPr>
              <w:spacing w:after="0"/>
              <w:rPr>
                <w:sz w:val="20"/>
                <w:szCs w:val="20"/>
                <w:color w:val="auto"/>
              </w:rPr>
            </w:pPr>
          </w:p>
        </w:tc>
        <w:tc>
          <w:tcPr>
            <w:tcW w:w="7120" w:type="dxa"/>
            <w:vAlign w:val="bottom"/>
            <w:gridSpan w:val="2"/>
          </w:tcPr>
          <w:p>
            <w:pPr>
              <w:spacing w:after="0"/>
              <w:rPr>
                <w:sz w:val="20"/>
                <w:szCs w:val="20"/>
                <w:color w:val="auto"/>
              </w:rPr>
            </w:pPr>
            <w:r>
              <w:rPr>
                <w:rFonts w:ascii="Arial" w:cs="Arial" w:eastAsia="Arial" w:hAnsi="Arial"/>
                <w:sz w:val="13"/>
                <w:szCs w:val="13"/>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250"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8" w:lineRule="exact"/>
        <w:rPr>
          <w:sz w:val="20"/>
          <w:szCs w:val="20"/>
          <w:color w:val="auto"/>
        </w:rPr>
      </w:pPr>
    </w:p>
    <w:p>
      <w:pPr>
        <w:ind w:left="640" w:right="899" w:firstLine="309"/>
        <w:spacing w:after="0" w:line="261" w:lineRule="auto"/>
        <w:rPr>
          <w:sz w:val="20"/>
          <w:szCs w:val="20"/>
          <w:color w:val="auto"/>
        </w:rPr>
      </w:pPr>
      <w:r>
        <w:rPr>
          <w:rFonts w:ascii="Arial" w:cs="Arial" w:eastAsia="Arial" w:hAnsi="Arial"/>
          <w:sz w:val="13"/>
          <w:szCs w:val="13"/>
          <w:color w:val="auto"/>
        </w:rPr>
        <w:t>Pursuant to the requirements of the Securities Exchange Act of 1934, as amended, the registrant has duly caused this report to be signed on its behalf by the undersigned hereunto duly authorized.</w:t>
      </w:r>
    </w:p>
    <w:p>
      <w:pPr>
        <w:spacing w:after="0" w:line="145"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INVIVYD, INC.</w:t>
      </w:r>
    </w:p>
    <w:p>
      <w:pPr>
        <w:spacing w:after="0" w:line="158" w:lineRule="exact"/>
        <w:rPr>
          <w:sz w:val="20"/>
          <w:szCs w:val="20"/>
          <w:color w:val="auto"/>
        </w:rPr>
      </w:pPr>
    </w:p>
    <w:p>
      <w:pPr>
        <w:ind w:left="640"/>
        <w:spacing w:after="0"/>
        <w:tabs>
          <w:tab w:leader="none" w:pos="4560" w:val="left"/>
          <w:tab w:leader="none" w:pos="4880" w:val="left"/>
        </w:tabs>
        <w:rPr>
          <w:sz w:val="20"/>
          <w:szCs w:val="20"/>
          <w:color w:val="auto"/>
        </w:rPr>
      </w:pPr>
      <w:r>
        <w:rPr>
          <w:rFonts w:ascii="Arial" w:cs="Arial" w:eastAsia="Arial" w:hAnsi="Arial"/>
          <w:sz w:val="13"/>
          <w:szCs w:val="13"/>
          <w:color w:val="auto"/>
        </w:rPr>
        <w:t>Date: September 11, 2023</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6985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0"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Jill Andersen</w:t>
      </w:r>
    </w:p>
    <w:p>
      <w:pPr>
        <w:spacing w:after="0" w:line="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Legal Officer and Corporate Secretary</w:t>
      </w:r>
    </w:p>
    <w:p>
      <w:pPr>
        <w:sectPr>
          <w:pgSz w:w="11900" w:h="16838" w:orient="portrait"/>
          <w:cols w:equalWidth="0" w:num="1">
            <w:col w:w="9019"/>
          </w:cols>
          <w:pgMar w:left="1440" w:top="250"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2023-09-11T06:13:08Z</dcterms:created>
  <dcterms:modified xsi:type="dcterms:W3CDTF">2023-09-11T06:13:08Z</dcterms:modified>
</cp:coreProperties>
</file>