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MARRAM ELLEN 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80" w:type="dxa"/>
            <w:vAlign w:val="bottom"/>
            <w:gridSpan w:val="7"/>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Adagio Therapeutics,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ADGI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7"/>
            <w:vMerge w:val="continue"/>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11/19/2021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ADAGIO THERAPEUTICS, INC.</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1601 TRAPELO ROAD, SUITE 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WALTHAM</w:t>
            </w:r>
          </w:p>
        </w:tc>
        <w:tc>
          <w:tcPr>
            <w:tcW w:w="1220" w:type="dxa"/>
            <w:vAlign w:val="bottom"/>
            <w:gridSpan w:val="3"/>
          </w:tcPr>
          <w:p>
            <w:pPr>
              <w:spacing w:after="0"/>
              <w:rPr>
                <w:sz w:val="20"/>
                <w:szCs w:val="20"/>
                <w:color w:val="auto"/>
              </w:rPr>
            </w:pPr>
            <w:r>
              <w:rPr>
                <w:rFonts w:ascii="Arial" w:cs="Arial" w:eastAsia="Arial" w:hAnsi="Arial"/>
                <w:sz w:val="17"/>
                <w:szCs w:val="17"/>
                <w:color w:val="0000FF"/>
              </w:rPr>
              <w:t>MA</w:t>
            </w:r>
          </w:p>
        </w:tc>
        <w:tc>
          <w:tcPr>
            <w:tcW w:w="1100" w:type="dxa"/>
            <w:vAlign w:val="bottom"/>
          </w:tcPr>
          <w:p>
            <w:pPr>
              <w:spacing w:after="0"/>
              <w:rPr>
                <w:sz w:val="20"/>
                <w:szCs w:val="20"/>
                <w:color w:val="auto"/>
              </w:rPr>
            </w:pPr>
            <w:r>
              <w:rPr>
                <w:rFonts w:ascii="Arial" w:cs="Arial" w:eastAsia="Arial" w:hAnsi="Arial"/>
                <w:sz w:val="17"/>
                <w:szCs w:val="17"/>
                <w:color w:val="0000FF"/>
              </w:rPr>
              <w:t>02451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8"/>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8"/>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20.07</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Arial" w:cs="Arial" w:eastAsia="Arial" w:hAnsi="Arial"/>
                <w:sz w:val="13"/>
                <w:szCs w:val="13"/>
                <w:color w:val="0000FF"/>
              </w:rPr>
              <w:t>11/19/2021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62,605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11/18/2031</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62,605</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62,605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third (1/3) of the option shall vest on November 19, 2022, and thereafter, the remainder of the option shall vest in 24 equal monthly installments on the 19th day of each month, subject to the Reporting Person's continuous service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Dorothy Vinsky,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11/23/2021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4124"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2021-11-23T17:10:59Z</dcterms:created>
  <dcterms:modified xsi:type="dcterms:W3CDTF">2021-11-23T17:10:59Z</dcterms:modified>
</cp:coreProperties>
</file>