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Invivyd,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7"/>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On November 10, 2022, Invivyd, Inc. (the “Company”) issued a press release providing a corporate update and announcing its financial results for the quarter ended September 30, 2022. A copy of the press release is being furnished as Exhibit 99.1 to this Current Report on Form 8-K and is incorporated by reference to this Item 2.02.</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information furnished pursuant to this Item 2.02, including the attached Exhibit 99.1, shall not be deemed to be “filed” for purposes of Section 18 of the Securities Exchange Act of 1934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10, 2022</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0660"/>
          </w:cols>
          <w:pgMar w:left="440" w:top="297"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Invivyd Reports Third Quarter 2022 Financial Results and Business Highlights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Novel monoclonal antibody combination candidate (NVD200) on track to advance into clinical trials in Q1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$419 million in cash, cash equivalents and marketable securities expected to support operating runway into Q2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Thursday, November 10</w:t>
      </w:r>
      <w:r>
        <w:rPr>
          <w:rFonts w:ascii="Arial" w:cs="Arial" w:eastAsia="Arial" w:hAnsi="Arial"/>
          <w:sz w:val="26"/>
          <w:szCs w:val="26"/>
          <w:i w:val="1"/>
          <w:iCs w:val="1"/>
          <w:color w:val="auto"/>
          <w:vertAlign w:val="superscript"/>
        </w:rPr>
        <w:t>th</w:t>
      </w:r>
      <w:r>
        <w:rPr>
          <w:rFonts w:ascii="Arial" w:cs="Arial" w:eastAsia="Arial" w:hAnsi="Arial"/>
          <w:sz w:val="18"/>
          <w:szCs w:val="18"/>
          <w:i w:val="1"/>
          <w:iCs w:val="1"/>
          <w:color w:val="auto"/>
        </w:rPr>
        <w:t xml:space="preserve"> at 4:30 p.m. ET</w:t>
      </w:r>
    </w:p>
    <w:p>
      <w:pPr>
        <w:spacing w:after="0" w:line="129"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Waltham, MA – November 10, 2022 </w:t>
      </w:r>
      <w:r>
        <w:rPr>
          <w:rFonts w:ascii="Arial" w:cs="Arial" w:eastAsia="Arial" w:hAnsi="Arial"/>
          <w:sz w:val="16"/>
          <w:szCs w:val="16"/>
          <w:color w:val="auto"/>
        </w:rPr>
        <w:t>– Invivyd, Inc. (Nasdaq: IVVD) a clinical-stage biopharmaceutical company on a mission to protect humanity</w:t>
      </w:r>
      <w:r>
        <w:rPr>
          <w:rFonts w:ascii="Arial" w:cs="Arial" w:eastAsia="Arial" w:hAnsi="Arial"/>
          <w:sz w:val="16"/>
          <w:szCs w:val="16"/>
          <w:b w:val="1"/>
          <w:bCs w:val="1"/>
          <w:color w:val="auto"/>
        </w:rPr>
        <w:t xml:space="preserve"> </w:t>
      </w:r>
      <w:r>
        <w:rPr>
          <w:rFonts w:ascii="Arial" w:cs="Arial" w:eastAsia="Arial" w:hAnsi="Arial"/>
          <w:sz w:val="16"/>
          <w:szCs w:val="16"/>
          <w:color w:val="auto"/>
        </w:rPr>
        <w:t>from serious viral respiratory diseases, today announced financial results and business highlights for the third quarter ended September 30, 2022.</w:t>
      </w:r>
    </w:p>
    <w:p>
      <w:pPr>
        <w:spacing w:after="0" w:line="12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“It has been a productive quarter starting with a corporate rebrand emphasizing our commitment to efficiently generating antibodies that transcend the limits of naturally occurring immunity to prevent and treat life-threatening viral infections, including COVID-19,” said David Hering, chief executive officer of Invivyd. “Innovation in the monoclonal antibody space is desperately needed to create new options that overcome diminishing efficacy due to the rapidly changing nature of the virus. Leveraging our integrated discovery platform, we have engineered NVD200, our recently announced combination antibody product candidate which has potential to provide broad and durable protection against currently circulating and future COVID-19 variants. We look forward to advancing this important program into the clinic in the first quarter of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35" w:lineRule="exact"/>
        <w:rPr>
          <w:sz w:val="20"/>
          <w:szCs w:val="20"/>
          <w:color w:val="auto"/>
        </w:rPr>
      </w:pPr>
    </w:p>
    <w:p>
      <w:pPr>
        <w:ind w:left="960" w:right="80" w:hanging="424"/>
        <w:spacing w:after="0" w:line="27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July, the Company named David Hering chief executive officer. Dave had served as the company’s interim chief executive officer and chief operating officer since February 2022. Dave brings a broad biotech and infectious disease background having served in numerous leadership roles at Novartis and Pfizer, including most recently as the president of North America Vaccines of Pfizer, Inc. where he led the launch of the first and market leading COVID-19 vaccine and subsequently the head of the mRNA franchise.</w:t>
      </w:r>
    </w:p>
    <w:p>
      <w:pPr>
        <w:spacing w:after="0" w:line="76" w:lineRule="exact"/>
        <w:rPr>
          <w:rFonts w:ascii="Arial" w:cs="Arial" w:eastAsia="Arial" w:hAnsi="Arial"/>
          <w:sz w:val="17"/>
          <w:szCs w:val="17"/>
          <w:color w:val="auto"/>
        </w:rPr>
      </w:pPr>
    </w:p>
    <w:p>
      <w:pPr>
        <w:ind w:left="960" w:right="2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corporate rebranding and name change to reflect the Company’s focus on leveraging its best-in-class integrated discovery platform to develop and commercialize antibodies that transcend the limits of the human immune system to better prevent and treat viral respiratory diseases.</w:t>
      </w:r>
    </w:p>
    <w:p>
      <w:pPr>
        <w:spacing w:after="0" w:line="89" w:lineRule="exact"/>
        <w:rPr>
          <w:rFonts w:ascii="Arial" w:cs="Arial" w:eastAsia="Arial" w:hAnsi="Arial"/>
          <w:sz w:val="18"/>
          <w:szCs w:val="18"/>
          <w:color w:val="auto"/>
        </w:rPr>
      </w:pPr>
    </w:p>
    <w:p>
      <w:pPr>
        <w:ind w:left="960" w:right="120" w:hanging="424"/>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September, the Company announced that it will advance NVD200 into clinical trials in the first quarter of 2023. NVD200 is a combination of two monoclonal antibodies, one being a re-engineered version of adintrevimab, which demonstrated clinically meaningful results in Phase 2/3 trials prior to the emergence of the Omicron variant. NVD200 has demonstrated potent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neutralizing activity against prior and current SARS-CoV-2 variants of concern, including Omicron sublineages, as well as the more antigenically divergent SARS-CoV-1.</w:t>
      </w:r>
    </w:p>
    <w:p>
      <w:pPr>
        <w:spacing w:after="0" w:line="93"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entered into a facilities lease agreement for a total of 9,600 square feet of dedicated laboratory and office space in Newton, Massachusetts. The increased space will enable the build out of additional discovery and development capabilities to maximize the potential of Invivyd’s integrated discovery platform.</w:t>
      </w:r>
    </w:p>
    <w:p>
      <w:pPr>
        <w:sectPr>
          <w:pgSz w:w="11900" w:h="16838" w:orient="portrait"/>
          <w:cols w:equalWidth="0" w:num="1">
            <w:col w:w="11020"/>
          </w:cols>
          <w:pgMar w:left="440" w:top="121" w:right="439" w:bottom="1440" w:gutter="0" w:footer="0" w:header="0"/>
        </w:sectPr>
      </w:pPr>
    </w:p>
    <w:bookmarkStart w:id="4" w:name="page5"/>
    <w:bookmarkEnd w:id="4"/>
    <w:p>
      <w:pPr>
        <w:ind w:left="960" w:right="5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September, the Company entered into a Platform Transfer Agreement with Adimab for the right to use its platform technology to discover, engineer and optimize antibodies.</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Invivyd presented four posters in October at ID Week 2022 in Washington, D.C. that shared data from several studies surrounding adintrevimab, including data from the Phase 1 and Phase 2/3 clinical trials.</w:t>
      </w:r>
    </w:p>
    <w:p>
      <w:pPr>
        <w:spacing w:after="0" w:line="75"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the Company announced key leadership appointments with Fred Driscoll joining as interim chief financial officer and Christine Lindenboom joining the board of directors. The changes broaden the Company’s industry expertise in support of its development plans. The company also announced headcount changes to align resources to focus on its key programs, improve capital efficiency and operate on an accelerated timeline.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13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marketable securities were $419 million as of September 30, 2022.</w:t>
      </w:r>
    </w:p>
    <w:p>
      <w:pPr>
        <w:spacing w:after="0" w:line="130" w:lineRule="exact"/>
        <w:rPr>
          <w:rFonts w:ascii="Arial" w:cs="Arial" w:eastAsia="Arial" w:hAnsi="Arial"/>
          <w:sz w:val="18"/>
          <w:szCs w:val="18"/>
          <w:color w:val="auto"/>
        </w:rPr>
      </w:pPr>
    </w:p>
    <w:p>
      <w:pPr>
        <w:ind w:left="960" w:right="220" w:hanging="424"/>
        <w:spacing w:after="0" w:line="28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Runway: </w:t>
      </w:r>
      <w:r>
        <w:rPr>
          <w:rFonts w:ascii="Arial" w:cs="Arial" w:eastAsia="Arial" w:hAnsi="Arial"/>
          <w:sz w:val="18"/>
          <w:szCs w:val="18"/>
          <w:color w:val="auto"/>
        </w:rPr>
        <w:t>Based on current operating plans, Invivyd expects its existing total cash, cash equivalents and marketable securities will</w:t>
      </w:r>
      <w:r>
        <w:rPr>
          <w:rFonts w:ascii="Arial" w:cs="Arial" w:eastAsia="Arial" w:hAnsi="Arial"/>
          <w:sz w:val="18"/>
          <w:szCs w:val="18"/>
          <w:b w:val="1"/>
          <w:bCs w:val="1"/>
          <w:color w:val="auto"/>
        </w:rPr>
        <w:t xml:space="preserve"> </w:t>
      </w:r>
      <w:r>
        <w:rPr>
          <w:rFonts w:ascii="Arial" w:cs="Arial" w:eastAsia="Arial" w:hAnsi="Arial"/>
          <w:sz w:val="18"/>
          <w:szCs w:val="18"/>
          <w:color w:val="auto"/>
        </w:rPr>
        <w:t>enable the company to fund its operating expenses into the second quarter of 2024.</w:t>
      </w:r>
    </w:p>
    <w:p>
      <w:pPr>
        <w:spacing w:after="0" w:line="67" w:lineRule="exact"/>
        <w:rPr>
          <w:rFonts w:ascii="Arial" w:cs="Arial" w:eastAsia="Arial" w:hAnsi="Arial"/>
          <w:sz w:val="18"/>
          <w:szCs w:val="18"/>
          <w:color w:val="auto"/>
        </w:rPr>
      </w:pPr>
    </w:p>
    <w:p>
      <w:pPr>
        <w:ind w:left="960" w:right="20" w:hanging="424"/>
        <w:spacing w:after="0" w:line="26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Research &amp; Development (R&amp;D) Expenses (including In-process Research and Development): </w:t>
      </w:r>
      <w:r>
        <w:rPr>
          <w:rFonts w:ascii="Arial" w:cs="Arial" w:eastAsia="Arial" w:hAnsi="Arial"/>
          <w:sz w:val="18"/>
          <w:szCs w:val="18"/>
          <w:color w:val="auto"/>
        </w:rPr>
        <w:t>R&amp;D expenses were $34.1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2022, compared to $49.4 million for the comparable period of 2021. This decrease is attributable to wind-down of adintrevimab clinical trials and manufacturing, partially offset by contract manufacturing expenses related to the production of materials for use in NVD200 clinical trials and non-clinical studies.</w:t>
      </w:r>
    </w:p>
    <w:p>
      <w:pPr>
        <w:spacing w:after="0" w:line="85" w:lineRule="exact"/>
        <w:rPr>
          <w:rFonts w:ascii="Arial" w:cs="Arial" w:eastAsia="Arial" w:hAnsi="Arial"/>
          <w:sz w:val="18"/>
          <w:szCs w:val="18"/>
          <w:color w:val="auto"/>
        </w:rPr>
      </w:pPr>
    </w:p>
    <w:p>
      <w:pPr>
        <w:ind w:left="960" w:right="22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Selling, General &amp; Administrative (SG&amp;A) Expenses: </w:t>
      </w:r>
      <w:r>
        <w:rPr>
          <w:rFonts w:ascii="Arial" w:cs="Arial" w:eastAsia="Arial" w:hAnsi="Arial"/>
          <w:sz w:val="18"/>
          <w:szCs w:val="18"/>
          <w:color w:val="auto"/>
        </w:rPr>
        <w:t>SG&amp;A expenses were $13.2 million for the third quarter of 2022,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$11.1 million for the comparable period of 2021. This increase is attributable to higher public company costs and personnel related expenses.</w:t>
      </w:r>
    </w:p>
    <w:p>
      <w:pPr>
        <w:spacing w:after="0" w:line="81" w:lineRule="exact"/>
        <w:rPr>
          <w:rFonts w:ascii="Arial" w:cs="Arial" w:eastAsia="Arial" w:hAnsi="Arial"/>
          <w:sz w:val="18"/>
          <w:szCs w:val="18"/>
          <w:color w:val="auto"/>
        </w:rPr>
      </w:pPr>
    </w:p>
    <w:p>
      <w:pPr>
        <w:jc w:val="both"/>
        <w:ind w:left="96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and Net Loss per Share: </w:t>
      </w:r>
      <w:r>
        <w:rPr>
          <w:rFonts w:ascii="Arial" w:cs="Arial" w:eastAsia="Arial" w:hAnsi="Arial"/>
          <w:sz w:val="18"/>
          <w:szCs w:val="18"/>
          <w:color w:val="auto"/>
        </w:rPr>
        <w:t>Net loss was $45.1 million for the third quarter of 2022, compared to $60.4 million for the comparable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2021. Basic and diluted net loss per share was $0.42 for the third quarter of 2022, compared to $0.98 for the comparable period in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connection with this announcement, Invivyd will host a conference call and webcast today at 4:30 p.m. ET. A live audio webcast will be available at invivyd.com/investors. Interested parties may also register for the webcast via this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Analysts wishing to participate in the question and answer session should use this </w:t>
      </w:r>
      <w:r>
        <w:rPr>
          <w:rFonts w:ascii="Arial" w:cs="Arial" w:eastAsia="Arial" w:hAnsi="Arial"/>
          <w:sz w:val="18"/>
          <w:szCs w:val="18"/>
          <w:u w:val="single" w:color="auto"/>
          <w:color w:val="auto"/>
        </w:rPr>
        <w:t>link</w:t>
      </w:r>
      <w:r>
        <w:rPr>
          <w:rFonts w:ascii="Arial" w:cs="Arial" w:eastAsia="Arial" w:hAnsi="Arial"/>
          <w:sz w:val="18"/>
          <w:szCs w:val="18"/>
          <w:color w:val="auto"/>
        </w:rPr>
        <w:t>. A replay of the webcast will be available via the company’s investor website approximately two hours after the call’s conclusion. Those who plan on participating are advised to join 15 minutes prior to the start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Invivyd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(Nasdaq: IVVD)</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company’s integrated discovery platform is generating a robust pipeline of products for use in both prevention and treatment of disease. NVD200, Invivyd’s</w:t>
      </w:r>
    </w:p>
    <w:p>
      <w:pPr>
        <w:sectPr>
          <w:pgSz w:w="11900" w:h="16838" w:orient="portrait"/>
          <w:cols w:equalWidth="0" w:num="1">
            <w:col w:w="11000"/>
          </w:cols>
          <w:pgMar w:left="440" w:top="274" w:right="459" w:bottom="1440" w:gutter="0" w:footer="0" w:header="0"/>
        </w:sectPr>
      </w:pPr>
    </w:p>
    <w:bookmarkStart w:id="5" w:name="page6"/>
    <w:bookmarkEnd w:id="5"/>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first antibody combination product candidate for the prevention and treatment of COVID-19, includes a re-engineered version of adintrevimab, an investigational monoclonal antibody which demonstrated clinically meaningful results against multiple variants of concern in global Phase 2/3 clinical trials for the prevention and treatment of COVID-19, prior to the emergence of Omicron. The safety and efficacy of adintrevimab have not been established. The company also has multiple discovery stage candidates for the prevention of seasonal influenza. Visit </w:t>
      </w:r>
      <w:r>
        <w:rPr>
          <w:rFonts w:ascii="Arial" w:cs="Arial" w:eastAsia="Arial" w:hAnsi="Arial"/>
          <w:sz w:val="16"/>
          <w:szCs w:val="16"/>
          <w:u w:val="single" w:color="auto"/>
          <w:color w:val="auto"/>
        </w:rPr>
        <w:t>www.invivyd.com</w:t>
      </w:r>
      <w:r>
        <w:rPr>
          <w:rFonts w:ascii="Arial" w:cs="Arial" w:eastAsia="Arial" w:hAnsi="Arial"/>
          <w:sz w:val="16"/>
          <w:szCs w:val="16"/>
          <w:color w:val="auto"/>
        </w:rPr>
        <w:t xml:space="preserve"> to learn more.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provide durable and broad protection against currently circulating and future COVID-19 variants, and to overcome diminishing efficacy due to the rapidly changing nature of the virus in the U.S. and globally; our expected cash runway, our plans, technology and resources to develop therapeutic or preventative options for other infectious diseases, such as additional coronaviruses and seasonal influenza, in the U.S. and globally; the benefit of the increased leased laboratory space to allow for additional discovery and development capabilities and output from our integrated discovery platform; the implementation and impact of the restructuring plan and the intended benefits to the company from the plan;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we may not realize the expected benefits from the restructuring plan, including accelerated timelines and enhanced discovery and development process and outcomes, and we may incur costs associated with implementation of the restructuring plan in addition to those currently contemplated; potential disruptions to the business as a result of the restructuring plan and the management transition; we may not realize discovery or development benefits from the additional leased lab space; the impacts of the COVID-19 pandemic on our business and those of our collaborators, our clinical trials and our financial position; unexpected safety or efficacy data observed during preclinical studies or clinical trials; the predictability of clinical success 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provide durable and broad protection against currently circulating and future COVID-19 variants, or overcome diminishing efficacy due to the rapidly changing nature of the virus in the U.S. and globally; whether we are able to successfully submit an emergency use authorization in the</w:t>
      </w:r>
    </w:p>
    <w:p>
      <w:pPr>
        <w:sectPr>
          <w:pgSz w:w="11900" w:h="16838" w:orient="portrait"/>
          <w:cols w:equalWidth="0" w:num="1">
            <w:col w:w="11000"/>
          </w:cols>
          <w:pgMar w:left="440" w:top="274" w:right="45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our Quarterly Report on Form 10-Q for the quarter ended September 30, 2022 to be filed after the issuance of this release,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hyperlinks to information that is not deemed to be incorporated by reference in this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Tony Berry, Evoke Canale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774-317-0422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anthony.berry@evokegroup.com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 Brinzey, ICR Westwicke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chris.brinzey@westwicke.com</w:t>
      </w:r>
    </w:p>
    <w:p>
      <w:pPr>
        <w:sectPr>
          <w:pgSz w:w="11900" w:h="16838" w:orient="portrait"/>
          <w:cols w:equalWidth="0" w:num="1">
            <w:col w:w="11000"/>
          </w:cols>
          <w:pgMar w:left="440" w:top="274"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278,152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542,224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140,517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49,194</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25,293</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421,596</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616,711</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1,486</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3,297</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424,747</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620,091</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28,974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56,277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62,060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Early-exercise liability</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liability</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47,304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62,072</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780" w:type="dxa"/>
            <w:vAlign w:val="bottom"/>
          </w:tcPr>
          <w:p>
            <w:pPr>
              <w:ind w:left="720"/>
              <w:spacing w:after="0" w:line="201" w:lineRule="exact"/>
              <w:rPr>
                <w:sz w:val="20"/>
                <w:szCs w:val="20"/>
                <w:color w:val="auto"/>
              </w:rPr>
            </w:pPr>
            <w:r>
              <w:rPr>
                <w:rFonts w:ascii="Arial" w:cs="Arial" w:eastAsia="Arial" w:hAnsi="Arial"/>
                <w:sz w:val="18"/>
                <w:szCs w:val="18"/>
                <w:color w:val="auto"/>
                <w:w w:val="93"/>
              </w:rPr>
              <w:t>Preferred stock (undesignated), $0.0001 par value; 10,000,000 shares authorized and no shares issued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80" w:type="dxa"/>
            <w:vAlign w:val="bottom"/>
          </w:tcPr>
          <w:p>
            <w:pPr>
              <w:ind w:left="900"/>
              <w:spacing w:after="0"/>
              <w:rPr>
                <w:sz w:val="20"/>
                <w:szCs w:val="20"/>
                <w:color w:val="auto"/>
              </w:rPr>
            </w:pPr>
            <w:r>
              <w:rPr>
                <w:rFonts w:ascii="Arial" w:cs="Arial" w:eastAsia="Arial" w:hAnsi="Arial"/>
                <w:sz w:val="18"/>
                <w:szCs w:val="18"/>
                <w:color w:val="auto"/>
              </w:rPr>
              <w:t>outstanding at September 30, 2022 and December 31, 2021</w:t>
            </w: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Common stock, $0.0001 par value; 1,000,000,000 shares authorized, 108,957,401 shares issued and</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outstanding at September 30, 2022; 1,000,000,000 shares authorized, 111,251,660 shares issued and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110,782,909 shares outstanding at December 31, 2021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02"/>
        </w:trPr>
        <w:tc>
          <w:tcPr>
            <w:tcW w:w="8780" w:type="dxa"/>
            <w:vAlign w:val="bottom"/>
          </w:tcPr>
          <w:p>
            <w:pPr>
              <w:ind w:left="720"/>
              <w:spacing w:after="0" w:line="201" w:lineRule="exact"/>
              <w:rPr>
                <w:sz w:val="20"/>
                <w:szCs w:val="20"/>
                <w:color w:val="auto"/>
              </w:rPr>
            </w:pPr>
            <w:r>
              <w:rPr>
                <w:rFonts w:ascii="Arial" w:cs="Arial" w:eastAsia="Arial" w:hAnsi="Arial"/>
                <w:sz w:val="18"/>
                <w:szCs w:val="18"/>
                <w:color w:val="auto"/>
                <w:w w:val="98"/>
              </w:rPr>
              <w:t>Treasury stock, at cost; 0 shares and 468,751 shares at September 30, 2022 and December 31, 2021,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80" w:type="dxa"/>
            <w:vAlign w:val="bottom"/>
          </w:tcPr>
          <w:p>
            <w:pPr>
              <w:ind w:left="9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866,238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850,125</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(488,852)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(292,109)</w:t>
            </w: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377,443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558,019</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424,747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620,091</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1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INVIVYD, INC.</w:t>
      </w:r>
    </w:p>
    <w:p>
      <w:pPr>
        <w:spacing w:after="0" w:line="27"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Nine Months</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line="216"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5"/>
                <w:szCs w:val="25"/>
                <w:color w:val="auto"/>
                <w:vertAlign w:val="superscript"/>
              </w:rPr>
              <w:t>(1)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30,131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45,366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159,295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Acquired in-process research and development</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36,524</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199,819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143,818</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(199,819)</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(196,743)</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ind w:left="340"/>
              <w:spacing w:after="0" w:line="201" w:lineRule="exact"/>
              <w:rPr>
                <w:sz w:val="20"/>
                <w:szCs w:val="20"/>
                <w:color w:val="auto"/>
              </w:rPr>
            </w:pPr>
            <w:r>
              <w:rPr>
                <w:rFonts w:ascii="Arial" w:cs="Arial" w:eastAsia="Arial" w:hAnsi="Arial"/>
                <w:sz w:val="18"/>
                <w:szCs w:val="18"/>
                <w:color w:val="auto"/>
                <w:w w:val="96"/>
              </w:rPr>
              <w:t>Unrealized gain on available-for-sale securities, net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520"/>
              <w:spacing w:after="0"/>
              <w:rPr>
                <w:sz w:val="20"/>
                <w:szCs w:val="20"/>
                <w:color w:val="auto"/>
              </w:rPr>
            </w:pPr>
            <w:r>
              <w:rPr>
                <w:rFonts w:ascii="Arial" w:cs="Arial" w:eastAsia="Arial" w:hAnsi="Arial"/>
                <w:sz w:val="18"/>
                <w:szCs w:val="18"/>
                <w:color w:val="auto"/>
              </w:rPr>
              <w:t>tax</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(45,041)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(60,372)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(196,689)</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(143,745)</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360" w:type="dxa"/>
            <w:vAlign w:val="bottom"/>
            <w:gridSpan w:val="2"/>
            <w:vMerge w:val="restart"/>
          </w:tcPr>
          <w:p>
            <w:pPr>
              <w:ind w:left="260"/>
              <w:spacing w:after="0"/>
              <w:rPr>
                <w:sz w:val="20"/>
                <w:szCs w:val="20"/>
                <w:color w:val="auto"/>
              </w:rPr>
            </w:pPr>
            <w:r>
              <w:rPr>
                <w:rFonts w:ascii="Arial" w:cs="Arial" w:eastAsia="Arial" w:hAnsi="Arial"/>
                <w:sz w:val="20"/>
                <w:szCs w:val="20"/>
                <w:color w:val="auto"/>
                <w:w w:val="71"/>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(0.42)</w:t>
            </w:r>
          </w:p>
        </w:tc>
        <w:tc>
          <w:tcPr>
            <w:tcW w:w="300" w:type="dxa"/>
            <w:vAlign w:val="bottom"/>
            <w:gridSpan w:val="2"/>
            <w:vMerge w:val="restart"/>
          </w:tcPr>
          <w:p>
            <w:pPr>
              <w:ind w:left="200"/>
              <w:spacing w:after="0"/>
              <w:rPr>
                <w:sz w:val="20"/>
                <w:szCs w:val="20"/>
                <w:color w:val="auto"/>
              </w:rPr>
            </w:pPr>
            <w:r>
              <w:rPr>
                <w:rFonts w:ascii="Arial" w:cs="Arial" w:eastAsia="Arial" w:hAnsi="Arial"/>
                <w:sz w:val="20"/>
                <w:szCs w:val="20"/>
                <w:color w:val="auto"/>
                <w:w w:val="71"/>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(0.98)</w:t>
            </w:r>
          </w:p>
        </w:tc>
        <w:tc>
          <w:tcPr>
            <w:tcW w:w="300" w:type="dxa"/>
            <w:vAlign w:val="bottom"/>
            <w:gridSpan w:val="2"/>
            <w:vMerge w:val="restart"/>
          </w:tcPr>
          <w:p>
            <w:pPr>
              <w:ind w:left="200"/>
              <w:spacing w:after="0"/>
              <w:rPr>
                <w:sz w:val="20"/>
                <w:szCs w:val="20"/>
                <w:color w:val="auto"/>
              </w:rPr>
            </w:pPr>
            <w:r>
              <w:rPr>
                <w:rFonts w:ascii="Arial" w:cs="Arial" w:eastAsia="Arial" w:hAnsi="Arial"/>
                <w:sz w:val="20"/>
                <w:szCs w:val="20"/>
                <w:color w:val="auto"/>
                <w:w w:val="71"/>
              </w:rPr>
              <w:t>$</w:t>
            </w: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(1.82)</w:t>
            </w:r>
          </w:p>
        </w:tc>
        <w:tc>
          <w:tcPr>
            <w:tcW w:w="120" w:type="dxa"/>
            <w:vAlign w:val="bottom"/>
            <w:vMerge w:val="restart"/>
          </w:tcPr>
          <w:p>
            <w:pPr>
              <w:spacing w:after="0"/>
              <w:rPr>
                <w:sz w:val="20"/>
                <w:szCs w:val="20"/>
                <w:color w:val="auto"/>
              </w:rPr>
            </w:pPr>
            <w:r>
              <w:rPr>
                <w:rFonts w:ascii="Arial" w:cs="Arial" w:eastAsia="Arial" w:hAnsi="Arial"/>
                <w:sz w:val="20"/>
                <w:szCs w:val="20"/>
                <w:color w:val="auto"/>
                <w:w w:val="89"/>
              </w:rPr>
              <w:t>$</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Weighted-average common shares outstanding, 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108,420,674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61,297,086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108,154,397</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20,346,771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34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related-party amounts of $1,742 and $6,027 for the three and nine months ended September 30, 2022, respectively, and $1,826 and $2,261 for the three and nine months ended September 30, 2021, respectively.</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related-party amounts of $4,000 for both the three and nine months ended September 30, 2022, and $4,000 and $7,500 for the three and nine months ended September 30, 2021, respectively.</w:t>
      </w:r>
    </w:p>
    <w:sectPr>
      <w:pgSz w:w="11900" w:h="16838" w:orient="portrait"/>
      <w:cols w:equalWidth="0" w:num="1">
        <w:col w:w="10844"/>
      </w:cols>
      <w:pgMar w:left="436"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2022-11-10T16:07:00Z</dcterms:created>
  <dcterms:modified xsi:type="dcterms:W3CDTF">2022-11-10T16:07:00Z</dcterms:modified>
</cp:coreProperties>
</file>