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Adagio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0" w:lineRule="exact"/>
        <w:rPr>
          <w:sz w:val="24"/>
          <w:szCs w:val="24"/>
          <w:color w:val="auto"/>
        </w:rPr>
      </w:pPr>
    </w:p>
    <w:p>
      <w:pPr>
        <w:spacing w:after="0" w:line="21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1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Philip Chase</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 Lucent Drive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Lebanon, NH 03766</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(603) 643-7110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March 28,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1" w:lineRule="exact"/>
        <w:rPr>
          <w:sz w:val="24"/>
          <w:szCs w:val="24"/>
          <w:color w:val="auto"/>
        </w:rPr>
      </w:pPr>
    </w:p>
    <w:p>
      <w:pPr>
        <w:ind w:left="4" w:right="12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5"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2"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jc w:val="center"/>
              <w:ind w:right="132"/>
              <w:spacing w:after="0"/>
              <w:rPr>
                <w:sz w:val="20"/>
                <w:szCs w:val="20"/>
                <w:color w:val="auto"/>
              </w:rPr>
            </w:pPr>
            <w:r>
              <w:rPr>
                <w:rFonts w:ascii="Times New Roman" w:cs="Times New Roman" w:eastAsia="Times New Roman" w:hAnsi="Times New Roman"/>
                <w:sz w:val="18"/>
                <w:szCs w:val="18"/>
                <w:color w:val="auto"/>
              </w:rPr>
              <w:t>CUSIP No. 00534A102</w:t>
            </w:r>
          </w:p>
        </w:tc>
        <w:tc>
          <w:tcPr>
            <w:tcW w:w="45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13D</w:t>
            </w:r>
          </w:p>
        </w:tc>
        <w:tc>
          <w:tcPr>
            <w:tcW w:w="450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w w:val="99"/>
              </w:rPr>
              <w:t>Page 1 of 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4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6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Adimab, LLC</w:t>
            </w:r>
          </w:p>
        </w:tc>
        <w:tc>
          <w:tcPr>
            <w:tcW w:w="458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608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Group(a)</w:t>
            </w:r>
          </w:p>
        </w:tc>
        <w:tc>
          <w:tcPr>
            <w:tcW w:w="44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2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580" w:type="dxa"/>
            <w:vAlign w:val="bottom"/>
          </w:tcPr>
          <w:p>
            <w:pPr>
              <w:spacing w:after="0"/>
              <w:rPr>
                <w:sz w:val="24"/>
                <w:szCs w:val="24"/>
                <w:color w:val="auto"/>
              </w:rPr>
            </w:pPr>
          </w:p>
        </w:tc>
        <w:tc>
          <w:tcPr>
            <w:tcW w:w="44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4580" w:type="dxa"/>
            <w:vAlign w:val="bottom"/>
          </w:tcPr>
          <w:p>
            <w:pPr>
              <w:spacing w:after="0"/>
              <w:rPr>
                <w:sz w:val="19"/>
                <w:szCs w:val="19"/>
                <w:color w:val="auto"/>
              </w:rPr>
            </w:pPr>
          </w:p>
        </w:tc>
        <w:tc>
          <w:tcPr>
            <w:tcW w:w="4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6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4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4"/>
                <w:szCs w:val="24"/>
                <w:color w:val="auto"/>
              </w:rPr>
            </w:pPr>
          </w:p>
        </w:tc>
        <w:tc>
          <w:tcPr>
            <w:tcW w:w="6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440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gridSpan w:val="2"/>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tcPr>
          <w:p>
            <w:pPr>
              <w:spacing w:after="0"/>
              <w:rPr>
                <w:sz w:val="16"/>
                <w:szCs w:val="16"/>
                <w:color w:val="auto"/>
              </w:rPr>
            </w:pPr>
          </w:p>
        </w:tc>
        <w:tc>
          <w:tcPr>
            <w:tcW w:w="440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6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44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26,687,906</w:t>
            </w:r>
          </w:p>
        </w:tc>
        <w:tc>
          <w:tcPr>
            <w:tcW w:w="44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44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4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44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4580" w:type="dxa"/>
            <w:vAlign w:val="bottom"/>
            <w:vMerge w:val="continue"/>
          </w:tcPr>
          <w:p>
            <w:pPr>
              <w:spacing w:after="0"/>
              <w:rPr>
                <w:sz w:val="9"/>
                <w:szCs w:val="9"/>
                <w:color w:val="auto"/>
              </w:rPr>
            </w:pPr>
          </w:p>
        </w:tc>
        <w:tc>
          <w:tcPr>
            <w:tcW w:w="44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44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44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4580" w:type="dxa"/>
            <w:vAlign w:val="bottom"/>
            <w:tcBorders>
              <w:bottom w:val="single" w:sz="8" w:color="auto"/>
            </w:tcBorders>
            <w:vMerge w:val="continue"/>
          </w:tcPr>
          <w:p>
            <w:pPr>
              <w:spacing w:after="0"/>
              <w:rPr>
                <w:sz w:val="10"/>
                <w:szCs w:val="10"/>
                <w:color w:val="auto"/>
              </w:rPr>
            </w:pPr>
          </w:p>
        </w:tc>
        <w:tc>
          <w:tcPr>
            <w:tcW w:w="44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44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tcBorders>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44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tcBorders>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4580" w:type="dxa"/>
            <w:vAlign w:val="bottom"/>
          </w:tcPr>
          <w:p>
            <w:pPr>
              <w:spacing w:after="0"/>
              <w:rPr>
                <w:sz w:val="5"/>
                <w:szCs w:val="5"/>
                <w:color w:val="auto"/>
              </w:rPr>
            </w:pPr>
          </w:p>
        </w:tc>
        <w:tc>
          <w:tcPr>
            <w:tcW w:w="44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26,687,906</w:t>
            </w:r>
          </w:p>
        </w:tc>
        <w:tc>
          <w:tcPr>
            <w:tcW w:w="44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0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44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26,687,906</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60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44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6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4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6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4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OO (Limited Liability Company)</w:t>
            </w:r>
          </w:p>
        </w:tc>
        <w:tc>
          <w:tcPr>
            <w:tcW w:w="44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tabs>
          <w:tab w:leader="none" w:pos="556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00534A102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2 of 6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Common Stock, par value $0.0001 per share (the “Common Stock”), of Adagio Therapeutics, Inc., a Delaware corporation (the “Issuer”), whose principal executive office is located at 1601 Trapelo Road, Suite 178, Waltham, MA 02451.</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Schedule 13D is being filed by Adimab, LLC (the “Reporting Person”), a Delaware limited liability company. The business address of the Reporting Person is 7 Lucent Drive, Lebanon, NH 03766. The Reporting Person’s present principal occupation is to provide therapeutic antibody discovery and engineering technologies.</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directors and executive officers of the Reporting Person (collectively, the “Related Persons”) is included on Appendix A to this Schedule 13D.</w:t>
      </w:r>
    </w:p>
    <w:p>
      <w:pPr>
        <w:spacing w:after="0" w:line="162"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During the last five years, neither the Reporting Person nor any Related Person has been (i) convicted in any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the Issuer’s initial public offering (the “IPO”), the Reporting Person acquired shares of Common Stock and preferred stock of the Issuer in exchange for an assignment of intellectual property and a license valued at $40 million, acquired shares of preferred stock for an aggregate of</w:t>
      </w: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$12.5 million in cash consideration and was transferred shares of Common Stock that were initially issued by the Issuer to Tillman Gerngross. In connection with the completion of the IPO, each share of preferred stock held by the Reporting Person automatically converted into five shares of Common Stock.</w:t>
      </w:r>
    </w:p>
    <w:p>
      <w:pPr>
        <w:spacing w:after="0" w:line="33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1"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On March 28, 2022, Mithril II LP, in accordance with the Amended and Restated Bylaws of the Issuer (the “Bylaws”), submitted to the Issuer its formal notice of intent (the “Notice”) to nominate, and nomination of, candidates for election to the board of directors of the Issuer (the “Board”) at the 2022 annual meeting of stockholders of the Issuer (including any adjournment or postponement thereof or any special meeting held in lieu thereof, the “2022 Annual Meeting”). The Notice stated that, at the 2022 Annual Meeting, Mithril II LP, in its capacity as a stockholder of record of the Issuer, intends to nominate, and thereby nominates, for election as directors of the Issuer, Mr. Clive A. Meanwell, M.B, Ch.B., M.D., Mr. Marc Elia and</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Ms. Tamsin Berry (each a “Nominee” and, collectively, the “Nominees”). In the Notice, Mithril II LP also reserved the right to withdraw and/or make substitutions for one or more Nominees.</w:t>
      </w:r>
    </w:p>
    <w:p>
      <w:pPr>
        <w:sectPr>
          <w:pgSz w:w="11900" w:h="16838" w:orient="portrait"/>
          <w:cols w:equalWidth="0" w:num="1">
            <w:col w:w="11020"/>
          </w:cols>
          <w:pgMar w:left="440" w:top="266" w:right="439" w:bottom="1440" w:gutter="0" w:footer="0" w:header="0"/>
        </w:sectPr>
      </w:pPr>
    </w:p>
    <w:bookmarkStart w:id="3" w:name="page4"/>
    <w:bookmarkEnd w:id="3"/>
    <w:p>
      <w:pPr>
        <w:spacing w:after="0"/>
        <w:tabs>
          <w:tab w:leader="none" w:pos="556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3 of 6 pages</w:t>
      </w:r>
    </w:p>
    <w:p>
      <w:pPr>
        <w:spacing w:after="0" w:line="162"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Also on March 28, 2022, Mithril II LP and (i) M28 Capital Master Fund LP and Veltro Argento LP (collectively, “M28”), (ii) Polaris Venture Partners V, L.P., Polaris Venture Partners Entrepreneurs’ Fund V, L.P., Polaris Venture Partners Founders’ Fund V, L.P., Polaris Venture Partners Special Founders’ Fund V, L.P., Polaris Partners IX, L.P. and Polaris Healthcare Technology Opportunities Fund, L.P. (collectively, “Polaris”), (iii) the Reporting Person and (iv) Population Health Equity Partners III, L.P., Population Health Equity Partners VII, L.P. and Clive Meanwell (“Population Health”) agreed to vote all of their respective shares of the Issuer’s Common Stock in favor of the election of the Nominees at the 2022 Annual Meeting.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 acquired the securities described in this Schedule 13D for investment purposes and intends to review its investment in the Issuer on a continuing basis.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Reporting Person may acquire additional securities of the Issuer, or retain or sell all or a portion of the securities then held, in the open market or in privately negotiated transactions. In addition to the communications described in this Item 4, the Reporting Person may engage in discussions with management, the Issuer’s board of directors, and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Common Stock; sales or acquisitions of assets or businesses; changes to the capitalization or dividend policy of the Issuer; or other material changes to the Issuer’s business or corporate structure, including changes in management or the composition of the board of directors.</w:t>
      </w:r>
    </w:p>
    <w:p>
      <w:pPr>
        <w:spacing w:after="0" w:line="18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in this Item 4, the Reporting Person does not currently have any plans or proposals that relate to, or would result in, any of the matters listed in Items 4(a)–(j) of Schedule 13D, although, depending on the factors discussed herein, the Reporting Person may change his purpose or formulate different plans or proposals with respect thereto at any time.</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131" w:lineRule="exact"/>
        <w:rPr>
          <w:sz w:val="20"/>
          <w:szCs w:val="20"/>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26,687,906</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24.0%</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the Reporting Person has: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26,687,906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0</w:t>
      </w:r>
    </w:p>
    <w:p>
      <w:pPr>
        <w:sectPr>
          <w:pgSz w:w="11900" w:h="16838" w:orient="portrait"/>
          <w:cols w:equalWidth="0" w:num="1">
            <w:col w:w="11020"/>
          </w:cols>
          <w:pgMar w:left="440" w:top="266" w:right="439" w:bottom="1440" w:gutter="0" w:footer="0" w:header="0"/>
        </w:sectPr>
      </w:pPr>
    </w:p>
    <w:bookmarkStart w:id="4" w:name="page5"/>
    <w:bookmarkEnd w:id="4"/>
    <w:p>
      <w:pPr>
        <w:ind w:left="4"/>
        <w:spacing w:after="0"/>
        <w:tabs>
          <w:tab w:leader="none" w:pos="5564" w:val="left"/>
          <w:tab w:leader="none" w:pos="97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4 of 6 pages</w:t>
      </w:r>
    </w:p>
    <w:p>
      <w:pPr>
        <w:spacing w:after="0" w:line="162"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of: 26,687,906</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of: 0</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above percentage is based on 111,251,660 shares of Common Stock outstanding as of November 8, 2021, as reported in the Issuer’s Quarterly Report on Form 10-Q for the quarter ended September 30, 2021.</w:t>
      </w:r>
    </w:p>
    <w:p>
      <w:pPr>
        <w:spacing w:after="0" w:line="162"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On March 28, 2022, Mithril II LP, M28, Polaris, Population Health and the Reporting Person (collectively, the “Stockholders”),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the Nominees at the 2022 Annual Meeting. By virtue of such agreement, the Reporting Person may be deemed to be part of a “group” (within the meaning of Section 13(d)(3) of the Act) comprised of the Stockholders.</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Each of the Stockholders and certain of their affiliates will file a separate Schedule 13D (or as applicable, a Schedule 13D amendment) containing the required information with respect to such persons, including reporting the interests in Common Stock that such persons may be deemed to beneficially own. The Reporting Person does not assume any responsibility for the information contained in the Schedule 13Ds or Schedule 13D amendments filed by such other persons. Based in part on information provided by or behalf of such other persons, the Stockholders may be deemed to beneficially own in the aggregate 54,061,113 shares of Common Stock, representing 48.6% of the outstanding shares of Common Stock (based on 111,251,660 shares of Common Stock outstanding, as reported by the Issuer in its Form 10-Q filed with the Commission on November 15, 2021). The Reporting Person expressly disclaims beneficial ownership over any Common Stock that it may be deemed to beneficially owned solely by reason of the agreement reached among the Stockholders.</w:t>
      </w:r>
    </w:p>
    <w:p>
      <w:pPr>
        <w:spacing w:after="0" w:line="97"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agreement among the Stockholders included in Item 4 of this Schedule 13D and the email memorializing such agreement attached as Exhibit 1 hereto are each incorporated herein by reference.</w:t>
      </w:r>
    </w:p>
    <w:p>
      <w:pPr>
        <w:spacing w:after="0" w:line="162"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Except for the foregoing, the Reporting Person does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ectPr>
          <w:pgSz w:w="11900" w:h="16838" w:orient="portrait"/>
          <w:cols w:equalWidth="0" w:num="1">
            <w:col w:w="11024"/>
          </w:cols>
          <w:pgMar w:left="436" w:top="266"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3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9"/>
              </w:rPr>
              <w:t>Page 5 of 6 pages</w:t>
            </w:r>
          </w:p>
        </w:tc>
        <w:tc>
          <w:tcPr>
            <w:tcW w:w="0" w:type="dxa"/>
            <w:vAlign w:val="bottom"/>
          </w:tcPr>
          <w:p>
            <w:pPr>
              <w:spacing w:after="0"/>
              <w:rPr>
                <w:sz w:val="1"/>
                <w:szCs w:val="1"/>
                <w:color w:val="auto"/>
              </w:rPr>
            </w:pPr>
          </w:p>
        </w:tc>
      </w:tr>
      <w:tr>
        <w:trPr>
          <w:trHeight w:val="36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00" w:type="dxa"/>
            <w:vAlign w:val="bottom"/>
          </w:tcPr>
          <w:p>
            <w:pPr>
              <w:spacing w:after="0"/>
              <w:rPr>
                <w:sz w:val="24"/>
                <w:szCs w:val="24"/>
                <w:color w:val="auto"/>
              </w:rPr>
            </w:pPr>
          </w:p>
        </w:tc>
        <w:tc>
          <w:tcPr>
            <w:tcW w:w="35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vMerge w:val="continue"/>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084" w:hanging="1084"/>
        <w:spacing w:after="0"/>
        <w:tabs>
          <w:tab w:leader="none" w:pos="10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memorializing the agreement reached among Mithril II, M28, Polaris, Adimab, LLC and Population Health.</w:t>
      </w:r>
    </w:p>
    <w:p>
      <w:pPr>
        <w:sectPr>
          <w:pgSz w:w="11900" w:h="16838" w:orient="portrait"/>
          <w:cols w:equalWidth="0" w:num="1">
            <w:col w:w="11024"/>
          </w:cols>
          <w:pgMar w:left="436" w:top="266" w:right="439" w:bottom="1440" w:gutter="0" w:footer="0" w:header="0"/>
        </w:sectPr>
      </w:pPr>
    </w:p>
    <w:bookmarkStart w:id="6" w:name="page7"/>
    <w:bookmarkEnd w:id="6"/>
    <w:p>
      <w:pPr>
        <w:spacing w:after="0"/>
        <w:tabs>
          <w:tab w:leader="none" w:pos="556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00534A102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6 of 6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March 30,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Philip Chase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1020"/>
          </w:cols>
          <w:pgMar w:left="440" w:top="26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9"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 name, present principal occupation or employment, business address and citizenship of each of the executive officers and directors of Adimab, LLC are set forth below. The principal business address of each of the executive officers and members is 7 Lucent Drive, Lebanon, NH 03766.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60" w:type="dxa"/>
            <w:vAlign w:val="bottom"/>
          </w:tcPr>
          <w:p>
            <w:pPr>
              <w:spacing w:after="0"/>
              <w:rPr>
                <w:sz w:val="16"/>
                <w:szCs w:val="16"/>
                <w:color w:val="auto"/>
              </w:rPr>
            </w:pP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Citizenship</w:t>
            </w:r>
          </w:p>
        </w:tc>
      </w:tr>
      <w:tr>
        <w:trPr>
          <w:trHeight w:val="185"/>
        </w:trPr>
        <w:tc>
          <w:tcPr>
            <w:tcW w:w="5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Tillman U. Gerngross, PhD</w:t>
            </w:r>
          </w:p>
        </w:tc>
        <w:tc>
          <w:tcPr>
            <w:tcW w:w="50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Co-Founder and Chief Executive Officer</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Dane Wittrup, PhD</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Co-Founder and Chairman of the SAB</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Krauland, PhD</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Scientific Officer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Van Meter</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Business Officer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McGovern</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Chase</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General Counsel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Vásquez, PhD</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Computing Officer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Schiavoni</w:t>
            </w:r>
          </w:p>
        </w:tc>
        <w:tc>
          <w:tcPr>
            <w:tcW w:w="5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Human Resources Officer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Terry McGuire</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Managing Partner, Polaris Partners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Ross, PhD</w:t>
            </w:r>
          </w:p>
        </w:tc>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Managing Partner, SV Health Investors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5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Founder and Managing General Partner, Mithril Capital Management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Ajay Royan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 Monday, March 28, 2022 9:18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Phil Chase; Lauren Crockett; Terry McGuire; Marc Elia; Clive Meanwell; Chris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Kadekar, Kiran; Brand, Richard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Adagio nomination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Friends and colleagues,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we previously discussed and agreed, Mithril has delivered notice of our intention to nominate three directors for election at the 2022 annual meeting of ADGI. These highly qualified candidates are Clive Meanwell, Marc Elia and Tamsin Berry.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Thank you again for your hard work today and for providing us with all of the materials and information that we included in the nomination notice. We appreciate your support.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email is to memorialize our understanding and agreement reached earlier today that you will vote your shares in favor of the election of these nominees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your receipt of this message.*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again — here’s to the success of Adagio and its righteous fight against the scourge of this pandemic and others yet to 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best,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2022-03-30T15:50:03Z</dcterms:created>
  <dcterms:modified xsi:type="dcterms:W3CDTF">2022-03-30T15:50:03Z</dcterms:modified>
</cp:coreProperties>
</file>