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Jill Andersen, Esq.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1601 Trapelo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178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Adagio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PREC14A filed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19, 2022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File No.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1-40703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Andersen: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 as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comments apply to your facts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circumstances,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all defined terms used here have the same meaning as in the Company's information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PREC14C filed May 19,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to Shareholders, page i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Refer to the last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of the Letter to Shareholders. Explain what you mean by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that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Meeting may be adjourned or postponed "from time to time."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revised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explain what this means, and should also describe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under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Annual Meeting would be postponed or adjourned, given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the Company is not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soliciting proxy authority.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2 - Precatory Declassification Proposal, page 17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proposal to declassify the Board of Directors is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nonbinding. However, we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note that the Company is not opposing the proposal.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Explain your intentions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 w:right="32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declassifying the Board if Proposal 2 passes with Jill Andersen, Esq.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required majority vote. See Item 4 of Schedule 14C.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84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disclosure about the interests and potential conflicts of interest of certain affiliates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solicitation. See Item 3 of Schedule 14C.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Christina Chalk, Senior Special Counsel, at (202) 551-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3263.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LastNameJill Andersen, Esq.</w:t>
      </w:r>
    </w:p>
    <w:p>
      <w:pPr>
        <w:jc w:val="right"/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NameAdagio Therapeutics, Inc.</w:t>
      </w:r>
    </w:p>
    <w:p>
      <w:pPr>
        <w:ind w:left="6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Mergers &amp; Acquisitions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 2022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Lawrence Elbaum,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2022-11-07T00:40:37Z</dcterms:created>
  <dcterms:modified xsi:type="dcterms:W3CDTF">2022-11-07T00:40:37Z</dcterms:modified>
</cp:coreProperties>
</file>