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FF4338"/>
        </w:rPr>
        <w:t>PRELIMINARY PROXY MATERIALS SUBJECT TO COMPLETION – DATED APRIL 25, 2022</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32"/>
          <w:szCs w:val="32"/>
          <w:b w:val="1"/>
          <w:bCs w:val="1"/>
          <w:color w:val="auto"/>
        </w:rPr>
        <w:t>Adagio Therapeutics,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MATERIALS – SUBJECT TO COMPLETION – DATED 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173990</wp:posOffset>
            </wp:positionV>
            <wp:extent cx="161988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98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26, 2022</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11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of Stockholders and any adjournments or postponements thereto (the “Annual Meeting”) of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DAGIO</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“Company”). The Annual Meeting will be held virtually on Thursday, May 26, 2022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8:30 a.m. Eastern Time, during which you can attend the meeting, submit questions and vote online. You will not be able to attend the Annual Meeting in person. The Annual Meeting will be held to:</w:t>
      </w:r>
    </w:p>
    <w:p>
      <w:pPr>
        <w:spacing w:after="0" w:line="85" w:lineRule="exact"/>
        <w:rPr>
          <w:sz w:val="20"/>
          <w:szCs w:val="20"/>
          <w:color w:val="auto"/>
        </w:rPr>
      </w:pPr>
    </w:p>
    <w:p>
      <w:pPr>
        <w:ind w:left="120" w:right="2300" w:hanging="4"/>
        <w:spacing w:after="0" w:line="500" w:lineRule="auto"/>
        <w:tabs>
          <w:tab w:leader="none" w:pos="5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three nominees to the Board of Directors, each to hold office until the 2025 Annual Meeting of Stockholders. Stockholders may also consider any other business properly brought before the Annual Meeting.</w:t>
      </w:r>
    </w:p>
    <w:p>
      <w:pPr>
        <w:spacing w:after="0" w:line="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This item of business is more fully described in the proxy statement accompanying this Notice of Annual Meeting of Stockholders. The Board of Directors makes no recommendation and takes no position with respect to the election of directors.</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 xml:space="preserve">This year’s Annual Meeting will be held virtually through a live webcast. You will be able to attend the Annual Meeting, submit questions and vote during the live webcast by visiting </w:t>
      </w:r>
      <w:r>
        <w:rPr>
          <w:rFonts w:ascii="Times New Roman" w:cs="Times New Roman" w:eastAsia="Times New Roman" w:hAnsi="Times New Roman"/>
          <w:sz w:val="18"/>
          <w:szCs w:val="18"/>
          <w:i w:val="1"/>
          <w:iCs w:val="1"/>
          <w:color w:val="auto"/>
        </w:rPr>
        <w:t>www.virtualshareholdermeeting.com/ADGI2022</w:t>
      </w:r>
      <w:r>
        <w:rPr>
          <w:rFonts w:ascii="Times New Roman" w:cs="Times New Roman" w:eastAsia="Times New Roman" w:hAnsi="Times New Roman"/>
          <w:sz w:val="18"/>
          <w:szCs w:val="18"/>
          <w:color w:val="auto"/>
        </w:rPr>
        <w:t xml:space="preserve"> and entering the 16-digit Control Number included in your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in the enclosed proxy materials, or in the instructions that you received via email. Please refer to the additional logistical details and recommendations in the accompanying proxy statement. You may log-in beginning at 8:15 a.m. Eastern Time, on Thursday, May 26, 2022.</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March 29, 2022 (the “Record Date”). Only stockholders of record at the close of business on the Record Date may vote at the Annual Meeting. The Annual Meeting may be adjourned or postponed from time to time. At any adjourned or postponed meeting, action with respect to matters specified in this Notice may be taken without further notice to stockholders, unless required by law or the Company’s Amended and Restated Bylaws.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All stockholders as of the Record Date are cordially invited to attend the virtual Annual Meeting. Whether or not you expect to attend the virtual Annual Meeting, you may submit your proxy using one of three convenient methods by (i) accessing the Internet site described in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provided to you, (ii) calling the toll-free number in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provided to you, or (iii) completing, signing, dating and returning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provided to you.</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If your shares of common stock are held in a brokerage account or by a bank, trustee or other nominee (i.e., your shares are held in “street name”), then you will receive voting instructions from the holder of record. You must provide voting instructions by filling out the voting instruction form in order for your shares to be voted. We recommend that you instruct your broker, bank, trustee or other nominee to vote your shares on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The proxy is revocable and will not affect your right to vote if you attend the virtual Annual Meeting.</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have received notice from Mithril II LP, a Delaware limited partnership (“Mithril”), which purports to beneficially own approximately 10.1% of the Company’s common stock, expressing the intention of Mithril to nominate three nominees for election to our Board of Directors at the Annual Meeting. The Board of Directors takes no position and makes no recommendation with respect to the election of directors. You may receive proxy solicitation materials from the Mithril Group or other persons or entities affiliated with the Mithril Group, including an opposition proxy statement and proxy card. Please be advised that we are not responsible for the accuracy of any information provided by or relating to the Mithril Group contained in any proxy solicitation materials filed or disseminated by the Mithril Group or any other statements that the Mithril Group may otherwise make.</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Completing, signing, dating and returning any proxy card that the Mithril Group may send to you, even with instructions to vote “withhold” with respect to Mithril’s nominees, will cancel any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you may have previously submitted as only your latest proxy card or voting instruction form will be counted.</w:t>
      </w:r>
    </w:p>
    <w:p>
      <w:pPr>
        <w:spacing w:after="0" w:line="172" w:lineRule="exact"/>
        <w:rPr>
          <w:sz w:val="20"/>
          <w:szCs w:val="20"/>
          <w:color w:val="auto"/>
        </w:rPr>
      </w:pPr>
    </w:p>
    <w:p>
      <w:pPr>
        <w:ind w:left="120" w:right="200"/>
        <w:spacing w:after="0" w:line="274" w:lineRule="auto"/>
        <w:rPr>
          <w:sz w:val="20"/>
          <w:szCs w:val="20"/>
          <w:color w:val="auto"/>
        </w:rPr>
      </w:pPr>
      <w:r>
        <w:rPr>
          <w:rFonts w:ascii="Times New Roman" w:cs="Times New Roman" w:eastAsia="Times New Roman" w:hAnsi="Times New Roman"/>
          <w:sz w:val="17"/>
          <w:szCs w:val="17"/>
          <w:color w:val="auto"/>
        </w:rPr>
        <w:t xml:space="preserve">Whether or not you expect to be present at the virtual Annual Meeting, you may complete, sign, date and return the enclosed </w:t>
      </w:r>
      <w:r>
        <w:rPr>
          <w:rFonts w:ascii="Times New Roman" w:cs="Times New Roman" w:eastAsia="Times New Roman" w:hAnsi="Times New Roman"/>
          <w:sz w:val="17"/>
          <w:szCs w:val="17"/>
          <w:b w:val="1"/>
          <w:bCs w:val="1"/>
          <w:u w:val="single" w:color="auto"/>
          <w:color w:val="auto"/>
        </w:rPr>
        <w:t>BLUE</w:t>
      </w:r>
      <w:r>
        <w:rPr>
          <w:rFonts w:ascii="Times New Roman" w:cs="Times New Roman" w:eastAsia="Times New Roman" w:hAnsi="Times New Roman"/>
          <w:sz w:val="17"/>
          <w:szCs w:val="17"/>
          <w:color w:val="auto"/>
        </w:rPr>
        <w:t xml:space="preserve"> proxy card in the pre-addressed envelope provided for that purpose. No postage is required if mailed in the United States. In addition to mailing in your </w:t>
      </w:r>
      <w:r>
        <w:rPr>
          <w:rFonts w:ascii="Times New Roman" w:cs="Times New Roman" w:eastAsia="Times New Roman" w:hAnsi="Times New Roman"/>
          <w:sz w:val="17"/>
          <w:szCs w:val="17"/>
          <w:b w:val="1"/>
          <w:bCs w:val="1"/>
          <w:u w:val="single" w:color="auto"/>
          <w:color w:val="auto"/>
        </w:rPr>
        <w:t>BLUE</w:t>
      </w:r>
      <w:r>
        <w:rPr>
          <w:rFonts w:ascii="Times New Roman" w:cs="Times New Roman" w:eastAsia="Times New Roman" w:hAnsi="Times New Roman"/>
          <w:sz w:val="17"/>
          <w:szCs w:val="17"/>
          <w:color w:val="auto"/>
        </w:rPr>
        <w:t xml:space="preserve"> proxy card, you may submit a proxy over the Internet or by telephone. The instructions for submitting a proxy over the Internet or by telephone are provided</w:t>
      </w:r>
    </w:p>
    <w:tbl>
      <w:tblPr>
        <w:tblLayout w:type="fixed"/>
        <w:tblInd w:w="120" w:type="dxa"/>
        <w:tblCellMar>
          <w:top w:w="0" w:type="dxa"/>
          <w:left w:w="0" w:type="dxa"/>
          <w:bottom w:w="0" w:type="dxa"/>
          <w:right w:w="0" w:type="dxa"/>
        </w:tblCellMar>
      </w:tblPr>
      <w:tr>
        <w:trPr>
          <w:trHeight w:val="176"/>
        </w:trPr>
        <w:tc>
          <w:tcPr>
            <w:tcW w:w="81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 xml:space="preserve">on your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For inquiries related to submitting a proxy for your shares, please reach out to [</w:t>
            </w:r>
          </w:p>
        </w:tc>
        <w:tc>
          <w:tcPr>
            <w:tcW w:w="196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w w:val="97"/>
              </w:rPr>
              <w:t>], our proxy solicitor.</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80"/>
        </w:trPr>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5"/>
        </w:trPr>
        <w:tc>
          <w:tcPr>
            <w:tcW w:w="4400" w:type="dxa"/>
            <w:vAlign w:val="bottom"/>
            <w:tcBorders>
              <w:top w:val="single" w:sz="8" w:color="auto"/>
            </w:tcBorders>
            <w:gridSpan w:val="5"/>
          </w:tcPr>
          <w:p>
            <w:pPr>
              <w:spacing w:after="0" w:line="205" w:lineRule="exact"/>
              <w:rPr>
                <w:sz w:val="20"/>
                <w:szCs w:val="20"/>
                <w:color w:val="auto"/>
              </w:rPr>
            </w:pPr>
            <w:r>
              <w:rPr>
                <w:rFonts w:ascii="Times New Roman" w:cs="Times New Roman" w:eastAsia="Times New Roman" w:hAnsi="Times New Roman"/>
                <w:sz w:val="18"/>
                <w:szCs w:val="18"/>
                <w:color w:val="auto"/>
              </w:rPr>
              <w:t>Jill Andersen</w:t>
            </w:r>
          </w:p>
        </w:tc>
        <w:tc>
          <w:tcPr>
            <w:tcW w:w="3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4"/>
        </w:trPr>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Waltham, Massachusetts</w:t>
            </w: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4"/>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spacing w:after="0"/>
              <w:rPr>
                <w:sz w:val="16"/>
                <w:szCs w:val="16"/>
                <w:color w:val="auto"/>
              </w:rPr>
            </w:pPr>
          </w:p>
        </w:tc>
        <w:tc>
          <w:tcPr>
            <w:tcW w:w="3800" w:type="dxa"/>
            <w:vAlign w:val="bottom"/>
            <w:gridSpan w:val="3"/>
          </w:tcPr>
          <w:p>
            <w:pPr>
              <w:jc w:val="right"/>
              <w:ind w:right="3120"/>
              <w:spacing w:after="0" w:line="194" w:lineRule="exact"/>
              <w:rPr>
                <w:sz w:val="20"/>
                <w:szCs w:val="20"/>
                <w:color w:val="auto"/>
              </w:rPr>
            </w:pPr>
            <w:r>
              <w:rPr>
                <w:rFonts w:ascii="Times New Roman" w:cs="Times New Roman" w:eastAsia="Times New Roman" w:hAnsi="Times New Roman"/>
                <w:sz w:val="18"/>
                <w:szCs w:val="18"/>
                <w:color w:val="auto"/>
              </w:rPr>
              <w:t>], 2022</w:t>
            </w:r>
          </w:p>
        </w:tc>
        <w:tc>
          <w:tcPr>
            <w:tcW w:w="3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169545</wp:posOffset>
            </wp:positionV>
            <wp:extent cx="6998970" cy="972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972820"/>
                    </a:xfrm>
                    <a:prstGeom prst="rect">
                      <a:avLst/>
                    </a:prstGeom>
                    <a:noFill/>
                  </pic:spPr>
                </pic:pic>
              </a:graphicData>
            </a:graphic>
          </wp:anchor>
        </w:drawing>
      </w:r>
    </w:p>
    <w:p>
      <w:pPr>
        <w:spacing w:after="0" w:line="336" w:lineRule="exact"/>
        <w:rPr>
          <w:sz w:val="20"/>
          <w:szCs w:val="20"/>
          <w:color w:val="auto"/>
        </w:rPr>
      </w:pPr>
    </w:p>
    <w:p>
      <w:pPr>
        <w:ind w:left="240"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Whether or not you expect to attend the virtual Annual Meeting, you may complete, date, sign and return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 or vote over the telephone or the Internet as instructed in these materials, to ensure your representation at the Annual Meeting. Even if you have voted by proxy, you may still vote online if you attend the virtual Annual Meeting. Please note, however, that if your shares are held of record by a broker, bank, trustee or other nominee and you wish to vote at the virtual Annual Meeting, you must obtain a legal proxy issued in your name from that record holder. Please contact your broker, bank, trustee or other nominee for information about specific requirements if you would like to vote your shares at the virtual Annual Meeting.</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801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801370"/>
                    </a:xfrm>
                    <a:prstGeom prst="rect">
                      <a:avLst/>
                    </a:prstGeom>
                    <a:noFill/>
                  </pic:spPr>
                </pic:pic>
              </a:graphicData>
            </a:graphic>
          </wp:anchor>
        </w:drawing>
      </w:r>
    </w:p>
    <w:p>
      <w:pPr>
        <w:spacing w:after="0" w:line="393" w:lineRule="exact"/>
        <w:rPr>
          <w:sz w:val="20"/>
          <w:szCs w:val="20"/>
          <w:color w:val="auto"/>
        </w:rPr>
      </w:pPr>
    </w:p>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Stockholders’ Meeting to Be Held on Thursday, May 26, 2022 at 8:30 a.m. Eastern Time online at </w:t>
      </w:r>
      <w:r>
        <w:rPr>
          <w:rFonts w:ascii="Times New Roman" w:cs="Times New Roman" w:eastAsia="Times New Roman" w:hAnsi="Times New Roman"/>
          <w:sz w:val="18"/>
          <w:szCs w:val="18"/>
          <w:b w:val="1"/>
          <w:bCs w:val="1"/>
          <w:i w:val="1"/>
          <w:iCs w:val="1"/>
          <w:color w:val="auto"/>
        </w:rPr>
        <w:t>www.virtualshareholdermeeting.com/ADGI2022</w:t>
      </w:r>
    </w:p>
    <w:p>
      <w:pPr>
        <w:spacing w:after="0" w:line="157" w:lineRule="exact"/>
        <w:rPr>
          <w:sz w:val="20"/>
          <w:szCs w:val="20"/>
          <w:color w:val="auto"/>
        </w:rPr>
      </w:pPr>
    </w:p>
    <w:p>
      <w:pPr>
        <w:jc w:val="center"/>
        <w:ind w:left="500"/>
        <w:spacing w:after="0" w:line="284" w:lineRule="auto"/>
        <w:rPr>
          <w:sz w:val="20"/>
          <w:szCs w:val="20"/>
          <w:color w:val="auto"/>
        </w:rPr>
      </w:pPr>
      <w:r>
        <w:rPr>
          <w:rFonts w:ascii="Times New Roman" w:cs="Times New Roman" w:eastAsia="Times New Roman" w:hAnsi="Times New Roman"/>
          <w:sz w:val="18"/>
          <w:szCs w:val="18"/>
          <w:color w:val="auto"/>
        </w:rPr>
        <w:t xml:space="preserve">The proxy statement and Annual Report to Stockholders are available free of charge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Information on this website, other than the proxy statement, is not part of the proxy statement.</w:t>
      </w: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 xml:space="preserve">You may complete, sign and date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and return it in the enclosed postage-paid envelope or grant a proxy and give voting instructions by Internet or telephone, so that you may be represented at the virtual Annual Meeting. Instructions are on your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or on the voting instruction form provided by your broker, bank, trustee or other nominee.</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takes no position and makes no recommendation with respect to the election of directors. For inquiries related to submitting a</w:t>
      </w:r>
    </w:p>
    <w:p>
      <w:pPr>
        <w:spacing w:after="0" w:line="27" w:lineRule="exact"/>
        <w:rPr>
          <w:sz w:val="20"/>
          <w:szCs w:val="20"/>
          <w:color w:val="auto"/>
        </w:rPr>
      </w:pPr>
    </w:p>
    <w:p>
      <w:pPr>
        <w:ind w:left="120"/>
        <w:spacing w:after="0"/>
        <w:tabs>
          <w:tab w:leader="none" w:pos="4080" w:val="left"/>
        </w:tabs>
        <w:rPr>
          <w:sz w:val="20"/>
          <w:szCs w:val="20"/>
          <w:color w:val="auto"/>
        </w:rPr>
      </w:pPr>
      <w:r>
        <w:rPr>
          <w:rFonts w:ascii="Times New Roman" w:cs="Times New Roman" w:eastAsia="Times New Roman" w:hAnsi="Times New Roman"/>
          <w:sz w:val="18"/>
          <w:szCs w:val="18"/>
          <w:color w:val="auto"/>
        </w:rPr>
        <w:t>proxy for your shares, please reach out to [</w:t>
      </w:r>
      <w:r>
        <w:rPr>
          <w:sz w:val="20"/>
          <w:szCs w:val="20"/>
          <w:color w:val="auto"/>
        </w:rPr>
        <w:tab/>
      </w:r>
      <w:r>
        <w:rPr>
          <w:rFonts w:ascii="Times New Roman" w:cs="Times New Roman" w:eastAsia="Times New Roman" w:hAnsi="Times New Roman"/>
          <w:sz w:val="17"/>
          <w:szCs w:val="17"/>
          <w:color w:val="auto"/>
        </w:rPr>
        <w: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-19050</wp:posOffset>
            </wp:positionV>
            <wp:extent cx="571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Only your latest dated, signed proxy card or voting instruction form will be counted. Any proxy may be revoked at any time prior to its exercise at the Annual Meeting as described in the proxy statement.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left="50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TAKES NO POSITION AND MAKES NO RECOMMENDATION WITH RESPECT TO THE ELECTION OF DIRECTORS.</w:t>
      </w:r>
    </w:p>
    <w:p>
      <w:pPr>
        <w:spacing w:after="0" w:line="155" w:lineRule="exact"/>
        <w:rPr>
          <w:sz w:val="20"/>
          <w:szCs w:val="20"/>
          <w:color w:val="auto"/>
        </w:rPr>
      </w:pPr>
    </w:p>
    <w:p>
      <w:pPr>
        <w:jc w:val="center"/>
        <w:ind w:left="52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Remember, you can submit a proxy for your shares over the Internet or by telephone. Please follow the instructions on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w:t>
      </w:r>
    </w:p>
    <w:p>
      <w:pPr>
        <w:spacing w:after="0" w:line="159" w:lineRule="exact"/>
        <w:rPr>
          <w:sz w:val="20"/>
          <w:szCs w:val="20"/>
          <w:color w:val="auto"/>
        </w:rPr>
      </w:pPr>
    </w:p>
    <w:p>
      <w:pPr>
        <w:jc w:val="center"/>
        <w:ind w:left="500" w:right="2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provides a detailed description of the business to be conducted at the virtual Annual Meeting. We urge you to read the accompanying proxy statement, including the appendix, carefully and in its entirety.</w:t>
      </w:r>
    </w:p>
    <w:p>
      <w:pPr>
        <w:spacing w:after="0" w:line="160" w:lineRule="exact"/>
        <w:rPr>
          <w:sz w:val="20"/>
          <w:szCs w:val="20"/>
          <w:color w:val="auto"/>
        </w:rPr>
      </w:pPr>
    </w:p>
    <w:p>
      <w:pPr>
        <w:jc w:val="center"/>
        <w:ind w:left="500" w:right="160"/>
        <w:spacing w:after="0" w:line="284" w:lineRule="auto"/>
        <w:rPr>
          <w:sz w:val="20"/>
          <w:szCs w:val="20"/>
          <w:color w:val="auto"/>
        </w:rPr>
      </w:pPr>
      <w:r>
        <w:rPr>
          <w:rFonts w:ascii="Times New Roman" w:cs="Times New Roman" w:eastAsia="Times New Roman" w:hAnsi="Times New Roman"/>
          <w:sz w:val="18"/>
          <w:szCs w:val="18"/>
          <w:i w:val="1"/>
          <w:iCs w:val="1"/>
          <w:color w:val="auto"/>
        </w:rPr>
        <w:t>If you have any questions or need assistance in authorizing a proxy or voting your shares or if you would like additional copies of proxy materials, please contact our proxy solicitor:</w:t>
      </w:r>
    </w:p>
    <w:p>
      <w:pPr>
        <w:spacing w:after="0" w:line="160" w:lineRule="exact"/>
        <w:rPr>
          <w:sz w:val="20"/>
          <w:szCs w:val="20"/>
          <w:color w:val="auto"/>
        </w:rPr>
      </w:pPr>
    </w:p>
    <w:p>
      <w:pPr>
        <w:ind w:left="4640"/>
        <w:spacing w:after="0"/>
        <w:tabs>
          <w:tab w:leader="none" w:pos="6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-7620</wp:posOffset>
            </wp:positionV>
            <wp:extent cx="11709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FF4338"/>
        </w:rPr>
        <w:t>PRELIMINARY PROXY MATERIALS – SUBJECT TO COMPLETION – DATED APRIL 25, 2022</w:t>
      </w: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BE HELD AT 8:30 A.M., EASTERN TIME, ON MAY 26, 2022</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MEETING AGENDA</w:t>
      </w:r>
    </w:p>
    <w:p>
      <w:pPr>
        <w:sectPr>
          <w:pgSz w:w="11900" w:h="16838" w:orient="portrait"/>
          <w:cols w:equalWidth="0" w:num="1">
            <w:col w:w="11140"/>
          </w:cols>
          <w:pgMar w:left="320" w:top="455" w:right="439" w:bottom="1440" w:gutter="0" w:footer="0" w:header="0"/>
        </w:sectPr>
      </w:pPr>
    </w:p>
    <w:p>
      <w:pPr>
        <w:spacing w:after="0" w:line="3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Proposal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Election of Directors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r>
      <w:tr>
        <w:trPr>
          <w:trHeight w:val="187"/>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47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Voting Standard</w:t>
            </w:r>
          </w:p>
        </w:tc>
        <w:tc>
          <w:tcPr>
            <w:tcW w:w="10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r>
      <w:tr>
        <w:trPr>
          <w:trHeight w:val="191"/>
        </w:trPr>
        <w:tc>
          <w:tcPr>
            <w:tcW w:w="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6"/>
                <w:szCs w:val="16"/>
                <w:color w:val="auto"/>
              </w:rPr>
            </w:pPr>
          </w:p>
        </w:tc>
        <w:tc>
          <w:tcPr>
            <w:tcW w:w="4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Plurality of votes of shares present by remote communication or</w:t>
            </w:r>
          </w:p>
        </w:tc>
        <w:tc>
          <w:tcPr>
            <w:tcW w:w="100" w:type="dxa"/>
            <w:vAlign w:val="bottom"/>
          </w:tcPr>
          <w:p>
            <w:pPr>
              <w:spacing w:after="0"/>
              <w:rPr>
                <w:sz w:val="16"/>
                <w:szCs w:val="16"/>
                <w:color w:val="auto"/>
              </w:rPr>
            </w:pPr>
          </w:p>
        </w:tc>
        <w:tc>
          <w:tcPr>
            <w:tcW w:w="2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Board of Directors takes no</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proxy and entitled to vote generally on the</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position and</w:t>
            </w: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makes no recommendation</w:t>
            </w:r>
          </w:p>
        </w:tc>
      </w:tr>
    </w:tbl>
    <w:p>
      <w:pPr>
        <w:spacing w:after="0" w:line="185" w:lineRule="exact"/>
        <w:rPr>
          <w:sz w:val="20"/>
          <w:szCs w:val="20"/>
          <w:color w:val="auto"/>
        </w:rPr>
      </w:pPr>
    </w:p>
    <w:p>
      <w:pPr>
        <w:sectPr>
          <w:pgSz w:w="11900" w:h="16838" w:orient="portrait"/>
          <w:cols w:equalWidth="0" w:num="2">
            <w:col w:w="2560" w:space="720"/>
            <w:col w:w="786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We intend to mail this proxy statement, the enclosed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our 2021 annual report to stockholders, on or about [</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w w:val="97"/>
              </w:rPr>
              <w:t>], 2022, to all</w:t>
            </w:r>
          </w:p>
        </w:tc>
      </w:tr>
      <w:tr>
        <w:trPr>
          <w:trHeight w:val="23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entitled to vote at the Annual Meeting.</w:t>
            </w:r>
          </w:p>
        </w:tc>
        <w:tc>
          <w:tcPr>
            <w:tcW w:w="500" w:type="dxa"/>
            <w:vAlign w:val="bottom"/>
            <w:tcBorders>
              <w:top w:val="single" w:sz="8" w:color="auto"/>
            </w:tcBorders>
          </w:tcPr>
          <w:p>
            <w:pPr>
              <w:spacing w:after="0"/>
              <w:rPr>
                <w:sz w:val="20"/>
                <w:szCs w:val="20"/>
                <w:color w:val="auto"/>
              </w:rPr>
            </w:pPr>
          </w:p>
        </w:tc>
        <w:tc>
          <w:tcPr>
            <w:tcW w:w="49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22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120" w:type="dxa"/>
            <w:vAlign w:val="bottom"/>
          </w:tcPr>
          <w:p>
            <w:pPr>
              <w:spacing w:after="0"/>
              <w:rPr>
                <w:sz w:val="22"/>
                <w:szCs w:val="22"/>
                <w:color w:val="auto"/>
              </w:rPr>
            </w:pPr>
          </w:p>
        </w:tc>
        <w:tc>
          <w:tcPr>
            <w:tcW w:w="33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3180" w:type="dxa"/>
            <w:vAlign w:val="bottom"/>
            <w:tcBorders>
              <w:top w:val="single" w:sz="8" w:color="0000EE"/>
            </w:tcBorders>
            <w:gridSpan w:val="9"/>
          </w:tcPr>
          <w:p>
            <w:pPr>
              <w:spacing w:after="0"/>
              <w:rPr>
                <w:sz w:val="22"/>
                <w:szCs w:val="22"/>
                <w:color w:val="auto"/>
              </w:rPr>
            </w:pPr>
          </w:p>
        </w:tc>
        <w:tc>
          <w:tcPr>
            <w:tcW w:w="2620" w:type="dxa"/>
            <w:vAlign w:val="bottom"/>
            <w:gridSpan w:val="5"/>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4"/>
        </w:trPr>
        <w:tc>
          <w:tcPr>
            <w:tcW w:w="120" w:type="dxa"/>
            <w:vAlign w:val="bottom"/>
          </w:tcPr>
          <w:p>
            <w:pPr>
              <w:spacing w:after="0"/>
              <w:rPr>
                <w:sz w:val="22"/>
                <w:szCs w:val="22"/>
                <w:color w:val="auto"/>
              </w:rPr>
            </w:pPr>
          </w:p>
        </w:tc>
        <w:tc>
          <w:tcPr>
            <w:tcW w:w="91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12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9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Independence of the Board</w:t>
            </w:r>
          </w:p>
        </w:tc>
        <w:tc>
          <w:tcPr>
            <w:tcW w:w="5240" w:type="dxa"/>
            <w:vAlign w:val="bottom"/>
            <w:tcBorders>
              <w:top w:val="single" w:sz="8" w:color="0000EE"/>
            </w:tcBorders>
            <w:gridSpan w:val="20"/>
          </w:tcPr>
          <w:p>
            <w:pPr>
              <w:spacing w:after="0"/>
              <w:rPr>
                <w:sz w:val="22"/>
                <w:szCs w:val="22"/>
                <w:color w:val="auto"/>
              </w:rPr>
            </w:pPr>
          </w:p>
        </w:tc>
        <w:tc>
          <w:tcPr>
            <w:tcW w:w="156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6140" w:type="dxa"/>
            <w:vAlign w:val="bottom"/>
            <w:gridSpan w:val="16"/>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Meetings of The Board and Annual Meeting Attendance</w:t>
            </w:r>
          </w:p>
        </w:tc>
        <w:tc>
          <w:tcPr>
            <w:tcW w:w="4680" w:type="dxa"/>
            <w:vAlign w:val="bottom"/>
            <w:gridSpan w:val="7"/>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Information Regarding Committees of the Board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2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Audit Committee</w:t>
            </w:r>
          </w:p>
        </w:tc>
        <w:tc>
          <w:tcPr>
            <w:tcW w:w="1880" w:type="dxa"/>
            <w:vAlign w:val="bottom"/>
            <w:tcBorders>
              <w:top w:val="single" w:sz="8" w:color="0000EE"/>
            </w:tcBorders>
            <w:gridSpan w:val="11"/>
          </w:tcPr>
          <w:p>
            <w:pPr>
              <w:spacing w:after="0"/>
              <w:rPr>
                <w:sz w:val="22"/>
                <w:szCs w:val="22"/>
                <w:color w:val="auto"/>
              </w:rPr>
            </w:pPr>
          </w:p>
        </w:tc>
        <w:tc>
          <w:tcPr>
            <w:tcW w:w="5240" w:type="dxa"/>
            <w:vAlign w:val="bottom"/>
            <w:gridSpan w:val="11"/>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Compensation Committee</w:t>
            </w:r>
          </w:p>
        </w:tc>
        <w:tc>
          <w:tcPr>
            <w:tcW w:w="6500" w:type="dxa"/>
            <w:vAlign w:val="bottom"/>
            <w:gridSpan w:val="17"/>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3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Stockholder Communications with the Board</w:t>
            </w:r>
          </w:p>
        </w:tc>
        <w:tc>
          <w:tcPr>
            <w:tcW w:w="5480" w:type="dxa"/>
            <w:vAlign w:val="bottom"/>
            <w:gridSpan w:val="12"/>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Hedging Policy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69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ACCOUNTANTS, FEES AND OTHER MATTERS</w:t>
            </w:r>
          </w:p>
        </w:tc>
        <w:tc>
          <w:tcPr>
            <w:tcW w:w="2200" w:type="dxa"/>
            <w:vAlign w:val="bottom"/>
            <w:gridSpan w:val="3"/>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120" w:type="dxa"/>
            <w:vAlign w:val="bottom"/>
          </w:tcPr>
          <w:p>
            <w:pPr>
              <w:spacing w:after="0"/>
              <w:rPr>
                <w:sz w:val="22"/>
                <w:szCs w:val="22"/>
                <w:color w:val="auto"/>
              </w:rPr>
            </w:pPr>
          </w:p>
        </w:tc>
        <w:tc>
          <w:tcPr>
            <w:tcW w:w="1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7200" w:type="dxa"/>
            <w:vAlign w:val="bottom"/>
            <w:gridSpan w:val="23"/>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3"/>
        </w:trPr>
        <w:tc>
          <w:tcPr>
            <w:tcW w:w="120" w:type="dxa"/>
            <w:vAlign w:val="bottom"/>
          </w:tcPr>
          <w:p>
            <w:pPr>
              <w:spacing w:after="0"/>
              <w:rPr>
                <w:sz w:val="22"/>
                <w:szCs w:val="22"/>
                <w:color w:val="auto"/>
              </w:rPr>
            </w:pPr>
          </w:p>
        </w:tc>
        <w:tc>
          <w:tcPr>
            <w:tcW w:w="91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120" w:type="dxa"/>
            <w:vAlign w:val="bottom"/>
          </w:tcPr>
          <w:p>
            <w:pPr>
              <w:spacing w:after="0"/>
              <w:rPr>
                <w:sz w:val="22"/>
                <w:szCs w:val="22"/>
                <w:color w:val="auto"/>
              </w:rPr>
            </w:pPr>
          </w:p>
        </w:tc>
        <w:tc>
          <w:tcPr>
            <w:tcW w:w="24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4280" w:type="dxa"/>
            <w:vAlign w:val="bottom"/>
            <w:tcBorders>
              <w:top w:val="single" w:sz="8" w:color="0000EE"/>
            </w:tcBorders>
            <w:gridSpan w:val="15"/>
          </w:tcPr>
          <w:p>
            <w:pPr>
              <w:spacing w:after="0"/>
              <w:rPr>
                <w:sz w:val="22"/>
                <w:szCs w:val="22"/>
                <w:color w:val="auto"/>
              </w:rPr>
            </w:pPr>
          </w:p>
        </w:tc>
        <w:tc>
          <w:tcPr>
            <w:tcW w:w="2380" w:type="dxa"/>
            <w:vAlign w:val="bottom"/>
            <w:gridSpan w:val="4"/>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Outstanding Equity Awards as of December 31, 2021</w:t>
            </w:r>
          </w:p>
        </w:tc>
        <w:tc>
          <w:tcPr>
            <w:tcW w:w="4900" w:type="dxa"/>
            <w:vAlign w:val="bottom"/>
            <w:gridSpan w:val="9"/>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3"/>
        </w:trPr>
        <w:tc>
          <w:tcPr>
            <w:tcW w:w="120" w:type="dxa"/>
            <w:vAlign w:val="bottom"/>
          </w:tcPr>
          <w:p>
            <w:pPr>
              <w:spacing w:after="0"/>
              <w:rPr>
                <w:sz w:val="22"/>
                <w:szCs w:val="22"/>
                <w:color w:val="auto"/>
              </w:rPr>
            </w:pPr>
          </w:p>
        </w:tc>
        <w:tc>
          <w:tcPr>
            <w:tcW w:w="91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1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120" w:type="dxa"/>
            <w:vAlign w:val="bottom"/>
          </w:tcPr>
          <w:p>
            <w:pPr>
              <w:spacing w:after="0"/>
              <w:rPr>
                <w:sz w:val="22"/>
                <w:szCs w:val="22"/>
                <w:color w:val="auto"/>
              </w:rPr>
            </w:pPr>
          </w:p>
        </w:tc>
        <w:tc>
          <w:tcPr>
            <w:tcW w:w="564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1320" w:type="dxa"/>
            <w:vAlign w:val="bottom"/>
            <w:tcBorders>
              <w:top w:val="single" w:sz="8" w:color="0000EE"/>
            </w:tcBorders>
            <w:gridSpan w:val="4"/>
          </w:tcPr>
          <w:p>
            <w:pPr>
              <w:spacing w:after="0"/>
              <w:rPr>
                <w:sz w:val="22"/>
                <w:szCs w:val="22"/>
                <w:color w:val="auto"/>
              </w:rPr>
            </w:pPr>
          </w:p>
        </w:tc>
        <w:tc>
          <w:tcPr>
            <w:tcW w:w="2140" w:type="dxa"/>
            <w:vAlign w:val="bottom"/>
            <w:gridSpan w:val="2"/>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7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Related Person Transactions Policy and Procedures</w:t>
            </w:r>
          </w:p>
        </w:tc>
        <w:tc>
          <w:tcPr>
            <w:tcW w:w="5040" w:type="dxa"/>
            <w:vAlign w:val="bottom"/>
            <w:gridSpan w:val="10"/>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Certain Related Person Transactions</w:t>
            </w:r>
          </w:p>
        </w:tc>
        <w:tc>
          <w:tcPr>
            <w:tcW w:w="6120" w:type="dxa"/>
            <w:vAlign w:val="bottom"/>
            <w:gridSpan w:val="15"/>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Indemnification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920" w:type="dxa"/>
            <w:vAlign w:val="bottom"/>
            <w:tcBorders>
              <w:left w:val="single" w:sz="8" w:color="0000EE"/>
            </w:tcBorders>
            <w:gridSpan w:val="11"/>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5700" w:type="dxa"/>
            <w:vAlign w:val="bottom"/>
            <w:gridSpan w:val="13"/>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4"/>
        </w:trPr>
        <w:tc>
          <w:tcPr>
            <w:tcW w:w="120" w:type="dxa"/>
            <w:vAlign w:val="bottom"/>
          </w:tcPr>
          <w:p>
            <w:pPr>
              <w:spacing w:after="0"/>
              <w:rPr>
                <w:sz w:val="22"/>
                <w:szCs w:val="22"/>
                <w:color w:val="auto"/>
              </w:rPr>
            </w:pPr>
          </w:p>
        </w:tc>
        <w:tc>
          <w:tcPr>
            <w:tcW w:w="91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3"/>
        </w:trPr>
        <w:tc>
          <w:tcPr>
            <w:tcW w:w="120" w:type="dxa"/>
            <w:vAlign w:val="bottom"/>
          </w:tcPr>
          <w:p>
            <w:pPr>
              <w:spacing w:after="0"/>
              <w:rPr>
                <w:sz w:val="22"/>
                <w:szCs w:val="22"/>
                <w:color w:val="auto"/>
              </w:rPr>
            </w:pPr>
          </w:p>
        </w:tc>
        <w:tc>
          <w:tcPr>
            <w:tcW w:w="10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APPENDIX A</w:t>
            </w:r>
          </w:p>
        </w:tc>
        <w:tc>
          <w:tcPr>
            <w:tcW w:w="420" w:type="dxa"/>
            <w:vAlign w:val="bottom"/>
            <w:tcBorders>
              <w:top w:val="single" w:sz="8" w:color="0000EE"/>
            </w:tcBorders>
            <w:gridSpan w:val="2"/>
          </w:tcPr>
          <w:p>
            <w:pPr>
              <w:spacing w:after="0"/>
              <w:rPr>
                <w:sz w:val="22"/>
                <w:szCs w:val="22"/>
                <w:color w:val="auto"/>
              </w:rPr>
            </w:pPr>
          </w:p>
        </w:tc>
        <w:tc>
          <w:tcPr>
            <w:tcW w:w="7620" w:type="dxa"/>
            <w:vAlign w:val="bottom"/>
            <w:gridSpan w:val="24"/>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080"/>
          </w:cols>
          <w:pgMar w:left="320" w:top="446"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there be a proxy contest at the Annual Meeting?</w:t>
      </w:r>
    </w:p>
    <w:p>
      <w:pPr>
        <w:spacing w:after="0" w:line="12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Adagio Therapeutics, Inc. (the “Company”, “Adagio”, “we” or “us”) has received a notice from Mithril II LP, a Delaware limited partnership (“Mithril”), which purports to beneficially own approximately 10.1% of our common stock, par value $0.0001 (the “Common Stock”), expressing its intention to nominate three nominees for election as directors at our 2022 Annual Meeting of Stockholders and any adjournments or postponements thereto (the “Annual Meeting”). The Board of Directors of the Company (the “Board”) takes no position and makes no recommendation with respect to the election of directors. You may receive proxy solicitation materials from Mithril and other participants in its proxy solicitation (the “Mithril Group”), including an opposition proxy statement or proxy card. Please be advised that we are not responsible for the accuracy of any information provided by or relating to the Mithril Group contained in any proxy solicitation materials filed or disseminated by the Mithril Group or any other statements that it may</w:t>
      </w:r>
    </w:p>
    <w:p>
      <w:pPr>
        <w:spacing w:after="0" w:line="2" w:lineRule="exact"/>
        <w:rPr>
          <w:sz w:val="20"/>
          <w:szCs w:val="20"/>
          <w:color w:val="auto"/>
        </w:rPr>
      </w:pPr>
    </w:p>
    <w:p>
      <w:pPr>
        <w:ind w:left="120"/>
        <w:spacing w:after="0"/>
        <w:tabs>
          <w:tab w:leader="none" w:pos="7940" w:val="left"/>
        </w:tabs>
        <w:rPr>
          <w:sz w:val="20"/>
          <w:szCs w:val="20"/>
          <w:color w:val="auto"/>
        </w:rPr>
      </w:pPr>
      <w:r>
        <w:rPr>
          <w:rFonts w:ascii="Times New Roman" w:cs="Times New Roman" w:eastAsia="Times New Roman" w:hAnsi="Times New Roman"/>
          <w:sz w:val="18"/>
          <w:szCs w:val="18"/>
          <w:color w:val="auto"/>
        </w:rPr>
        <w:t>otherwise make. For inquiries related to submitting a proxy for your shares, please reach out to [</w:t>
      </w:r>
      <w:r>
        <w:rPr>
          <w:sz w:val="20"/>
          <w:szCs w:val="20"/>
          <w:color w:val="auto"/>
        </w:rPr>
        <w:tab/>
      </w:r>
      <w:r>
        <w:rPr>
          <w:rFonts w:ascii="Times New Roman" w:cs="Times New Roman" w:eastAsia="Times New Roman" w:hAnsi="Times New Roman"/>
          <w:sz w:val="17"/>
          <w:szCs w:val="17"/>
          <w:color w:val="auto"/>
        </w:rPr>
        <w: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-19050</wp:posOffset>
            </wp:positionV>
            <wp:extent cx="571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Completing, signing, dating and returning any proxy card that the Mithril Group may send to you, even with instructions to vote “withhold” with respect to Mithril’s nominees, will cancel any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you may have previously submitted as only your latest proxy card or voting instruction form will be counted.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should I do if I receive proxy materials from the Mithril Group?</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Mithril has announced its intention to nominate three nominees for election as directors to the Board. We expect that you may receive proxy solicitation materials from the Mithril Group, including opposition proxy statements and proxy cards.</w:t>
      </w:r>
    </w:p>
    <w:p>
      <w:pPr>
        <w:spacing w:after="0" w:line="162" w:lineRule="exact"/>
        <w:rPr>
          <w:sz w:val="20"/>
          <w:szCs w:val="20"/>
          <w:color w:val="auto"/>
        </w:rPr>
      </w:pPr>
    </w:p>
    <w:p>
      <w:pPr>
        <w:ind w:left="120" w:right="260"/>
        <w:spacing w:after="0" w:line="269" w:lineRule="auto"/>
        <w:rPr>
          <w:sz w:val="20"/>
          <w:szCs w:val="20"/>
          <w:color w:val="auto"/>
        </w:rPr>
      </w:pPr>
      <w:r>
        <w:rPr>
          <w:rFonts w:ascii="Times New Roman" w:cs="Times New Roman" w:eastAsia="Times New Roman" w:hAnsi="Times New Roman"/>
          <w:sz w:val="17"/>
          <w:szCs w:val="17"/>
          <w:color w:val="auto"/>
        </w:rPr>
        <w:t>Please be advised that we are not responsible for the accuracy of any information provided by or relating to the Mithril Group contained in any proxy solicitation materials filed or disseminated by the Mithril Group or any other statements that it may otherwise make. The Board takes no position and makes no recommendation with respect to the election of directors. Completing, signing, dating and returning any proxy card that the Mithril Group may send to you, even with instructions to vote “withhold” with respect to Mithril’s nominees, will cancel any BLUE proxy card you may have previously submitted as only your latest proxy card or voting instruction form will be counted. For inquiries related to submitting a proxy for your</w:t>
      </w:r>
    </w:p>
    <w:p>
      <w:pPr>
        <w:spacing w:after="0" w:line="3"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shares, please reach out to [</w:t>
      </w:r>
      <w:r>
        <w:rPr>
          <w:sz w:val="20"/>
          <w:szCs w:val="20"/>
          <w:color w:val="auto"/>
        </w:rPr>
        <w:tab/>
      </w:r>
      <w:r>
        <w:rPr>
          <w:rFonts w:ascii="Times New Roman" w:cs="Times New Roman" w:eastAsia="Times New Roman" w:hAnsi="Times New Roman"/>
          <w:sz w:val="17"/>
          <w:szCs w:val="17"/>
          <w:color w:val="auto"/>
        </w:rPr>
        <w: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-19050</wp:posOffset>
            </wp:positionV>
            <wp:extent cx="571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recommendation of the Board?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takes no position and makes no recommendation with respect to the election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virtual Annual Meeting?</w:t>
      </w:r>
    </w:p>
    <w:p>
      <w:pPr>
        <w:spacing w:after="0" w:line="119"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color w:val="auto"/>
        </w:rPr>
        <w:t xml:space="preserve">The Annual Meeting will be held virtually through a live webcast at </w:t>
      </w:r>
      <w:r>
        <w:rPr>
          <w:rFonts w:ascii="Times New Roman" w:cs="Times New Roman" w:eastAsia="Times New Roman" w:hAnsi="Times New Roman"/>
          <w:sz w:val="18"/>
          <w:szCs w:val="18"/>
          <w:i w:val="1"/>
          <w:iCs w:val="1"/>
          <w:color w:val="auto"/>
        </w:rPr>
        <w:t>www.virtualshareholdermeeting.com/ADGI2022</w:t>
      </w:r>
      <w:r>
        <w:rPr>
          <w:rFonts w:ascii="Times New Roman" w:cs="Times New Roman" w:eastAsia="Times New Roman" w:hAnsi="Times New Roman"/>
          <w:sz w:val="18"/>
          <w:szCs w:val="18"/>
          <w:color w:val="auto"/>
        </w:rPr>
        <w:t xml:space="preserve">. You will not be able to attend the Annual Meeting in person. If you attend the Annual Meeting online, you will be able to vote and submit questions at </w:t>
      </w:r>
      <w:r>
        <w:rPr>
          <w:rFonts w:ascii="Times New Roman" w:cs="Times New Roman" w:eastAsia="Times New Roman" w:hAnsi="Times New Roman"/>
          <w:sz w:val="18"/>
          <w:szCs w:val="18"/>
          <w:i w:val="1"/>
          <w:iCs w:val="1"/>
          <w:color w:val="auto"/>
        </w:rPr>
        <w:t>www.virtualshareholdermeeting.com/ADGI2022.</w:t>
      </w:r>
    </w:p>
    <w:p>
      <w:pPr>
        <w:spacing w:after="0" w:line="17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You are entitled to attend the virtual Annual Meeting if you were a stockholder as of the close of business on March 29, 2022 (the “Record Date”). To be admitted to the Annual Meeting, you will need to visit </w:t>
      </w:r>
      <w:r>
        <w:rPr>
          <w:rFonts w:ascii="Times New Roman" w:cs="Times New Roman" w:eastAsia="Times New Roman" w:hAnsi="Times New Roman"/>
          <w:sz w:val="18"/>
          <w:szCs w:val="18"/>
          <w:i w:val="1"/>
          <w:iCs w:val="1"/>
          <w:color w:val="auto"/>
        </w:rPr>
        <w:t>www.virtualshareholdermeeting.com/ADGI2022</w:t>
      </w:r>
      <w:r>
        <w:rPr>
          <w:rFonts w:ascii="Times New Roman" w:cs="Times New Roman" w:eastAsia="Times New Roman" w:hAnsi="Times New Roman"/>
          <w:sz w:val="18"/>
          <w:szCs w:val="18"/>
          <w:color w:val="auto"/>
        </w:rPr>
        <w:t xml:space="preserve"> and enter the 16-digit Control Number found next to the label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 xml:space="preserve">“Control Number” on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If you are a beneficial stockholder, you should contact the bank, broker, trustee or other institution where you hold your account well in advance of the Annual Meeting if you have questions about obtaining your Control Number or proxy to vote.</w:t>
      </w:r>
    </w:p>
    <w:p>
      <w:pPr>
        <w:spacing w:after="0" w:line="15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start approximately 15 minutes before the Annual Meeting begins at 8:30 a.m. Eastern Time on May 26,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Annual Meeting at </w:t>
      </w:r>
      <w:r>
        <w:rPr>
          <w:rFonts w:ascii="Times New Roman" w:cs="Times New Roman" w:eastAsia="Times New Roman" w:hAnsi="Times New Roman"/>
          <w:sz w:val="18"/>
          <w:szCs w:val="18"/>
          <w:i w:val="1"/>
          <w:iCs w:val="1"/>
          <w:color w:val="auto"/>
        </w:rPr>
        <w:t xml:space="preserve">www.virtualshareholdermeeting.com/ADGI2022. </w:t>
      </w:r>
      <w:r>
        <w:rPr>
          <w:rFonts w:ascii="Times New Roman" w:cs="Times New Roman" w:eastAsia="Times New Roman" w:hAnsi="Times New Roman"/>
          <w:sz w:val="18"/>
          <w:szCs w:val="18"/>
          <w:color w:val="auto"/>
        </w:rPr>
        <w:t>In addition, for the ten days prior to the Annual Meeting, the list will be available for examination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stockholder of record for a legally valid purpose at our corporate headquarters during regular business hours. To access the list of record stockholders beginning May 16, 2022 and until the Annual Meeting, stockholders should contact our Corporate Secretary at Adagio Therapeutics, Inc., 1601 Trapelo Road, Suite 178, Waltham, Massachusetts 02451, Attention: Corporate Secretary, 781-819-0080.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Beginning 15 minutes prior to the start of and during the virtual Annual Meeting, we will have a support team ready to assist stockholders with any technical difficulties they may have accessing or hearing the virtual meeting. If you encounter any difficulties accessing the virtual meeting during the check-in or meeting time, please call the technical support number that will be posted on the virtual shareholder meeting log-in page.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we ask questions of management and the Board at the virtual Annual Meeting?</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If you wish to submit a question after logging into the Annual Meeting, you may log into the virtual meeting platform at </w:t>
      </w:r>
      <w:r>
        <w:rPr>
          <w:rFonts w:ascii="Times New Roman" w:cs="Times New Roman" w:eastAsia="Times New Roman" w:hAnsi="Times New Roman"/>
          <w:sz w:val="18"/>
          <w:szCs w:val="18"/>
          <w:i w:val="1"/>
          <w:iCs w:val="1"/>
          <w:color w:val="auto"/>
        </w:rPr>
        <w:t>www.virtualshareholdermeeting.com/ADGI2022</w:t>
      </w:r>
      <w:r>
        <w:rPr>
          <w:rFonts w:ascii="Times New Roman" w:cs="Times New Roman" w:eastAsia="Times New Roman" w:hAnsi="Times New Roman"/>
          <w:sz w:val="18"/>
          <w:szCs w:val="18"/>
          <w:color w:val="auto"/>
        </w:rPr>
        <w:t>, proceed to the “Ask A Question” field, type your question and click the “Submit” tab. Our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will be governed by our Rules of Conduct and Procedures, which will be posted at </w:t>
      </w:r>
      <w:r>
        <w:rPr>
          <w:rFonts w:ascii="Times New Roman" w:cs="Times New Roman" w:eastAsia="Times New Roman" w:hAnsi="Times New Roman"/>
          <w:sz w:val="18"/>
          <w:szCs w:val="18"/>
          <w:i w:val="1"/>
          <w:iCs w:val="1"/>
          <w:color w:val="auto"/>
        </w:rPr>
        <w:t>www.virtualshareholdermeeting.com/ADGI2022</w:t>
      </w:r>
      <w:r>
        <w:rPr>
          <w:rFonts w:ascii="Times New Roman" w:cs="Times New Roman" w:eastAsia="Times New Roman" w:hAnsi="Times New Roman"/>
          <w:sz w:val="18"/>
          <w:szCs w:val="18"/>
          <w:color w:val="auto"/>
        </w:rPr>
        <w:t xml:space="preserve"> during the Annual Meeting.</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The Rules of Conduct and Procedures will address the ability of stockholders to ask questions during the meeting, including rules on permissible topics, and rules for how questions and comments will be recognized. Because time is limited at the Annual Meeting, we may not be able to answer all questions that are submitted. If there are any matters of individual concern to a stockholder and not of general concern to all stockholders, or if a question was not otherwise answered, such matters may be raised separately after the Annual Meeting by contacting Investor Relations at </w:t>
      </w:r>
      <w:r>
        <w:rPr>
          <w:rFonts w:ascii="Times New Roman" w:cs="Times New Roman" w:eastAsia="Times New Roman" w:hAnsi="Times New Roman"/>
          <w:sz w:val="18"/>
          <w:szCs w:val="18"/>
          <w:i w:val="1"/>
          <w:iCs w:val="1"/>
          <w:color w:val="auto"/>
        </w:rPr>
        <w:t>https://investors.adagiotx.com/resources/contact-ir/</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virtual Annual Meeting?</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On the Record Date, there were 109,675,173 shares of Common Stock outstanding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 xml:space="preserve">If on the Record Date your shares were registered directly in your name with Adagio’s transfer agent, American Stock Transfer &amp; Trust Company, LLC, then you are a stockholder of record. As a stockholder of record, you may vote online at the Annual Meeting or vote by proxy. Whether or not you plan to attend the virtual Annual Meeting, we urge you to fill out and return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vote by proxy over the telephone, vote by proxy through the Internet or vote by proxy using a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that you may request or that we may elect to deliver at a later time to ensure your vote is counted.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in an account at a brokerage firm, bank, trustee or other similar organization, then you are the beneficial owner of shares held in “street name” and the proxy materials are being forwarded to you by that organization. The organization holding your account is considered to be the stockholder of record for purposes of voting at the Annual Meeting. As a beneficial owner, you have the right to direct your broker, bank, trustee or other agent regarding how to vote the shares in your account. You are also invited to attend the virtual Annual Meeting. You may vote prior to the Annual Meeting by logging in with the Control Number on your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voting instruction form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may access the virtual Annual Meeting and vote by logging in with your Control Number at</w:t>
      </w:r>
      <w:r>
        <w:rPr>
          <w:rFonts w:ascii="Times New Roman" w:cs="Times New Roman" w:eastAsia="Times New Roman" w:hAnsi="Times New Roman"/>
          <w:sz w:val="18"/>
          <w:szCs w:val="18"/>
          <w:i w:val="1"/>
          <w:iCs w:val="1"/>
          <w:color w:val="auto"/>
        </w:rPr>
        <w:t xml:space="preserve"> www.virtualshareholdermeeting.com/ADGI2022</w:t>
      </w:r>
      <w:r>
        <w:rPr>
          <w:rFonts w:ascii="Times New Roman" w:cs="Times New Roman" w:eastAsia="Times New Roman" w:hAnsi="Times New Roman"/>
          <w:sz w:val="18"/>
          <w:szCs w:val="18"/>
          <w:color w:val="auto"/>
        </w:rPr>
        <w:t>. However, since you are not the stockholder of record, you may not vote your shares at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unless you request and obtain a valid legal proxy from your broker, bank, trustee or other agent prior to the Annual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There is one matter scheduled for a vote:</w:t>
      </w:r>
    </w:p>
    <w:p>
      <w:pPr>
        <w:spacing w:after="0" w:line="135"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directors (Proposal 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virtual Annual Meeting?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The Board knows of no other matters that will be presented for consideration at the Annual Meeting. If any other matters are properly brought before the Annual Meeting, it is the intention of the persons named in the accompanying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to vote on those matters in accordance with their best judgment to the extent authorized under Rule 14a-4(c) under the Securities and Exchange Act of 1934, as amended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either vote “For” any of the director nominees to the Board or you may “Withhold” your vote for any director nominee you specify.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5"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color w:val="auto"/>
        </w:rPr>
        <w:t xml:space="preserve">If you are a stockholder of record, you may vote online at the Annual Meeting, vote by proxy using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vote by proxy over the telephone, vote by proxy through the Internet, or vote by proxy using a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that you may request or that we may elect to deliver at a later time. You may still attend and vote at the Annual Meeting even if you have already voted by proxy.</w:t>
      </w:r>
    </w:p>
    <w:p>
      <w:pPr>
        <w:spacing w:after="0" w:line="76" w:lineRule="exact"/>
        <w:rPr>
          <w:sz w:val="20"/>
          <w:szCs w:val="20"/>
          <w:color w:val="auto"/>
        </w:rPr>
      </w:pPr>
    </w:p>
    <w:p>
      <w:pPr>
        <w:ind w:left="1080" w:right="400" w:hanging="424"/>
        <w:spacing w:after="0" w:line="317" w:lineRule="auto"/>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w:t>
      </w:r>
      <w:r>
        <w:rPr>
          <w:rFonts w:ascii="Times New Roman" w:cs="Times New Roman" w:eastAsia="Times New Roman" w:hAnsi="Times New Roman"/>
          <w:sz w:val="17"/>
          <w:szCs w:val="17"/>
          <w:b w:val="1"/>
          <w:bCs w:val="1"/>
          <w:i w:val="1"/>
          <w:iCs w:val="1"/>
          <w:color w:val="auto"/>
        </w:rPr>
        <w:t>during</w:t>
      </w:r>
      <w:r>
        <w:rPr>
          <w:rFonts w:ascii="Times New Roman" w:cs="Times New Roman" w:eastAsia="Times New Roman" w:hAnsi="Times New Roman"/>
          <w:sz w:val="17"/>
          <w:szCs w:val="17"/>
          <w:color w:val="auto"/>
        </w:rPr>
        <w:t xml:space="preserve"> the virtual Annual Meeting, if you are a stockholder of record as of the Record Date, follow the instructions at </w:t>
      </w:r>
      <w:r>
        <w:rPr>
          <w:rFonts w:ascii="Times New Roman" w:cs="Times New Roman" w:eastAsia="Times New Roman" w:hAnsi="Times New Roman"/>
          <w:sz w:val="17"/>
          <w:szCs w:val="17"/>
          <w:i w:val="1"/>
          <w:iCs w:val="1"/>
          <w:color w:val="auto"/>
        </w:rPr>
        <w:t xml:space="preserve">www.virtualshareholdermeeting.com/ADGI2022. </w:t>
      </w:r>
      <w:r>
        <w:rPr>
          <w:rFonts w:ascii="Times New Roman" w:cs="Times New Roman" w:eastAsia="Times New Roman" w:hAnsi="Times New Roman"/>
          <w:sz w:val="17"/>
          <w:szCs w:val="17"/>
          <w:color w:val="auto"/>
        </w:rPr>
        <w:t>You will need to enter the 16-digit Control Number found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u w:val="single" w:color="auto"/>
          <w:color w:val="auto"/>
        </w:rPr>
        <w:t>BLUE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card.</w:t>
      </w:r>
    </w:p>
    <w:p>
      <w:pPr>
        <w:spacing w:after="0" w:line="37" w:lineRule="exact"/>
        <w:rPr>
          <w:rFonts w:ascii="Times New Roman" w:cs="Times New Roman" w:eastAsia="Times New Roman" w:hAnsi="Times New Roman"/>
          <w:sz w:val="17"/>
          <w:szCs w:val="17"/>
          <w:color w:val="auto"/>
        </w:rPr>
      </w:pPr>
    </w:p>
    <w:p>
      <w:pPr>
        <w:ind w:left="1080" w:right="1620" w:hanging="424"/>
        <w:spacing w:after="0" w:line="317" w:lineRule="auto"/>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w:t>
      </w:r>
      <w:r>
        <w:rPr>
          <w:rFonts w:ascii="Times New Roman" w:cs="Times New Roman" w:eastAsia="Times New Roman" w:hAnsi="Times New Roman"/>
          <w:sz w:val="17"/>
          <w:szCs w:val="17"/>
          <w:b w:val="1"/>
          <w:bCs w:val="1"/>
          <w:i w:val="1"/>
          <w:iCs w:val="1"/>
          <w:color w:val="auto"/>
        </w:rPr>
        <w:t>prior</w:t>
      </w:r>
      <w:r>
        <w:rPr>
          <w:rFonts w:ascii="Times New Roman" w:cs="Times New Roman" w:eastAsia="Times New Roman" w:hAnsi="Times New Roman"/>
          <w:sz w:val="17"/>
          <w:szCs w:val="17"/>
          <w:color w:val="auto"/>
        </w:rPr>
        <w:t xml:space="preserve"> to the Annual Meeting (until 11:59 p.m. Eastern Time on May 25, 2022), you may vote via the Internet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by telephone; or by completing and returning the </w:t>
      </w:r>
      <w:r>
        <w:rPr>
          <w:rFonts w:ascii="Times New Roman" w:cs="Times New Roman" w:eastAsia="Times New Roman" w:hAnsi="Times New Roman"/>
          <w:sz w:val="17"/>
          <w:szCs w:val="17"/>
          <w:b w:val="1"/>
          <w:bCs w:val="1"/>
          <w:u w:val="single" w:color="auto"/>
          <w:color w:val="auto"/>
        </w:rPr>
        <w:t>BLUE</w:t>
      </w:r>
      <w:r>
        <w:rPr>
          <w:rFonts w:ascii="Times New Roman" w:cs="Times New Roman" w:eastAsia="Times New Roman" w:hAnsi="Times New Roman"/>
          <w:sz w:val="17"/>
          <w:szCs w:val="17"/>
          <w:color w:val="auto"/>
        </w:rPr>
        <w:t xml:space="preserve"> proxy card, as described below.</w:t>
      </w:r>
    </w:p>
    <w:p>
      <w:pPr>
        <w:spacing w:after="0" w:line="37" w:lineRule="exact"/>
        <w:rPr>
          <w:rFonts w:ascii="Times New Roman" w:cs="Times New Roman" w:eastAsia="Times New Roman" w:hAnsi="Times New Roman"/>
          <w:sz w:val="17"/>
          <w:szCs w:val="17"/>
          <w:color w:val="auto"/>
        </w:rPr>
      </w:pPr>
    </w:p>
    <w:p>
      <w:pPr>
        <w:ind w:left="1540" w:right="280" w:hanging="331"/>
        <w:spacing w:after="0" w:line="268"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using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simply complete, sign and date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that is enclosed and return it in the envelope provided. If you return your signed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to us before the Annual Meeting, we will vote your shares as you direct.</w:t>
      </w:r>
    </w:p>
    <w:p>
      <w:pPr>
        <w:spacing w:after="0" w:line="80"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over the telephone, dial toll-free 1-800-690-6903 using a touch-tone phone and follow the recorded instructions. You will be asked to provide the Control Number from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card. Your telephone vote must be received by 11:59 p.m., Eastern Time on May 25, 2022 to be counted.</w:t>
      </w:r>
    </w:p>
    <w:p>
      <w:pPr>
        <w:spacing w:after="0" w:line="129" w:lineRule="exact"/>
        <w:rPr>
          <w:sz w:val="20"/>
          <w:szCs w:val="20"/>
          <w:color w:val="auto"/>
        </w:rPr>
      </w:pPr>
    </w:p>
    <w:p>
      <w:pPr>
        <w:jc w:val="both"/>
        <w:ind w:left="1540" w:right="40" w:hanging="331"/>
        <w:spacing w:after="0" w:line="267"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Annual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instructions to submit your vote on an electronic proxy card. You will be asked to provide the Control Number from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Your Internet vote must be received by 11:59 p.m. Eastern Time on May 25, 2022 to be counted.</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trustee or other agent, you should have received a Notice containing voting instructions from that organization rather than from the Company. To vote </w:t>
      </w:r>
      <w:r>
        <w:rPr>
          <w:rFonts w:ascii="Times New Roman" w:cs="Times New Roman" w:eastAsia="Times New Roman" w:hAnsi="Times New Roman"/>
          <w:sz w:val="18"/>
          <w:szCs w:val="18"/>
          <w:i w:val="1"/>
          <w:iCs w:val="1"/>
          <w:color w:val="auto"/>
        </w:rPr>
        <w:t>prior to the virtual Annual Meeting</w:t>
      </w:r>
      <w:r>
        <w:rPr>
          <w:rFonts w:ascii="Times New Roman" w:cs="Times New Roman" w:eastAsia="Times New Roman" w:hAnsi="Times New Roman"/>
          <w:sz w:val="18"/>
          <w:szCs w:val="18"/>
          <w:color w:val="auto"/>
        </w:rPr>
        <w:t xml:space="preserve">, simply follow the voting instructions to ensure that your vote is counted. To vote </w:t>
      </w:r>
      <w:r>
        <w:rPr>
          <w:rFonts w:ascii="Times New Roman" w:cs="Times New Roman" w:eastAsia="Times New Roman" w:hAnsi="Times New Roman"/>
          <w:sz w:val="18"/>
          <w:szCs w:val="18"/>
          <w:i w:val="1"/>
          <w:iCs w:val="1"/>
          <w:color w:val="auto"/>
        </w:rPr>
        <w:t>at the virtual Annual Meeting</w:t>
      </w:r>
      <w:r>
        <w:rPr>
          <w:rFonts w:ascii="Times New Roman" w:cs="Times New Roman" w:eastAsia="Times New Roman" w:hAnsi="Times New Roman"/>
          <w:sz w:val="18"/>
          <w:szCs w:val="18"/>
          <w:color w:val="auto"/>
        </w:rPr>
        <w:t>, you must obtain a valid legal proxy from your broker, bank, trustee or other agent. Follow the instructions from your broker, bank, trustee or other agent included with these proxy materials, or contact that organization to request a proxy form. However, since you are not the stockholder of record, you may not vote your shares at the Annual Meeting unless you request and obtain a valid legal proxy from your broker, bank, trustee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145415</wp:posOffset>
            </wp:positionV>
            <wp:extent cx="6998970" cy="518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18795"/>
                    </a:xfrm>
                    <a:prstGeom prst="rect">
                      <a:avLst/>
                    </a:prstGeom>
                    <a:noFill/>
                  </pic:spPr>
                </pic:pic>
              </a:graphicData>
            </a:graphic>
          </wp:anchor>
        </w:drawing>
      </w:r>
    </w:p>
    <w:p>
      <w:pPr>
        <w:spacing w:after="0" w:line="258" w:lineRule="exact"/>
        <w:rPr>
          <w:sz w:val="20"/>
          <w:szCs w:val="20"/>
          <w:color w:val="auto"/>
        </w:rPr>
      </w:pPr>
    </w:p>
    <w:p>
      <w:pPr>
        <w:ind w:left="240" w:right="36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you have any questions or require assistance in submitting a proxy for your shares, or if you would like additional copies of the proxy</w:t>
      </w:r>
    </w:p>
    <w:p>
      <w:pPr>
        <w:spacing w:after="0" w:line="31"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b w:val="1"/>
          <w:bCs w:val="1"/>
          <w:color w:val="auto"/>
        </w:rPr>
        <w:t>materials, please contact [</w:t>
      </w:r>
      <w:r>
        <w:rPr>
          <w:sz w:val="20"/>
          <w:szCs w:val="20"/>
          <w:color w:val="auto"/>
        </w:rPr>
        <w:tab/>
      </w:r>
      <w:r>
        <w:rPr>
          <w:rFonts w:ascii="Times New Roman" w:cs="Times New Roman" w:eastAsia="Times New Roman" w:hAnsi="Times New Roman"/>
          <w:sz w:val="17"/>
          <w:szCs w:val="17"/>
          <w:b w:val="1"/>
          <w:bCs w:val="1"/>
          <w:color w:val="auto"/>
        </w:rPr>
        <w: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-19050</wp:posOffset>
            </wp:positionV>
            <wp:extent cx="571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The Board is soliciting your proxy to vote your shares of Common Stock on the matter scheduled to come before the Annual Meeting, whether or not you attend the virtual Annual Meeting. By completing, signing, dating and returning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or voting instruction form, or by submitting your proxy and voting instructions over the Internet or by telephone, you are authorizing the persons named as proxies to vote your shares of Common Stock at the Annual Meeting as you have instructed. Proxies will be solicited on behalf of the Board by the Company’s directors and certain executive officers and other employees of the Company. Such persons are listed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183" w:lineRule="exact"/>
        <w:rPr>
          <w:sz w:val="20"/>
          <w:szCs w:val="20"/>
          <w:color w:val="auto"/>
        </w:rPr>
      </w:pPr>
    </w:p>
    <w:p>
      <w:pPr>
        <w:ind w:left="120"/>
        <w:spacing w:after="0"/>
        <w:tabs>
          <w:tab w:leader="none" w:pos="3960" w:val="left"/>
        </w:tabs>
        <w:rPr>
          <w:sz w:val="20"/>
          <w:szCs w:val="20"/>
          <w:color w:val="auto"/>
        </w:rPr>
      </w:pPr>
      <w:r>
        <w:rPr>
          <w:rFonts w:ascii="Times New Roman" w:cs="Times New Roman" w:eastAsia="Times New Roman" w:hAnsi="Times New Roman"/>
          <w:sz w:val="18"/>
          <w:szCs w:val="18"/>
          <w:color w:val="auto"/>
        </w:rPr>
        <w:t>Additionally, the Company has retained [</w:t>
      </w:r>
      <w:r>
        <w:rPr>
          <w:sz w:val="20"/>
          <w:szCs w:val="20"/>
          <w:color w:val="auto"/>
        </w:rPr>
        <w:tab/>
      </w:r>
      <w:r>
        <w:rPr>
          <w:rFonts w:ascii="Times New Roman" w:cs="Times New Roman" w:eastAsia="Times New Roman" w:hAnsi="Times New Roman"/>
          <w:sz w:val="17"/>
          <w:szCs w:val="17"/>
          <w:color w:val="auto"/>
        </w:rPr>
        <w:t>], a proxy solicitation firm, which may solicit proxies on the Board’s behalf. You may also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-7620</wp:posOffset>
            </wp:positionV>
            <wp:extent cx="571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solicited by press releases issued by us, investor presentations, or other communications issued by us, postings on our corporate website or other websites or otherwise. Unless expressly indicated otherwise, information contained on our corporate website is not part of this proxy statement. In addition, none of the information on the other websites, if any, listed in this proxy statement is part of this proxy statement. Such website addresses are intended to be inactive textual references only.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55"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I am a stockholder of record and I do not vote, or if I return a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 or otherwise vote without giving specific voting instructions, what happens?</w:t>
      </w:r>
    </w:p>
    <w:p>
      <w:pPr>
        <w:spacing w:after="0" w:line="4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 xml:space="preserve">If you are a stockholder of record and do not vote through the Internet, by telephone, by completing, signing, dating and returning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that may be delivered to you or online during the Annual Meeting, your shares will not be voted on the BLUE proxy card.</w:t>
      </w:r>
    </w:p>
    <w:p>
      <w:pPr>
        <w:spacing w:after="0" w:line="155" w:lineRule="exact"/>
        <w:rPr>
          <w:sz w:val="20"/>
          <w:szCs w:val="20"/>
          <w:color w:val="auto"/>
        </w:rPr>
      </w:pPr>
    </w:p>
    <w:p>
      <w:pPr>
        <w:jc w:val="both"/>
        <w:ind w:left="120" w:right="120"/>
        <w:spacing w:after="0" w:line="262" w:lineRule="auto"/>
        <w:rPr>
          <w:sz w:val="20"/>
          <w:szCs w:val="20"/>
          <w:color w:val="auto"/>
        </w:rPr>
      </w:pPr>
      <w:r>
        <w:rPr>
          <w:rFonts w:ascii="Times New Roman" w:cs="Times New Roman" w:eastAsia="Times New Roman" w:hAnsi="Times New Roman"/>
          <w:sz w:val="18"/>
          <w:szCs w:val="18"/>
          <w:color w:val="auto"/>
        </w:rPr>
        <w:t xml:space="preserve">If you return a signed and dated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or otherwise vote without marking voting selections, your shares will be voted on the BLUE proxy card “For” with respect to the election of each nominee for director. If any other matter is properly presented at the Annual Meeting, your proxyholder (one of the individuals named on your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will vote your shares using his or her best judgment to the extent permitted by Rule 14a-4(c) under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then you are considered the stockholder of record with respect to those shares. The Company sent the proxy materials directly to you.</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If your shares are held in a stock brokerage account or by a bank, trustee or other nominee, then the broker, bank, trustee or other nominee is considered to be the stockholder of record with respect to those shares. In that case, you are considered to be the beneficial owner of those shares, your shares are said to be held in “street name,” and the proxy materials will be forwarded to you by that nominee. Street name holders generally cannot submit a proxy or vote their shares directly and must instead instruct the broker, bank, trustee or other nominee how to vote their shares. If you do not provide voting instructions to your broker, then your shares will not be voted at the Annual Meeting on any proposal with respect to which your broker does not have discretionary authority. The election of directors is not considered a discretionary matter under the rules of the various regional and national exchanges of which your nominee is a member (the “Broker Rules”), which means that a broker that is subject to the Broker Rules will not have authority to vote shares held in street name without instructions from the beneficial owner. If you own your shares in street name, please instruct your broker, bank, trustee or other nominee how to vote your shares using the voting instruction form provided by your broker, bank, trustee or other nominee so that your vote can be counted. The voting instruction form provided by your broker, bank, trustee or other nominee holding your shares may also include information about how to submit your voting instructions over the Internet or by telephone.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accompanying this proxy statement will provide information regarding Internet and telephone voting.</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Under the Broker Rules, brokers, banks and other securities intermediaries may use their discretion to vote your “uninstructed” shares with respect to matters considered to be “routine”, but not with respect to “non-routine” matters. The election of directors is not considered to be a non-discretionary matter, such that if you do not submit any voting instructions to your brokerage firm, your shares will not be counted in determining the outcome of the proposal at the Annual Meeting, nor will your shares be counted for establishing the presence of a quorum.</w:t>
      </w:r>
    </w:p>
    <w:p>
      <w:pPr>
        <w:spacing w:after="0" w:line="17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and you do not plan to attend the virtual Annual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trustee or other agent by the deadline provided in the materials you receive from your broker, bank, trustee or other agent.</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Has the Company received notice from one or more stockholders that they intend to nominate director candidates or bring proposals at the Annual Meeting?</w:t>
      </w:r>
    </w:p>
    <w:p>
      <w:pPr>
        <w:spacing w:after="0" w:line="51"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Yes. Based on recently available public filings, the Mithril Group has indicated that it beneficially owns an aggregate of 54,061,113 shares of Common Stock (representing approximately 49.3% of outstanding Common Stock). Mithril has delivered notice to the Company of its intention to nominate three candidates for election. The Board takes no position and makes no recommendation with respect to election of directors. For inquiries related to</w:t>
      </w:r>
    </w:p>
    <w:p>
      <w:pPr>
        <w:spacing w:after="0" w:line="1" w:lineRule="exact"/>
        <w:rPr>
          <w:sz w:val="20"/>
          <w:szCs w:val="20"/>
          <w:color w:val="auto"/>
        </w:rPr>
      </w:pPr>
    </w:p>
    <w:p>
      <w:pPr>
        <w:ind w:left="120"/>
        <w:spacing w:after="0"/>
        <w:tabs>
          <w:tab w:leader="none" w:pos="5020" w:val="left"/>
        </w:tabs>
        <w:rPr>
          <w:sz w:val="20"/>
          <w:szCs w:val="20"/>
          <w:color w:val="auto"/>
        </w:rPr>
      </w:pPr>
      <w:r>
        <w:rPr>
          <w:rFonts w:ascii="Times New Roman" w:cs="Times New Roman" w:eastAsia="Times New Roman" w:hAnsi="Times New Roman"/>
          <w:sz w:val="18"/>
          <w:szCs w:val="18"/>
          <w:color w:val="auto"/>
        </w:rPr>
        <w:t>submitting a proxy for your shares, please reach out to [</w:t>
      </w:r>
      <w:r>
        <w:rPr>
          <w:sz w:val="20"/>
          <w:szCs w:val="20"/>
          <w:color w:val="auto"/>
        </w:rPr>
        <w:tab/>
      </w:r>
      <w:r>
        <w:rPr>
          <w:rFonts w:ascii="Times New Roman" w:cs="Times New Roman" w:eastAsia="Times New Roman" w:hAnsi="Times New Roman"/>
          <w:sz w:val="17"/>
          <w:szCs w:val="17"/>
          <w:color w:val="auto"/>
        </w:rPr>
        <w: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-19050</wp:posOffset>
            </wp:positionV>
            <wp:extent cx="571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Adagio’s Corporate Secretary at 1601 Trapelo Road, Suite 178, Waltham, Massachusetts 02451.</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virtual Annual Meeting and vote online. Simply attending the virtual Annual Meeting will not, by itself, revoke your proxy.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If you have previously signed a proxy card sent to you by the Company or the Mithril Group, you may change your vote. Only the latest dated, valid proxy that you submit will be counted.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trustee or other agent, you should follow the instructions provided by your broker, bank, trustee or other agent.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Proposal 1, votes “For” and “Withhold”. Broker non-votes will have no effect on the voting on Proposal 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Proposal 1?</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For Proposal 1, the election of directors, the three nominees receiving the most “For” votes from the holders of shares present or represented by proxy and entitled to vote on the election of directors will be elected. Only votes “For” will affect the outcome. Withhold votes will have no effect on the outcome of Proposal 1.</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Mithril has notified us that it intends to nominate three nominees for election as directors at the Annual Meeting. The Board takes no position and makes no recommendation with respect to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120" w:right="180"/>
        <w:spacing w:after="0" w:line="289" w:lineRule="auto"/>
        <w:rPr>
          <w:sz w:val="20"/>
          <w:szCs w:val="20"/>
          <w:color w:val="auto"/>
        </w:rPr>
      </w:pPr>
      <w:r>
        <w:rPr>
          <w:rFonts w:ascii="Times New Roman" w:cs="Times New Roman" w:eastAsia="Times New Roman" w:hAnsi="Times New Roman"/>
          <w:sz w:val="17"/>
          <w:szCs w:val="17"/>
          <w:color w:val="auto"/>
        </w:rPr>
        <w:t>A quorum of stockholders is necessary to hold a valid meeting. A quorum will be present if stockholders holding at least a majority of the outstanding shares entitled to vote are present at the Annual Meeting or represented by proxy. On the Record Date, there were 109,675,173 shares outstanding and entitled to vote. Thus, the holders of 54,837,587 shares must be present or represented by proxy at the Annual Meeting to have a quorum.</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trustee or other nominee) or if you vote online at the Annual Meeting. Abstentions will be counted towards the quorum requirement. If there is no quorum, the holders of a majority of shares present at the virtual Annual Meeting or represented by proxy may adjourn the meeting to another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Final voting results will be published in a current report on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 I have appraisal or dissenters’ rights?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None of the applicable Delaware law, the Company’s Amended and Restated Certificate of Incorporation or its Amended and Restated Bylaws (the “Bylaws”) provide for the appraisal or other similar rights for dissenting stockholders in connection with the proposal set forth in this proxy statement. Accordingly, you will have no right to dissent and obtain payment for your shares in connection with such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19" w:lineRule="exact"/>
        <w:rPr>
          <w:sz w:val="20"/>
          <w:szCs w:val="20"/>
          <w:color w:val="auto"/>
        </w:rPr>
      </w:pPr>
    </w:p>
    <w:p>
      <w:pPr>
        <w:ind w:left="120" w:right="2500"/>
        <w:spacing w:after="0" w:line="284" w:lineRule="auto"/>
        <w:rPr>
          <w:sz w:val="20"/>
          <w:szCs w:val="20"/>
          <w:color w:val="auto"/>
        </w:rPr>
      </w:pPr>
      <w:r>
        <w:rPr>
          <w:rFonts w:ascii="Times New Roman" w:cs="Times New Roman" w:eastAsia="Times New Roman" w:hAnsi="Times New Roman"/>
          <w:sz w:val="18"/>
          <w:szCs w:val="18"/>
          <w:color w:val="auto"/>
        </w:rPr>
        <w:t xml:space="preserve">This proxy statement, Form 10-K and annual report to stockholders are available at </w:t>
      </w:r>
      <w:r>
        <w:rPr>
          <w:rFonts w:ascii="Times New Roman" w:cs="Times New Roman" w:eastAsia="Times New Roman" w:hAnsi="Times New Roman"/>
          <w:sz w:val="18"/>
          <w:szCs w:val="18"/>
          <w:i w:val="1"/>
          <w:iCs w:val="1"/>
          <w:color w:val="auto"/>
        </w:rPr>
        <w:t>https://investors.adagiotx.com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www.virtualshareholdermeeting.com/ADGI2022</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 xml:space="preserve">If you receive more than one set of proxy materials containing a BLUE proxy card, your shares may be registered in more than one name or in different accounts. To ensure that all of your shares are voted, you may submit each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or voting instruction form you receive or, if you submit a proxy over the Internet or by telephone, you will need to enter each of your Control Numbers.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16, 2022 to Corporate Secretary, 1601 Trapelo Road, Suite 178, Waltham, Massachusetts 02451 and comply with all applicable requirements of Rule 14a-8 promulgated under the Exchange Act (“Rule 14a-8”). In addition to the requirements set forth in the Bylaws, to comply with the SEC’s universal proxy rules (once effective), stockholders who intend to solicit proxies in support of director nominees other than the Company’s nominees must provide notice that sets forth the information required by Rule 14a-19 under the Exchange Act.</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With respect to proposals (including director nominations) not to be included in next year’s proxy materials pursuant to Rule 14a-8, the Bylaws provide that your proposal must be submitted in writing between January 26, 2023 and February 25, 2023 to our Corporate Secretary, 1601 Trapelo Road, Suite 178, Waltham, Massachusetts 02451 and comply with the requirements in the Bylaws; provided, however, that if our 2023 annual meeting of stockholders is held before April 26, 2023 or after June 25, 2023, then the proposal must be received by us no earlier than 120 days prior to such annual meeting of stockholders and no later than the later of (i) 90 days prior to the date of such meeting or (ii) the 10th day following the day on which public announcement of the date of such meeting is first made.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certain executive officers may, without additional remuneration, soliciting proxies in person, by telephone, or by other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means of communication. Other than the persons described in this proxy statement, no general class of employee of the Company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 Copies of solicitation materials will be furnished to banks, brokerage houses, fiduciaries and custodians holding shares of the Common Stock in their names that are beneficially owned by others to forward to those beneficial owners. We may also reimburse brokerage firms, banks and other agents for the cost of forwarding proxy materials to beneficial owners of Common Stock.</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We have engaged [</w:t>
            </w:r>
          </w:p>
        </w:tc>
        <w:tc>
          <w:tcPr>
            <w:tcW w:w="900" w:type="dxa"/>
            <w:vAlign w:val="bottom"/>
            <w:tcBorders>
              <w:bottom w:val="single" w:sz="8" w:color="auto"/>
            </w:tcBorders>
          </w:tcPr>
          <w:p>
            <w:pPr>
              <w:spacing w:after="0"/>
              <w:rPr>
                <w:sz w:val="17"/>
                <w:szCs w:val="17"/>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 to solicit proxies from stockholders in connection with the Annual Meeting. [</w:t>
            </w:r>
          </w:p>
        </w:tc>
        <w:tc>
          <w:tcPr>
            <w:tcW w:w="900" w:type="dxa"/>
            <w:vAlign w:val="bottom"/>
            <w:tcBorders>
              <w:bottom w:val="single" w:sz="8" w:color="auto"/>
            </w:tcBorders>
            <w:gridSpan w:val="2"/>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expects that approximately</w:t>
            </w:r>
          </w:p>
        </w:tc>
      </w:tr>
      <w:tr>
        <w:trPr>
          <w:trHeight w:val="196"/>
        </w:trPr>
        <w:tc>
          <w:tcPr>
            <w:tcW w:w="6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  ] of its employees will assist in the solicitation of proxies. We will pay a fee to [</w:t>
            </w:r>
          </w:p>
        </w:tc>
        <w:tc>
          <w:tcPr>
            <w:tcW w:w="2420" w:type="dxa"/>
            <w:vAlign w:val="bottom"/>
            <w:gridSpan w:val="4"/>
          </w:tcPr>
          <w:p>
            <w:pPr>
              <w:ind w:left="460"/>
              <w:spacing w:after="0" w:line="196" w:lineRule="exact"/>
              <w:rPr>
                <w:sz w:val="20"/>
                <w:szCs w:val="20"/>
                <w:color w:val="auto"/>
              </w:rPr>
            </w:pPr>
            <w:r>
              <w:rPr>
                <w:rFonts w:ascii="Times New Roman" w:cs="Times New Roman" w:eastAsia="Times New Roman" w:hAnsi="Times New Roman"/>
                <w:sz w:val="18"/>
                <w:szCs w:val="18"/>
                <w:color w:val="auto"/>
              </w:rPr>
              <w:t>] that will not exceed $[</w:t>
            </w:r>
          </w:p>
        </w:tc>
        <w:tc>
          <w:tcPr>
            <w:tcW w:w="204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color w:val="auto"/>
              </w:rPr>
              <w:t>], plus costs and</w:t>
            </w: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3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that our additional out-of-pocket expenses beyond those normally associated with soliciting proxies for the Annual Meeting as a result of</w:t>
      </w:r>
    </w:p>
    <w:tbl>
      <w:tblPr>
        <w:tblLayout w:type="fixed"/>
        <w:tblInd w:w="120" w:type="dxa"/>
        <w:tblCellMar>
          <w:top w:w="0" w:type="dxa"/>
          <w:left w:w="0" w:type="dxa"/>
          <w:bottom w:w="0" w:type="dxa"/>
          <w:right w:w="0" w:type="dxa"/>
        </w:tblCellMar>
      </w:tblPr>
      <w:tr>
        <w:trPr>
          <w:trHeight w:val="203"/>
        </w:trPr>
        <w:tc>
          <w:tcPr>
            <w:tcW w:w="26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8"/>
              </w:rPr>
              <w:t>the potential proxy contest will be $[</w:t>
            </w:r>
          </w:p>
        </w:tc>
        <w:tc>
          <w:tcPr>
            <w:tcW w:w="540" w:type="dxa"/>
            <w:vAlign w:val="bottom"/>
            <w:tcBorders>
              <w:bottom w:val="single" w:sz="8" w:color="auto"/>
            </w:tcBorders>
          </w:tcPr>
          <w:p>
            <w:pPr>
              <w:spacing w:after="0"/>
              <w:rPr>
                <w:sz w:val="17"/>
                <w:szCs w:val="17"/>
                <w:color w:val="auto"/>
              </w:rPr>
            </w:pPr>
          </w:p>
        </w:tc>
        <w:tc>
          <w:tcPr>
            <w:tcW w:w="326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w w:val="99"/>
              </w:rPr>
              <w:t>] in the aggregate, of which approximately $[</w:t>
            </w:r>
          </w:p>
        </w:tc>
        <w:tc>
          <w:tcPr>
            <w:tcW w:w="540" w:type="dxa"/>
            <w:vAlign w:val="bottom"/>
            <w:tcBorders>
              <w:bottom w:val="single" w:sz="8" w:color="auto"/>
            </w:tcBorders>
          </w:tcPr>
          <w:p>
            <w:pPr>
              <w:spacing w:after="0"/>
              <w:rPr>
                <w:sz w:val="17"/>
                <w:szCs w:val="17"/>
                <w:color w:val="auto"/>
              </w:rPr>
            </w:pPr>
          </w:p>
        </w:tc>
        <w:tc>
          <w:tcPr>
            <w:tcW w:w="3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has been spent to date. Such additional solicitation</w:t>
            </w:r>
          </w:p>
        </w:tc>
      </w:tr>
      <w:tr>
        <w:trPr>
          <w:trHeight w:val="196"/>
        </w:trPr>
        <w:tc>
          <w:tcPr>
            <w:tcW w:w="40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costs are expected to include the fees incurred to retain [</w:t>
            </w:r>
          </w:p>
        </w:tc>
        <w:tc>
          <w:tcPr>
            <w:tcW w:w="900" w:type="dxa"/>
            <w:vAlign w:val="bottom"/>
            <w:tcBorders>
              <w:bottom w:val="single" w:sz="8" w:color="auto"/>
            </w:tcBorders>
          </w:tcPr>
          <w:p>
            <w:pPr>
              <w:spacing w:after="0"/>
              <w:rPr>
                <w:sz w:val="17"/>
                <w:szCs w:val="17"/>
                <w:color w:val="auto"/>
              </w:rPr>
            </w:pPr>
          </w:p>
        </w:tc>
        <w:tc>
          <w:tcPr>
            <w:tcW w:w="6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 as the Company’s proxy solicitor, as discussed above, fees of outside counsel, and</w:t>
            </w:r>
          </w:p>
        </w:tc>
      </w:tr>
    </w:tbl>
    <w:p>
      <w:pPr>
        <w:spacing w:after="0" w:line="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fees of public relation advisors to advise the Company in connection with a possible contested solicitation of proxies, increased mailing costs, such as the costs of additional mailings of solicitation materials to stockholders, including printing costs, mailing costs and the reimbursement of reasonable expenses of banks, brokerage houses and other agents incurred in forwarding solicitation materials to beneficial owners, as described above, and the costs of retaining an independent inspector of election.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Whom should I contact if I have questions?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If you have additional questions about the election of directors, this proxy statement or the Annual Meeting, or if you need assistance voting your shares,</w:t>
      </w:r>
    </w:p>
    <w:p>
      <w:pPr>
        <w:spacing w:after="0" w:line="39" w:lineRule="exact"/>
        <w:rPr>
          <w:sz w:val="20"/>
          <w:szCs w:val="20"/>
          <w:color w:val="auto"/>
        </w:rPr>
      </w:pPr>
    </w:p>
    <w:p>
      <w:pPr>
        <w:ind w:left="120"/>
        <w:spacing w:after="0"/>
        <w:tabs>
          <w:tab w:leader="none" w:pos="2120" w:val="left"/>
        </w:tabs>
        <w:rPr>
          <w:sz w:val="20"/>
          <w:szCs w:val="20"/>
          <w:color w:val="auto"/>
        </w:rPr>
      </w:pPr>
      <w:r>
        <w:rPr>
          <w:rFonts w:ascii="Times New Roman" w:cs="Times New Roman" w:eastAsia="Times New Roman" w:hAnsi="Times New Roman"/>
          <w:sz w:val="18"/>
          <w:szCs w:val="18"/>
          <w:color w:val="auto"/>
        </w:rPr>
        <w:t>please contact [</w:t>
      </w:r>
      <w:r>
        <w:rPr>
          <w:sz w:val="20"/>
          <w:szCs w:val="20"/>
          <w:color w:val="auto"/>
        </w:rPr>
        <w:tab/>
      </w:r>
      <w:r>
        <w:rPr>
          <w:rFonts w:ascii="Times New Roman" w:cs="Times New Roman" w:eastAsia="Times New Roman" w:hAnsi="Times New Roman"/>
          <w:sz w:val="17"/>
          <w:szCs w:val="17"/>
          <w:color w:val="auto"/>
        </w:rPr>
        <w: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-19050</wp:posOffset>
            </wp:positionV>
            <wp:extent cx="571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Mithril Group may send you solicitation materials in an effort to solicit your vote to elect up to three of Mithril’s nominees to the Board. Please be advised that we are not responsible for the accuracy of any information provided by or relating to the Mithril Group contained in any proxy solicitation materials filed or disseminated by the Mithril Group or any other statements that the Mithril Group may otherwise make. The board takes no position and makes no recommendation with respect to election of directors.</w:t>
      </w:r>
    </w:p>
    <w:p>
      <w:pPr>
        <w:spacing w:after="0" w:line="176"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color w:val="auto"/>
        </w:rPr>
        <w:t xml:space="preserve">You may complete, sign and date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and return it in the enclosed postage-paid envelope. Only your latest dated, signed proxy card or voting instruction form will be counted. Any proxy may be revoked at any time prior to its exercise at the virtual Annual Meeting as described in this proxy statement.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The Board is divided into three classes. Each class consists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Board currently has nine members. There are three directors in the class whose term of office expires in 2022. If elected at the Annual Meeting, each of the nominees would serve until the 2025 Annual Meeting of Stockholders (the “2025 Annual Meeting”) and until his or her successor has been duly elected and qualified, or, if sooner, until the director’s death, resignation or removal.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Mithril has notified us that it intends to nominate three nominees for election to our Board at the Annual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takes no position and makes no recommendation with respect to the election of directors. For inquiries related to submitting a proxy for your</w:t>
      </w:r>
    </w:p>
    <w:p>
      <w:pPr>
        <w:spacing w:after="0" w:line="27"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shares, please reach out to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-19050</wp:posOffset>
            </wp:positionV>
            <wp:extent cx="571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Unless contrary instructions are provided on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 the persons named as proxies will, upon receipt of a properly executed proxy, vote</w:t>
      </w:r>
    </w:p>
    <w:p>
      <w:pPr>
        <w:spacing w:after="0" w:line="3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with respect to the election of [ ], [ ] and [ ] as directors for a term expiring at the 2025 Annual Meeting. [Each of the director nominees has consented to serving as nominees for election to the Board, to being named in this proxy statement and to serve on our Board,] if elected. If any nominee should be unable to serve, the person acting under the proxy may vote the proxy for a substitute nominee designated by our Board. We do not contemplate that any of the director nominees will be unable to serve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-441960</wp:posOffset>
            </wp:positionV>
            <wp:extent cx="2145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or represented by proxy and entitled to vote on the election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 three nominees receiving the highest number of affirmative votes will be elected.</w:t>
      </w:r>
    </w:p>
    <w:p>
      <w:pPr>
        <w:spacing w:after="0" w:line="207" w:lineRule="exact"/>
        <w:rPr>
          <w:sz w:val="20"/>
          <w:szCs w:val="20"/>
          <w:color w:val="auto"/>
        </w:rPr>
      </w:pPr>
    </w:p>
    <w:p>
      <w:pPr>
        <w:ind w:left="120"/>
        <w:spacing w:after="0"/>
        <w:tabs>
          <w:tab w:leader="none" w:pos="3760" w:val="left"/>
          <w:tab w:leader="none" w:pos="4880" w:val="left"/>
          <w:tab w:leader="none" w:pos="6240" w:val="left"/>
        </w:tabs>
        <w:rPr>
          <w:sz w:val="20"/>
          <w:szCs w:val="20"/>
          <w:color w:val="auto"/>
        </w:rPr>
      </w:pPr>
      <w:r>
        <w:rPr>
          <w:rFonts w:ascii="Times New Roman" w:cs="Times New Roman" w:eastAsia="Times New Roman" w:hAnsi="Times New Roman"/>
          <w:sz w:val="18"/>
          <w:szCs w:val="18"/>
          <w:color w:val="auto"/>
        </w:rPr>
        <w:t>The following is a brief biography of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and [</w:t>
      </w:r>
      <w:r>
        <w:rPr>
          <w:sz w:val="20"/>
          <w:szCs w:val="20"/>
          <w:color w:val="auto"/>
        </w:rPr>
        <w:tab/>
      </w:r>
      <w:r>
        <w:rPr>
          <w:rFonts w:ascii="Times New Roman" w:cs="Times New Roman" w:eastAsia="Times New Roman" w:hAnsi="Times New Roman"/>
          <w:sz w:val="18"/>
          <w:szCs w:val="18"/>
          <w:color w:val="auto"/>
        </w:rPr>
        <w:t>] and each director whose term will continue after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-7620</wp:posOffset>
            </wp:positionV>
            <wp:extent cx="2145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Meeting. There are no family relationships among any of our directors or executive officers. There are no arrangements or understandings between any of our directors, nominees for director and any other person pursuant to which any person was selected as a director.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 Director Nominees for Election for a Three-year Term Expiring at the 2025 Annual Meeting</w:t>
      </w:r>
    </w:p>
    <w:p>
      <w:pPr>
        <w:spacing w:after="0" w:line="117" w:lineRule="exact"/>
        <w:rPr>
          <w:sz w:val="20"/>
          <w:szCs w:val="20"/>
          <w:color w:val="auto"/>
        </w:rPr>
      </w:pPr>
    </w:p>
    <w:p>
      <w:pPr>
        <w:ind w:left="1080" w:hanging="964"/>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-5080</wp:posOffset>
            </wp:positionV>
            <wp:extent cx="571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0"/>
          <w:szCs w:val="20"/>
          <w:color w:val="auto"/>
        </w:rPr>
      </w:pPr>
    </w:p>
    <w:p>
      <w:pPr>
        <w:ind w:left="1080" w:hanging="964"/>
        <w:spacing w:after="0"/>
        <w:tabs>
          <w:tab w:leader="none" w:pos="10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-5080</wp:posOffset>
            </wp:positionV>
            <wp:extent cx="571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0"/>
          <w:szCs w:val="20"/>
          <w:color w:val="auto"/>
        </w:rPr>
      </w:pPr>
    </w:p>
    <w:p>
      <w:pPr>
        <w:ind w:left="1080" w:hanging="964"/>
        <w:spacing w:after="0"/>
        <w:tabs>
          <w:tab w:leader="none" w:pos="10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-5080</wp:posOffset>
            </wp:positionV>
            <wp:extent cx="571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THE BOARD TAKES NO POSITION AND MAKES NO RECOMMENDATION WITH RESPECT TO THE ELECTION OF DIRECTORS.</w:t>
      </w: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2023 Annual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Howard Mayer, M.D.</w:t>
      </w:r>
      <w:r>
        <w:rPr>
          <w:rFonts w:ascii="Times New Roman" w:cs="Times New Roman" w:eastAsia="Times New Roman" w:hAnsi="Times New Roman"/>
          <w:sz w:val="18"/>
          <w:szCs w:val="18"/>
          <w:i w:val="1"/>
          <w:iCs w:val="1"/>
          <w:color w:val="auto"/>
        </w:rPr>
        <w:t>, age 59</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Howard Mayer has served as a member of our Board since August 2020. In addition, Dr. Mayer has served on the board of directors of Entasis Therapeutics Holdings Inc., a biotechnology company, since August 2019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previously served on the board of directors of Genocea Biosciences, Inc., a bioscience company, from March 2017 to August 2020. Dr. Mayer has served as the Executive Vice President, Head of Research and Development for Ipsen Biopharmaceuticals, Inc., or Ipsen, a global biopharmaceutical leader, since December 2019. Prior to joining Ipsen, Dr. Mayer served as the Senior Vice President, Chief Medical Officer and Global Head of Research &amp; Development, Neuroscience Division at Shire Pharmaceuticals, Inc., or Shire, a pharmaceutical company,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because of his extensive experience in the biopharmaceutical industry and his scientific background.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Terrance McGuire</w:t>
      </w:r>
      <w:r>
        <w:rPr>
          <w:rFonts w:ascii="Times New Roman" w:cs="Times New Roman" w:eastAsia="Times New Roman" w:hAnsi="Times New Roman"/>
          <w:sz w:val="18"/>
          <w:szCs w:val="18"/>
          <w:i w:val="1"/>
          <w:iCs w:val="1"/>
          <w:color w:val="auto"/>
        </w:rPr>
        <w:t>, age 66</w:t>
      </w:r>
    </w:p>
    <w:p>
      <w:pPr>
        <w:spacing w:after="0" w:line="121"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Terrance McGuire has served as a member of our Board since October 2020. Mr. McGuire is a founding partner of Polaris Partners, an investment firm, which he co-founded in 1996. Mr. McGuire serves on the board of directors of several private companies and has served on the board of directors of Alector, Inc., a biopharmaceutical company, since 2013, Seer, Inc., a proteomics company, since December 2017 and Cyclerion Therapeutics, Inc., a clinical-stage biopharmaceutical company, since April 2019. In addition, Mr. McGuire previously served on the board of directors of Pulmatrix, Inc., a pharmaceutical company, from 2016 to September 2019, Ironwood Pharmaceuticals, Inc., a pharmaceutical company, from 1998 to April 2019, Arsanis, Inc., a clinical-stage biopharmaceutical company, from 2011 to March 2019, and Acceleron Pharma Inc., a clinical stage biopharmaceutical company, from 2005 to November 2017. Mr. McGuire is the former chairman of the National Venture Capital Association, which represents ninety percent of the venture capitalists in the U.S., former chairman of the board of the Thayer School of Engineering at Dartmouth College, and a member of the board of directors of The Arthur Rock Center for Entrepreneurship at Harvard Business School, The Healthcare Initiative Board at Harvard Business School, and The Scientific Advisory Board at Brigham Research Institute. Mr. McGuire received a B.S. in physics and economics from Hobart College, an M.S. in Engineering from the Thayer School at Dartmouth College and a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Redonda Miller, M.D., M.B.A.</w:t>
      </w:r>
      <w:r>
        <w:rPr>
          <w:rFonts w:ascii="Times New Roman" w:cs="Times New Roman" w:eastAsia="Times New Roman" w:hAnsi="Times New Roman"/>
          <w:sz w:val="18"/>
          <w:szCs w:val="18"/>
          <w:i w:val="1"/>
          <w:iCs w:val="1"/>
          <w:color w:val="auto"/>
        </w:rPr>
        <w:t>, age 55</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Redonda Miller has served as a member of our Board since November 2021. Dr. Miller has served as the president of The Johns Hopkins Hospital since July 2016 and as an associate professor in the Department of Medicine at The Johns Hopkins University, a research university, since May 2006.</w:t>
      </w: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Dr. Miller received a M.D. from The Johns Hopkins University School of Medicine, a M.B.A. from The Johns Hopkins University and a B.S. from The Ohio State University. We believe Dr. Miller is qualified to serve as a member of our Board because of her expertise in medicine and health care administration.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2024 Annual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Tomas Heyman</w:t>
      </w:r>
      <w:r>
        <w:rPr>
          <w:rFonts w:ascii="Times New Roman" w:cs="Times New Roman" w:eastAsia="Times New Roman" w:hAnsi="Times New Roman"/>
          <w:sz w:val="18"/>
          <w:szCs w:val="18"/>
          <w:i w:val="1"/>
          <w:iCs w:val="1"/>
          <w:color w:val="auto"/>
        </w:rPr>
        <w:t>, age 66</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Tomas Heyman has served as a member of our Board since June 2021. Mr. Heyman currently serves as Interim Chief Executive Officer of Interlaken Therapeutics, Inc., a biotechnology company. Mr. Heyman previously served as the President of Johnson &amp; Johnson’s Corporate Venture Capital Group, the venture capital arm of Johnson &amp; Johnson, a pharmaceutical industry company, from April 2015 to September 2019 and as the Global Head of Business Development for Johnson &amp; Johnson’s Pharmaceutical Group from March 1992 to March</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2015. In addition, Mr. Heyman previously served as Chief Executive Officer of Janssen Pharmaceuticals, a pharmaceutical company, from November 2008 to November 2016. Mr. Heyman has served as a director of OptiNose, Inc., a specialty pharmaceutical company, since December 2020 and a director of Akero Therapeutics, Inc., a biotechnology company, since June 2020. Mr. Heyman earned his Master of Laws from Katholieke Universiteit Leuven. We believe Mr. Heyman is qualified to serve as a member of our Board because of his expertise in the biotechnology industry through his career in venture capital.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Anand Shah, M.D.</w:t>
      </w:r>
      <w:r>
        <w:rPr>
          <w:rFonts w:ascii="Times New Roman" w:cs="Times New Roman" w:eastAsia="Times New Roman" w:hAnsi="Times New Roman"/>
          <w:sz w:val="18"/>
          <w:szCs w:val="18"/>
          <w:i w:val="1"/>
          <w:iCs w:val="1"/>
          <w:color w:val="auto"/>
        </w:rPr>
        <w:t>, age 42</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Anand Shah has served as a member of our Board since June 2021. Dr. Shah has served as Operating Advisor at Clayton Dubilier &amp; Rice, a global private equity manager, since January 2022. Previously, Dr. Shah served as a senior advisor to Morgan Stanley from January 2021 to January 2022. Dr. Shah served as the Deputy Commissioner for Medical and Scientific Affairs at the U.S. Food and Drug Administration from January 2020 to January 2021. He served as Chief Medical Officer of the Center for Medicare and Medicaid Innovation from October 2017 to January 2019 and Senior Medical Advisor from January 2019 to January 2020, both at the Centers for Medicare and Medicaid Services. Dr. Shah has served as an Adjunct Senior Fellow at the Leonard David Institute of Health Economics at the University of Pennsylvania since March 2022 and previously served in the same position from March 2017 to January 2020. Dr. Shah received an M.D. from the University of Pennsylvania, an M.P.H. in Health Care Management and Policy from the Harvard School of Public Health and a B.S. in Economics from Duke University. We believe Dr. Shah is qualified to serve as a member of our Board because of his expertise in health policy, the biotechnology field and bringing new technologies to market.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Michael Wyzga</w:t>
      </w:r>
      <w:r>
        <w:rPr>
          <w:rFonts w:ascii="Times New Roman" w:cs="Times New Roman" w:eastAsia="Times New Roman" w:hAnsi="Times New Roman"/>
          <w:sz w:val="18"/>
          <w:szCs w:val="18"/>
          <w:i w:val="1"/>
          <w:iCs w:val="1"/>
          <w:color w:val="auto"/>
        </w:rPr>
        <w:t>, age 67</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Michael Wyzga has served as a member of our Board since July 2021. Mr. Wyzga has served as the President of MSW Consulting, Inc. since November 2013. Mr. Wyzga has served as a member and chair of the board of directors for GenSight Biologics S.A., a clinical-stage gene therapy company, since July 2015 and for X4 Pharmaceuticals, Inc., a biopharmaceutical company, since July 2018, as a member and deputy chair of the board of Mereo BioPharma Group plc, a clinical-stage biopharmaceutical company, since April 2019, and as a member of the board and chair of the audit committee for LogicBio Therapeutics, Inc., a clinical-stage genetic medicine company, since December 2018. Mr. Wyzga previously served as a director and chair of the audit and finance committee for Exact Sciences Corp., a provider of cancer screening and diagnostic tests, from February 2015 to June 2021 and as a member of the board of directors of OncoMed Pharmaceuticals, Inc., a biotechnology company, from October 2013 to April 2019. Mr. Wyzga received a M.B.A. from Providence College and a B.S. from Suffolk University. We believe Mr. Wyzga is qualified to serve as a member of our Board because of his experience in the biotechnology space and his financial experience.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 Directors – Term Expiring at the Annual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Ellen R. Marram, M.B.A.</w:t>
      </w:r>
      <w:r>
        <w:rPr>
          <w:rFonts w:ascii="Times New Roman" w:cs="Times New Roman" w:eastAsia="Times New Roman" w:hAnsi="Times New Roman"/>
          <w:sz w:val="18"/>
          <w:szCs w:val="18"/>
          <w:i w:val="1"/>
          <w:iCs w:val="1"/>
          <w:color w:val="auto"/>
        </w:rPr>
        <w:t>, age 75</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Ellen R. Marram has served as a member of our Board since November 2021. Ms. Marram has served as the President of The Barnegat Group LLC, a firm that provides business advisory services, since 2006 and is a Senior Managing Director at Brock Capital Group LLC, an investment bank.</w:t>
      </w: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Ms. Marram previously served as the Managing Director of North Castle Partners, LLC, a private equity firm, from 2000 through 2005, President and Chief Executive Officer of Tropicana Beverage Group, a multi-national beverage company, from 1997 through 1998, Group President of Tropicana Beverage Group from 1993 through 1997, and President and Chief Executive Officer of the Nabisco Biscuit Company, a snack food and consumer products company, from 1988 through 1993. Ms. Marram served as a director of Ford Motor Company, an automotive manufacturer, from 1988 to May 2019, a director of Eli Lilly and Company, a pharmaceutical company, from 2002 to May 2019 and a director of The New York Times Company, a news and media company, from 1998 to April 2017. Ms. Marram received a M.B.A. from Harvard Business School and a B.A. from Wellesley College. We believe Ms. Marram 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qualified to serve as a member of our Board because of her extensive management experience and marketing expertise in managing well-known consumer brands and experience in advising companies across a variety of industries, including pharmaceutical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Ajay Royan</w:t>
      </w:r>
      <w:r>
        <w:rPr>
          <w:rFonts w:ascii="Times New Roman" w:cs="Times New Roman" w:eastAsia="Times New Roman" w:hAnsi="Times New Roman"/>
          <w:sz w:val="18"/>
          <w:szCs w:val="18"/>
          <w:i w:val="1"/>
          <w:iCs w:val="1"/>
          <w:color w:val="auto"/>
        </w:rPr>
        <w:t>, age 42</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Ajay Royan has served as a member of our Board since October 2020. Mr. Royan has served as Managing General Partner and Founder of Mithril Capital Management LLC, a venture capital firm investing in technology companies, since June 2012 and on the board of directors of several private companies in which Mithril Capital Management LLC or its affiliates have invested. Mr. Royan serves on the Science Advisory Board of the Oak Ridge National Laboratory, the board of directors of Fulbright Canada, and the Presidents’ Circle of the National Academies of Science, Engineering, and Medicine. Mr. Royan received a B.A. from Yale University. We believe Mr. Royan is qualified to serve as a member of our Board because of his expertise in the technology industry through his career in venture capital and his experience as a director of several technology companies.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René Russo, Pharm.D.</w:t>
      </w:r>
      <w:r>
        <w:rPr>
          <w:rFonts w:ascii="Times New Roman" w:cs="Times New Roman" w:eastAsia="Times New Roman" w:hAnsi="Times New Roman"/>
          <w:sz w:val="18"/>
          <w:szCs w:val="18"/>
          <w:i w:val="1"/>
          <w:iCs w:val="1"/>
          <w:color w:val="auto"/>
        </w:rPr>
        <w:t>, age 47</w:t>
      </w:r>
    </w:p>
    <w:p>
      <w:pPr>
        <w:spacing w:after="0" w:line="121" w:lineRule="exact"/>
        <w:rPr>
          <w:sz w:val="20"/>
          <w:szCs w:val="20"/>
          <w:color w:val="auto"/>
        </w:rPr>
      </w:pPr>
    </w:p>
    <w:p>
      <w:pPr>
        <w:ind w:left="120" w:right="80"/>
        <w:spacing w:after="0" w:line="269" w:lineRule="auto"/>
        <w:rPr>
          <w:sz w:val="20"/>
          <w:szCs w:val="20"/>
          <w:color w:val="auto"/>
        </w:rPr>
      </w:pPr>
      <w:r>
        <w:rPr>
          <w:rFonts w:ascii="Times New Roman" w:cs="Times New Roman" w:eastAsia="Times New Roman" w:hAnsi="Times New Roman"/>
          <w:sz w:val="17"/>
          <w:szCs w:val="17"/>
          <w:color w:val="auto"/>
        </w:rPr>
        <w:t>René Russo is our co-founder and has served as the chair of our Board since October 2020. Dr. Russo is an accomplished biotechnology CEO with over 20 years of experience leading R&amp;D and commercialization in the biopharmaceutical industry. As an executive leader, Dr. Russo has been responsible for early preclinical research through all phases of clinical development, registration, and commercialization of many successful therapies in the U.S. and E.U. Dr. Russo has served as the Chief Executive Officer and a director of Xilio Therapeutics, Inc., an immuno-oncology, or IO, company focused on the development of tumor-selective, potent IO therapeutics, since May 2019 and as President since May 2021. Prior to her position at Xilio,</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Dr. Russo served as President and Chief Executive Officer of Arsanis, Inc., a biopharmaceutical company developing monoclonal antibodies to prevent and treat serious infectious diseases, which merged with X4 Pharmaceuticals, Inc. in 2018, from May 2016 to November 2018, and as its Chief Development Officer from July 2015 to May 2016. Prior to Arsanis, Dr. Russo spent 12 years at Cubist Pharmaceuticals, Inc., or Cubist, a leading global anti-infective company acquired by Merck &amp; Co., Inc. for $9.6 billion. At Cubist, she contributed to the successful launch and commercialization of Cubicin (reaching over $1 billion in sales annually worldwide) and played a key role in the successful integration of two public companies, Optimer Pharmaceuticals Inc. and Trius Therapeutics, Inc. Prior to Cubist, Dr. Russo held R&amp;D roles at Bristol-Myers Squibb Company, contributing to the successful development and global commercialization of several therapies, including Reyataz and Baraclude. In addition, Dr. Russo has served as a director of Celsius Therapeutics, Inc., a privately held biopharmaceutical company, since May 2020 and previously served as a director of X4 Pharmaceuticals, Inc., a biopharmaceutical company, from March 2019 to November 2021. Dr. Russo also serves as a director of Life Science Cares. Dr. Russo received a B.S. in Pharmacy and a Pharm.D. from Rutgers University and completed a post- doctoral fellowship in infectious diseases with Bristol-Myers Squibb Company. We believe Dr. Russo is qualified to serve as a member of our Board because of her experience as an executive at public and private pharmaceutical companies and her expertise in clinical development and commercialization of therapeutics.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43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Board Diversity Matrix (As of [</w:t>
            </w:r>
          </w:p>
        </w:tc>
        <w:tc>
          <w:tcPr>
            <w:tcW w:w="900" w:type="dxa"/>
            <w:vAlign w:val="bottom"/>
            <w:tcBorders>
              <w:bottom w:val="single" w:sz="8" w:color="auto"/>
            </w:tcBorders>
          </w:tcPr>
          <w:p>
            <w:pPr>
              <w:spacing w:after="0"/>
              <w:rPr>
                <w:sz w:val="17"/>
                <w:szCs w:val="17"/>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 2022)</w:t>
            </w: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6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620" w:type="dxa"/>
            <w:vAlign w:val="bottom"/>
            <w:tcBorders>
              <w:top w:val="single" w:sz="8" w:color="auto"/>
            </w:tcBorders>
          </w:tcPr>
          <w:p>
            <w:pPr>
              <w:spacing w:after="0"/>
              <w:rPr>
                <w:sz w:val="10"/>
                <w:szCs w:val="10"/>
                <w:color w:val="auto"/>
              </w:rPr>
            </w:pPr>
          </w:p>
        </w:tc>
        <w:tc>
          <w:tcPr>
            <w:tcW w:w="4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0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Did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6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6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78"/>
        </w:trPr>
        <w:tc>
          <w:tcPr>
            <w:tcW w:w="688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0"/>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66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66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Asian</w:t>
            </w:r>
          </w:p>
        </w:tc>
        <w:tc>
          <w:tcPr>
            <w:tcW w:w="66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66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66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White</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66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LGBTQ+</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98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LLC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Consistent with these considerations, after review of all relevant identified transactions or relationships between each director, or any of his or her family</w:t>
      </w:r>
    </w:p>
    <w:p>
      <w:pPr>
        <w:spacing w:after="0" w:line="3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members, and the Company, its senior management and its independent auditors, the Board has affirmatively determined that [ ]. In making this determination, the Board found that none of these directors or nominees for director had a material or other disqualifying 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-306705</wp:posOffset>
            </wp:positionV>
            <wp:extent cx="571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Board has an independent chair, Dr. Russo, who has authority, among other things, to develop and approve an appropriate Board meeting schedule and meeting agendas in consultation with the Chief Executive Officer, convene, moderate and develop the agendas for meetings of the independent members of the Board, and preside over Board meetings when the Chief Executive Officer is not present or when Board or Chief Executive Officer performance or compensation is discussed.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w:t>
      </w:r>
    </w:p>
    <w:p>
      <w:pPr>
        <w:spacing w:after="0" w:line="180"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Our Nominating and Corporate Governance Committee monitors the effectiveness of our corporate governance guidelines, including whether they are successful in preventing illegal or improper liability-creating conduct. The committee also oversees and reviews with management the Company’s major legal compliance risk exposures and the steps management has taken to monitor or mitigate such exposures, including the Company’s procedures and any related policies with</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respect to risk assessment and risk management. Our Compensation Committee of the Board (the “Compensation Committee”) assesses and monitors whether any of our compensation policies and programs has the potential to encourage excessive risk-taking. Both the Board as a whole and the various standing committees receive periodic reports regarding material enterprise risks, as well as incidental reports as matters may arise.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TTENDANCE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Board met 14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62"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It is the Company’s policy to invite directors to attend the Annual Meeting. As a private company, Adagio did not hold an annual meeting of stockholders in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the last fiscal year for each of the Board committees: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2"/>
                <w:szCs w:val="12"/>
                <w:b w:val="1"/>
                <w:bCs w:val="1"/>
                <w:color w:val="auto"/>
              </w:rPr>
              <w:t>(1)</w:t>
            </w:r>
          </w:p>
        </w:tc>
        <w:tc>
          <w:tcPr>
            <w:tcW w:w="760" w:type="dxa"/>
            <w:vAlign w:val="bottom"/>
            <w:vMerge w:val="restart"/>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88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vMerge w:val="restart"/>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73"/>
        </w:trPr>
        <w:tc>
          <w:tcPr>
            <w:tcW w:w="6060" w:type="dxa"/>
            <w:vAlign w:val="bottom"/>
            <w:tcBorders>
              <w:bottom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Tomas Heyman</w:t>
            </w:r>
          </w:p>
        </w:tc>
        <w:tc>
          <w:tcPr>
            <w:tcW w:w="760" w:type="dxa"/>
            <w:vAlign w:val="bottom"/>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2"/>
          </w:tcPr>
          <w:p>
            <w:pPr>
              <w:ind w:left="860"/>
              <w:spacing w:after="0" w:line="191" w:lineRule="exact"/>
              <w:rPr>
                <w:sz w:val="20"/>
                <w:szCs w:val="20"/>
                <w:color w:val="auto"/>
              </w:rPr>
            </w:pPr>
            <w:r>
              <w:rPr>
                <w:rFonts w:ascii="Times New Roman" w:cs="Times New Roman" w:eastAsia="Times New Roman" w:hAnsi="Times New Roman"/>
                <w:sz w:val="18"/>
                <w:szCs w:val="18"/>
                <w:color w:val="auto"/>
                <w:w w:val="90"/>
              </w:rPr>
              <w:t>X*</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Mayer, M.D.</w:t>
            </w:r>
            <w:r>
              <w:rPr>
                <w:rFonts w:ascii="Times New Roman" w:cs="Times New Roman" w:eastAsia="Times New Roman" w:hAnsi="Times New Roman"/>
                <w:sz w:val="15"/>
                <w:szCs w:val="15"/>
                <w:color w:val="auto"/>
              </w:rPr>
              <w:t>(2)</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15"/>
                <w:szCs w:val="15"/>
                <w:color w:val="auto"/>
              </w:rPr>
              <w:t>(3)</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René Russo, Pharm.D.</w:t>
            </w:r>
            <w:r>
              <w:rPr>
                <w:rFonts w:ascii="Times New Roman" w:cs="Times New Roman" w:eastAsia="Times New Roman" w:hAnsi="Times New Roman"/>
                <w:sz w:val="15"/>
                <w:szCs w:val="15"/>
                <w:color w:val="auto"/>
              </w:rPr>
              <w:t>(4)</w:t>
            </w:r>
          </w:p>
        </w:tc>
        <w:tc>
          <w:tcPr>
            <w:tcW w:w="1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Shah, M.D.</w:t>
            </w:r>
            <w:r>
              <w:rPr>
                <w:rFonts w:ascii="Times New Roman" w:cs="Times New Roman" w:eastAsia="Times New Roman" w:hAnsi="Times New Roman"/>
                <w:sz w:val="15"/>
                <w:szCs w:val="15"/>
                <w:color w:val="auto"/>
              </w:rPr>
              <w:t>(5)</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fiscal year 2021</w:t>
            </w:r>
          </w:p>
        </w:tc>
        <w:tc>
          <w:tcPr>
            <w:tcW w:w="1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Chairperson</w:t>
      </w:r>
    </w:p>
    <w:p>
      <w:pPr>
        <w:spacing w:after="0" w:line="27" w:lineRule="exact"/>
        <w:rPr>
          <w:sz w:val="20"/>
          <w:szCs w:val="20"/>
          <w:color w:val="auto"/>
        </w:rPr>
      </w:pP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Elia, a former member of our Board during the last fiscal year, did not serve on any committees and resigned from the Board on April 16, 2021. Philip Chase, a former member of our Board of during the last fiscal year, served on the Compensation Committee. Mr. Chase resigned from the Compensation Committee on May 27, 2021 and from the Board on July 16, 2021.</w:t>
      </w:r>
    </w:p>
    <w:p>
      <w:pPr>
        <w:spacing w:after="0" w:line="1" w:lineRule="exact"/>
        <w:rPr>
          <w:rFonts w:ascii="Times New Roman" w:cs="Times New Roman" w:eastAsia="Times New Roman" w:hAnsi="Times New Roman"/>
          <w:sz w:val="18"/>
          <w:szCs w:val="18"/>
          <w:color w:val="auto"/>
        </w:rPr>
      </w:pPr>
    </w:p>
    <w:p>
      <w:pPr>
        <w:ind w:left="540" w:right="6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Mayer resigned from the Nominating and Corporate Governance Committee on November 19, 2021 in connection with Ms. Marram’s appointment to the Board and the Nominating and Corporate Governance Committee.</w:t>
      </w:r>
    </w:p>
    <w:p>
      <w:pPr>
        <w:ind w:left="540" w:right="70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McGuire resigned from each of the Audit Committee and the Compensation Committee prior to the public filing with the SEC of the Company’s registration statement on Form S-1 related to our initial public offering.</w:t>
      </w:r>
    </w:p>
    <w:p>
      <w:pPr>
        <w:ind w:left="540" w:right="2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Russo resigned from the Compensation Committee prior to the public filing with the SEC of the Company’s registration statement on Form S-1 related to our initial public offering.</w:t>
      </w:r>
    </w:p>
    <w:p>
      <w:pPr>
        <w:ind w:left="540" w:right="280" w:hanging="424"/>
        <w:spacing w:after="0" w:line="26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Shah resigned from the Compensation Committee on November 19, 2021 in connection with Dr. Miller’s appointment to the Board and the Compensation Committee.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previously determined that each member of each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committee meets the applicable Nasdaq rules and regulations regarding “independence” and each member is free of any relationship that would impair his or her individual exercise of independent judgment with regard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and assesses the independence and qualifications of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approve the engagement of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retain or terminate the existing independent auditors or to appoint and engage new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retention of the independent auditors to perform any proposed permissible non-audit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rotation of partners of the independent auditors on the Company’s audit engagement team as required by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with management and the independent auditors regarding the effectiveness of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to review the Company’s annual audited financial statements and quarterly financial statements with management and the independent auditor, including a review of the Company’s disclosures under “Management’s Discussion and Analysis of Financial Condition and Results of Operations,” and to recommend whether such financial statements should be included in our Annual Report on Form 10-K and Annual Report on 10-Q, as applicable.</w:t>
      </w:r>
    </w:p>
    <w:p>
      <w:pPr>
        <w:spacing w:after="0" w:line="180"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 xml:space="preserve">The Audit Committee is composed of three directors: Tomas Heyman, René Russo, Pharm.D., and Michael Wyzga. The Audit Committee met four times during the last fiscal year. The Board has adopted a written Audit Committee charter that is available on the Company’s website at </w:t>
      </w:r>
      <w:r>
        <w:rPr>
          <w:rFonts w:ascii="Times New Roman" w:cs="Times New Roman" w:eastAsia="Times New Roman" w:hAnsi="Times New Roman"/>
          <w:sz w:val="18"/>
          <w:szCs w:val="18"/>
          <w:i w:val="1"/>
          <w:iCs w:val="1"/>
          <w:color w:val="auto"/>
        </w:rPr>
        <w:t>https://investors.adagiotx.com/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has also determined that Mr. Wyzga qualifies as an “audit committee financial expert,” as defined in applicable SEC rules. The Board made a qualitative assessment of Mr. Wyzga’s level of knowledge and experience based on a number of factors, including his formal education and his experience as a chief executive officer, chief financial officer and member of the audit committee of the boards of directors of other public companies.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r>
        <w:rPr>
          <w:rFonts w:ascii="Times New Roman" w:cs="Times New Roman" w:eastAsia="Times New Roman" w:hAnsi="Times New Roman"/>
          <w:sz w:val="15"/>
          <w:szCs w:val="15"/>
          <w:b w:val="1"/>
          <w:bCs w:val="1"/>
          <w:color w:val="auto"/>
        </w:rPr>
        <w: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2021.</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Michael Wyzga,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Tomas Heyman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René Russo, Pharm.D.</w:t>
      </w:r>
    </w:p>
    <w:p>
      <w:pPr>
        <w:spacing w:after="0" w:line="3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Committee is composed of three directors: Howard Mayer, M.D., Redonda Miller, M.D., M.B.A, and Michael Wyzga. All members of the Company’s Compensation Committee are independent (as independence is currently defined in Rule 5605(d)(2) of the Nasdaq listing standards). The Compensation Committee met five times during the last fiscal year. The Board has adopted a written Compensation Committee charter that is available on the Company’s website at </w:t>
      </w:r>
      <w:r>
        <w:rPr>
          <w:rFonts w:ascii="Times New Roman" w:cs="Times New Roman" w:eastAsia="Times New Roman" w:hAnsi="Times New Roman"/>
          <w:sz w:val="18"/>
          <w:szCs w:val="18"/>
          <w:i w:val="1"/>
          <w:iCs w:val="1"/>
          <w:color w:val="auto"/>
        </w:rPr>
        <w:t>https://investors.adagiotx.com/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Compensation Committee acts on behalf of the Board to review, adopt (or recommend to the Board for adoption) and oversee the Company’s compensation strategy, policies, plans and programs, including:</w:t>
      </w:r>
    </w:p>
    <w:p>
      <w:pPr>
        <w:spacing w:after="0" w:line="67" w:lineRule="exact"/>
        <w:rPr>
          <w:sz w:val="20"/>
          <w:szCs w:val="20"/>
          <w:color w:val="auto"/>
        </w:rPr>
      </w:pPr>
    </w:p>
    <w:p>
      <w:pPr>
        <w:ind w:left="1080" w:right="1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the Board for approval) of corporate and individual performance objectives relevant to the compensation of the Company’s executive officers and other senior management and evaluation of performance in light of these stated objectives;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the Board for approval) of the compensation and other terms of employment or service, including severance and change-in-control arrangements, of the Company’s executive officers and other senior management;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plans and any other similar plans and programs that the Compensation Committee may evaluate and approve from time to time, such as pension and profit-sharing plans or deferred compensation plans;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type and amount of compensation to be paid or awarded to non-employee directors.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usually developed by the Chair of the Compensation Committee, in consultation with the Chief Executive Officer and Pearl Meyer, the compensation consultant engaged by the Compensation Committee. The Compensation Committee meets regularly in executive session. However, from time to time, various members of management and other employees as well as outside advisors or consultants may be invited by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340" w:right="180" w:hanging="224"/>
        <w:spacing w:after="0" w:line="267" w:lineRule="auto"/>
        <w:tabs>
          <w:tab w:leader="none" w:pos="340" w:val="left"/>
        </w:tabs>
        <w:numPr>
          <w:ilvl w:val="0"/>
          <w:numId w:val="1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90"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During the last fiscal year, after taking into consideration the six factors prescribed by the SEC and Nasdaq described above, the Compensation Committee engaged Pearl Meyer as compensation consultants. The Compensation Committee identified Pearl Meyer based on Pearl Meyer’s general reputation in the industry. The Compensation Committee requested that Pearl Meyer:</w:t>
      </w:r>
    </w:p>
    <w:p>
      <w:pPr>
        <w:spacing w:after="0" w:line="81" w:lineRule="exact"/>
        <w:rPr>
          <w:sz w:val="20"/>
          <w:szCs w:val="20"/>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As part of its engagement, Pearl Meyer was requested by the Compensation Committee to develop a comparative group of companies and to perform analyses of competitive performance and compensation levels for that group. At the request of the Compensation Committee, Pearl Meyer also conducted individual interviews with members of the Compensation Committee and senior management and other employees identified by the Committee to learn more about the Company’s business operations and strategy, key performance metrics and strategic goals, as well as the labor markets in which the Company competes. Pearl Meyer ultimately developed recommendations that were presented to the Compensation Committee for its consideration. Following an active dialogue with Pearl Meyer and resulting modifications, the Compensation Committee approved the modified recommendations of Pearl Meyer.</w:t>
      </w:r>
    </w:p>
    <w:p>
      <w:pPr>
        <w:spacing w:after="0" w:line="18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In fiscal year 2021, at the recommendation of the Compensation Committee, the Board delegated authority under the Company’s 2021 Equity Incentive Plan to our Chief Executive Officer to grant options to employees who are not executive officers, subject to limitations approved by the Compensation Committee.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the Board. In particular, the Chief Executive Officer may not grant options to acquire more than an aggregate of 7,000,000 shares per year, and individually in accordance with minimum and maximum limits for each employee’s classification set forth in the Company’s non-executive employee equity grant guidelines. During fiscal year 2021, the Chief Executive Officer exercised his authority to grant options to purchase an aggregate of 832,200 shares to non-officer employees.</w:t>
      </w:r>
    </w:p>
    <w:p>
      <w:pPr>
        <w:spacing w:after="0" w:line="188"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Other than in connection with our initial public offering during the last fiscal year, the Compensation Committee makes most of the significant adjustments to annual compensation, determines bonus and equity awards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the Board, and developing a set of corporate governance guidelines and principles for the Company.</w:t>
      </w:r>
    </w:p>
    <w:p>
      <w:pPr>
        <w:spacing w:after="0" w:line="183"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 xml:space="preserve">The Nominating and Corporate Governance Committee is composed of three directors: Tomas Heyman, Ellen R. Marram, M.B.A., and Anand Shah, M.D. All members of the Nominating and Corporate Governance Committee are independent (as independence is currently defined in Rule 5605(a)(2) of the Nasdaq listing standards). The Nominating and Corporate Governance Committee met one time during the last fiscal year. The Board has adopted a written Nominating and Corporate Governance Committee charter that is available on the Company’s website at </w:t>
      </w:r>
      <w:r>
        <w:rPr>
          <w:rFonts w:ascii="Times New Roman" w:cs="Times New Roman" w:eastAsia="Times New Roman" w:hAnsi="Times New Roman"/>
          <w:sz w:val="17"/>
          <w:szCs w:val="17"/>
          <w:i w:val="1"/>
          <w:iCs w:val="1"/>
          <w:color w:val="auto"/>
        </w:rPr>
        <w:t>https://investors.adagiotx.com/</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Consistent with the criteria for director qualifications set by the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and sexual orientation),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 pertaining to our business. Our nomination process and the Nominating and Corporate Governance Committee’s approach to assessment and evaluation of nominees support our commitment to diversity and inclusion.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fiscal year 2021, the Nominating and Corporate Governance Committee paid a fee to Klein Hirsch to assist in the process of identifying or evaluating director candidates.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1601 Trapelo Road, Suite 178, Waltham, Massachusetts 02451, Attn: Corporate Secretary, at least 90 days, but not less than 120 days, prior to the anniversary date of the mailing of the Company’s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the Bylaws. Any such submission must be accompanied by the written consent of the proposed nominee to be named as a nominee and to serve as a director if elected.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 WITH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Board has adopted a formal process by which stockholders may communicate with the Board or any of its directors. Stockholders who wish to communicate with the Board may do so by sending written communications addressed to the Corporate Secretary at the following address: 1601 Trapelo Road, Suite 178, Waltham, Massachusetts 02451. The Corporate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Insider Trading Prevention Policy prohibits our directors and employees, including our executive officers, from engaging in any hedging or monetization transactions, such as zero-cost collars and forward sale contracts,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 FEES AND 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CCOUNTANTS</w:t>
      </w:r>
    </w:p>
    <w:p>
      <w:pPr>
        <w:spacing w:after="0" w:line="22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PricewaterhouseCoopers LLP, independent registered public accountants, audited the Company’s financial statements for the fiscal year ended December 31, 2021 and have been selected as the Company’s principal accountant for the current fiscal year. Representatives of PricewaterhouseCoopers LLP are expected to be present at the annual meeting. They will have the opportunity to make a statement if they desire and will also be available to respond to appropriate questions from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p>
    <w:p>
      <w:pPr>
        <w:spacing w:after="0" w:line="12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2021 and December 31, 2020 by PricewaterhouseCoopers LLP, the Company’s independent registered public accounting firm.</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 From June 3,</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2020 (Inception) to</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40" w:type="dxa"/>
            <w:vAlign w:val="bottom"/>
          </w:tcPr>
          <w:p>
            <w:pPr>
              <w:spacing w:after="0"/>
              <w:rPr>
                <w:sz w:val="15"/>
                <w:szCs w:val="15"/>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2,013,000</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15"/>
                <w:szCs w:val="15"/>
                <w:color w:val="auto"/>
              </w:rPr>
              <w:t>(2)</w:t>
            </w: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4,150</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2,017,150</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60" w:hanging="424"/>
        <w:spacing w:after="0" w:line="261"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rendered for the audits and reviews of the consolidated financial statements of Adagio, professional services rendered for issuance of consents, assistance with review of documents filed with the SEC and out-of-pocket expenses incurred.</w:t>
      </w: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an annual license fee for technical accounting research software and the use of accounting disclosure checklists.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chairman of the Audit Committee the authority to pre-approve audit services (other than the annual audit engagement), audit-related services, tax services and other permissible non-audit services up to specified amounts. Any pre-approval decisions made pursuant to delegated authority must be reported to the full Audit Committee at its next scheduled meeting.</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391"/>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Our executive officers, and their respective ages as of [</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2022, are as follows:</w:t>
            </w: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7"/>
              </w:rPr>
              <w:t>David</w:t>
            </w:r>
          </w:p>
        </w:tc>
        <w:tc>
          <w:tcPr>
            <w:tcW w:w="336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Hering, M.B.A.</w:t>
            </w:r>
          </w:p>
        </w:tc>
        <w:tc>
          <w:tcPr>
            <w:tcW w:w="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top w:val="single" w:sz="8" w:color="auto"/>
            </w:tcBorders>
          </w:tcPr>
          <w:p>
            <w:pPr>
              <w:spacing w:after="0"/>
              <w:rPr>
                <w:sz w:val="16"/>
                <w:szCs w:val="16"/>
                <w:color w:val="auto"/>
              </w:rPr>
            </w:pPr>
          </w:p>
        </w:tc>
        <w:tc>
          <w:tcPr>
            <w:tcW w:w="324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8"/>
                <w:szCs w:val="18"/>
                <w:color w:val="auto"/>
              </w:rPr>
              <w:t>Interim Chief Executive Officer and Chief</w:t>
            </w:r>
          </w:p>
        </w:tc>
        <w:tc>
          <w:tcPr>
            <w:tcW w:w="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6"/>
              </w:rPr>
              <w:t>Operating</w:t>
            </w:r>
          </w:p>
        </w:tc>
        <w:tc>
          <w:tcPr>
            <w:tcW w:w="580" w:type="dxa"/>
            <w:vAlign w:val="bottom"/>
          </w:tcPr>
          <w:p>
            <w:pPr>
              <w:ind w:left="80"/>
              <w:spacing w:after="0" w:line="185" w:lineRule="exact"/>
              <w:rPr>
                <w:sz w:val="20"/>
                <w:szCs w:val="20"/>
                <w:color w:val="auto"/>
              </w:rPr>
            </w:pPr>
            <w:r>
              <w:rPr>
                <w:rFonts w:ascii="Times New Roman" w:cs="Times New Roman" w:eastAsia="Times New Roman" w:hAnsi="Times New Roman"/>
                <w:sz w:val="18"/>
                <w:szCs w:val="18"/>
                <w:color w:val="auto"/>
                <w:w w:val="92"/>
              </w:rPr>
              <w:t>Officer</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Dabora, Ph.D.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Chief Technology and Manufacturing Officer</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 Pritchett Henderson</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Elham (Ellie) Hershberger, Pharm.D.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Chief Development Officer</w:t>
            </w:r>
          </w:p>
        </w:tc>
      </w:tr>
    </w:tbl>
    <w:p>
      <w:pPr>
        <w:spacing w:after="0" w:line="194"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Hering, M.B.A. </w:t>
      </w:r>
      <w:r>
        <w:rPr>
          <w:rFonts w:ascii="Times New Roman" w:cs="Times New Roman" w:eastAsia="Times New Roman" w:hAnsi="Times New Roman"/>
          <w:sz w:val="18"/>
          <w:szCs w:val="18"/>
          <w:color w:val="auto"/>
        </w:rPr>
        <w:t>has served as our Interim Chief Executive Officer since February 2022 and as Chief Operating Officer since June 2021.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Adagio, Mr. Hering served as the Head of the mRNA Global Franchise Business of Pfizer, Inc., a pharmaceutical company, from April 2021 to June 2021, the President of North America Vaccines of Pfizer, Inc. from December 2018 to April 2021 and the Vaccines Commercial Officer of Pfizer, Inc. from June 2015 to December 2018. Before joining Pfizer in 2015, Mr. Hering spent seven years at Novartis Vaccines, a pharmaceutical company, where he held the position of Head of the North America Region. Mr. Hering received an M.B.A. from Harvard Business School and a B.S. in Operations Research and Industrial Engineering from Cornell University.</w:t>
      </w:r>
    </w:p>
    <w:p>
      <w:pPr>
        <w:spacing w:after="0" w:line="18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Jill Andersen, J.D. </w:t>
      </w:r>
      <w:r>
        <w:rPr>
          <w:rFonts w:ascii="Times New Roman" w:cs="Times New Roman" w:eastAsia="Times New Roman" w:hAnsi="Times New Roman"/>
          <w:sz w:val="18"/>
          <w:szCs w:val="18"/>
          <w:color w:val="auto"/>
        </w:rPr>
        <w:t>has served as our Chief Legal Officer and Corporate Secretary since November 2021. Prior to joining Adagio, Ms. Andersen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General Counsel, Corporate Secretary and Chief Compliance Officer of Oyster Point Pharma, Inc., a biopharmaceutical company, from June 2020 to October 2021. Before joining Oyster Point, Ms. Andersen served as Vice President, Legal at Bristol-Myers Squibb Company, a global biopharmaceutical company, from November 2019 to May 2020 and as Vice President and Head of Legal, Inflammation &amp; Immunology Franchise, U.S. Market Access and Contracts, from September 2016 to November 2019. Ms. Andersen also served as Vice President and General Counsel, Legal &amp; Intellectual Property Global Assets at Novartis Services, Inc., a pharmaceutical company, from March 2015 to September 2016. Ms. Andersen received a B.S. in Finance from Boston College and a J.D. from Wake Forest University School of Law.</w:t>
      </w:r>
    </w:p>
    <w:p>
      <w:pPr>
        <w:spacing w:after="0" w:line="183"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Rebecca Dabora, Ph.D. </w:t>
      </w:r>
      <w:r>
        <w:rPr>
          <w:rFonts w:ascii="Times New Roman" w:cs="Times New Roman" w:eastAsia="Times New Roman" w:hAnsi="Times New Roman"/>
          <w:sz w:val="18"/>
          <w:szCs w:val="18"/>
          <w:color w:val="auto"/>
        </w:rPr>
        <w:t>has served as our Chief Technology and Manufacturing Officer since July 2020. In addition, Dr. Dabora has served as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RDBio Consulting LLC since July 2005. Prior to joining Adagio, Dr. Dabora served as Interim Chief Technology Officer of SwanBio Therapeutics, Inc., a gene therapy company, from July 2019 to July 2020 and Chief Technology Officer of Aspyrian Therapeutics, Inc., a biotechnology company, from March 2016 to March 2017. Dr. Dabora received a B.A. in Biochemistry from Bowdoin College and a Ph.D. in Applied Biological Sciences and Biochemical Engineering from the Massachusetts Institute of Technology.</w:t>
      </w:r>
    </w:p>
    <w:p>
      <w:pPr>
        <w:spacing w:after="0" w:line="17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Jane Pritchett Henderson </w:t>
      </w:r>
      <w:r>
        <w:rPr>
          <w:rFonts w:ascii="Times New Roman" w:cs="Times New Roman" w:eastAsia="Times New Roman" w:hAnsi="Times New Roman"/>
          <w:sz w:val="18"/>
          <w:szCs w:val="18"/>
          <w:color w:val="auto"/>
        </w:rPr>
        <w:t>has served as our Chief Financial Officer since December 2020 and as our Chief Business Officer since March 2022.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Ms. Henderson has served as a director and chair of the audit committee of each of Akero Therapeutics, Inc., a biotechnology company, since April 2019, IVERIC bio, Inc., a biopharmaceutical company, since January 2018, and Ventus Therapeutics U.S., Inc., a privately held biotechnology company, since November 2021. She previously served as a director and chair of the audit committee of Sesen Bio, Inc., a biotechnology company and formerly known as Eleven Biotherapeutics, Inc., from October 2013 to November 2021. Prior to joining Adagio, Ms. Henderson served as Chief Financial Officer of Turnstone Biologics, a privately-held biotechnology company, from June 2018 to December 2020, Chief Financial Officer and Senior Vice President, Corporate Development of Voyager Therapeutics, Inc., a clinical-stage gene therapy company, from January 2017 to June 2018 and Senior Vice President and Chief Financial &amp; Business Officer of Kolltan Pharmaceuticals, Inc, a privately held biotechnology company, from February 2013 to November 2016. Ms. Henderson received a B.S. in Psychology from Duke University.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Elham (Ellie) Hershberger, Pharm.D. </w:t>
      </w:r>
      <w:r>
        <w:rPr>
          <w:rFonts w:ascii="Times New Roman" w:cs="Times New Roman" w:eastAsia="Times New Roman" w:hAnsi="Times New Roman"/>
          <w:sz w:val="18"/>
          <w:szCs w:val="18"/>
          <w:color w:val="auto"/>
        </w:rPr>
        <w:t>has served as our Chief Development Officer since June 2020. Prior to joining Adagio, Dr. Hershberger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President of EMH Consulting Group, Inc. from July 2017 to October 2020 and as Head of Clinical Development of Visterra, Inc, a biopharmaceutical company, from January 2016 to July 2017. Dr. Hershberger received a B.S. in Chemistry from University of Minnesota and a Pharm.D. from Ferris State University.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Common Stock as of the Record Date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 Applicable percentages are based on 109,675,173 shares outstanding on the Record Date, adjusted as required by rules promulgated by the SEC.</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the Record Date.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83"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Common Stock subject to stock options currently exercisable or exercisable within 60 days of the Record Date are deemed to be outstanding for computing the percentage ownership of the person holding these options and the percentage ownership of any group of which the holder is a member but are not deemed outstanding for computing the percentage of any other person.</w:t>
      </w:r>
    </w:p>
    <w:p>
      <w:pPr>
        <w:spacing w:after="0" w:line="176"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Unless noted otherwise, the address of all listed directors and executive officers is c/o Adagio Therapeutics, Inc., 1601 Trapelo Road, Suite 178, Waltham, Massachusetts 02451.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vMerge w:val="restart"/>
          </w:tcPr>
          <w:p>
            <w:pPr>
              <w:spacing w:after="0"/>
              <w:rPr>
                <w:sz w:val="15"/>
                <w:szCs w:val="15"/>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4340" w:type="dxa"/>
            <w:vAlign w:val="bottom"/>
            <w:vMerge w:val="restart"/>
          </w:tcPr>
          <w:p>
            <w:pPr>
              <w:spacing w:after="0"/>
              <w:rPr>
                <w:sz w:val="15"/>
                <w:szCs w:val="15"/>
                <w:color w:val="auto"/>
              </w:rPr>
            </w:pPr>
          </w:p>
        </w:tc>
        <w:tc>
          <w:tcPr>
            <w:tcW w:w="600" w:type="dxa"/>
            <w:vAlign w:val="bottom"/>
          </w:tcPr>
          <w:p>
            <w:pPr>
              <w:spacing w:after="0"/>
              <w:rPr>
                <w:sz w:val="15"/>
                <w:szCs w:val="15"/>
                <w:color w:val="auto"/>
              </w:rPr>
            </w:pPr>
          </w:p>
        </w:tc>
        <w:tc>
          <w:tcPr>
            <w:tcW w:w="32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 xml:space="preserve">Beneficial Ownership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43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tcBorders>
              <w:top w:val="single" w:sz="8" w:color="auto"/>
            </w:tcBorders>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4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6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Adimab, LLC </w:t>
            </w:r>
            <w:r>
              <w:rPr>
                <w:rFonts w:ascii="Times New Roman" w:cs="Times New Roman" w:eastAsia="Times New Roman" w:hAnsi="Times New Roman"/>
                <w:sz w:val="15"/>
                <w:szCs w:val="15"/>
                <w:color w:val="auto"/>
              </w:rPr>
              <w:t>(2)(12)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26,687,906</w:t>
            </w:r>
          </w:p>
        </w:tc>
        <w:tc>
          <w:tcPr>
            <w:tcW w:w="50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15"/>
                <w:szCs w:val="15"/>
                <w:color w:val="auto"/>
              </w:rPr>
              <w:t>(3)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15,592,582</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Mithril II LP </w:t>
            </w:r>
            <w:r>
              <w:rPr>
                <w:rFonts w:ascii="Times New Roman" w:cs="Times New Roman" w:eastAsia="Times New Roman" w:hAnsi="Times New Roman"/>
                <w:sz w:val="15"/>
                <w:szCs w:val="15"/>
                <w:color w:val="auto"/>
              </w:rPr>
              <w:t>(4)(12)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11,241,580</w:t>
            </w:r>
          </w:p>
        </w:tc>
        <w:tc>
          <w:tcPr>
            <w:tcW w:w="5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Entities affiliated with Polaris Venture Partners V, L.P. </w:t>
            </w:r>
            <w:r>
              <w:rPr>
                <w:rFonts w:ascii="Times New Roman" w:cs="Times New Roman" w:eastAsia="Times New Roman" w:hAnsi="Times New Roman"/>
                <w:sz w:val="15"/>
                <w:szCs w:val="15"/>
                <w:color w:val="auto"/>
              </w:rPr>
              <w:t>(5)(12)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11,765,280</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Entities affiliated with Alphabet Inc. </w:t>
            </w:r>
            <w:r>
              <w:rPr>
                <w:rFonts w:ascii="Times New Roman" w:cs="Times New Roman" w:eastAsia="Times New Roman" w:hAnsi="Times New Roman"/>
                <w:sz w:val="15"/>
                <w:szCs w:val="15"/>
                <w:color w:val="auto"/>
              </w:rPr>
              <w:t>(6)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5,680,785</w:t>
            </w:r>
          </w:p>
        </w:tc>
        <w:tc>
          <w:tcPr>
            <w:tcW w:w="5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M28 Capital Management LP </w:t>
            </w:r>
            <w:r>
              <w:rPr>
                <w:rFonts w:ascii="Times New Roman" w:cs="Times New Roman" w:eastAsia="Times New Roman" w:hAnsi="Times New Roman"/>
                <w:sz w:val="15"/>
                <w:szCs w:val="15"/>
                <w:color w:val="auto"/>
              </w:rPr>
              <w:t>(7)(12)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6,398,250</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Tomas Heyman</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Ellen R. Marram, M.B.A.</w:t>
            </w:r>
          </w:p>
        </w:tc>
        <w:tc>
          <w:tcPr>
            <w:tcW w:w="6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Howard Mayer, M.D. </w:t>
            </w:r>
            <w:r>
              <w:rPr>
                <w:rFonts w:ascii="Times New Roman" w:cs="Times New Roman" w:eastAsia="Times New Roman" w:hAnsi="Times New Roman"/>
                <w:sz w:val="15"/>
                <w:szCs w:val="15"/>
                <w:color w:val="auto"/>
              </w:rPr>
              <w:t>(8)</w:t>
            </w:r>
          </w:p>
        </w:tc>
        <w:tc>
          <w:tcPr>
            <w:tcW w:w="2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94,127*</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Terrance McGuire </w:t>
            </w:r>
            <w:r>
              <w:rPr>
                <w:rFonts w:ascii="Times New Roman" w:cs="Times New Roman" w:eastAsia="Times New Roman" w:hAnsi="Times New Roman"/>
                <w:sz w:val="15"/>
                <w:szCs w:val="15"/>
                <w:color w:val="auto"/>
              </w:rPr>
              <w:t>(5)(12)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8,531,700</w:t>
            </w:r>
          </w:p>
        </w:tc>
        <w:tc>
          <w:tcPr>
            <w:tcW w:w="5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Redonda Miller, M.D., M.B.A.</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Ajay Royan </w:t>
            </w:r>
            <w:r>
              <w:rPr>
                <w:rFonts w:ascii="Times New Roman" w:cs="Times New Roman" w:eastAsia="Times New Roman" w:hAnsi="Times New Roman"/>
                <w:sz w:val="15"/>
                <w:szCs w:val="15"/>
                <w:color w:val="auto"/>
              </w:rPr>
              <w:t>(4)(12)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11,241,580</w:t>
            </w:r>
          </w:p>
        </w:tc>
        <w:tc>
          <w:tcPr>
            <w:tcW w:w="5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René Russo, Pharm.D.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1,985,295</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Anand Shah, M.D.</w:t>
            </w:r>
          </w:p>
        </w:tc>
        <w:tc>
          <w:tcPr>
            <w:tcW w:w="6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Wyzga</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Tillman U. Gerngross, Ph.D. </w:t>
            </w:r>
            <w:r>
              <w:rPr>
                <w:rFonts w:ascii="Times New Roman" w:cs="Times New Roman" w:eastAsia="Times New Roman" w:hAnsi="Times New Roman"/>
                <w:sz w:val="15"/>
                <w:szCs w:val="15"/>
                <w:color w:val="auto"/>
              </w:rPr>
              <w:t>(9)(12)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26,687,906</w:t>
            </w:r>
          </w:p>
        </w:tc>
        <w:tc>
          <w:tcPr>
            <w:tcW w:w="5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David Hering, M.B.A. </w:t>
            </w:r>
            <w:r>
              <w:rPr>
                <w:rFonts w:ascii="Times New Roman" w:cs="Times New Roman" w:eastAsia="Times New Roman" w:hAnsi="Times New Roman"/>
                <w:sz w:val="15"/>
                <w:szCs w:val="15"/>
                <w:color w:val="auto"/>
              </w:rPr>
              <w:t>(10)</w:t>
            </w:r>
          </w:p>
        </w:tc>
        <w:tc>
          <w:tcPr>
            <w:tcW w:w="2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29,687*</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Jill Andersen, J.D. </w:t>
            </w:r>
            <w:r>
              <w:rPr>
                <w:rFonts w:ascii="Times New Roman" w:cs="Times New Roman" w:eastAsia="Times New Roman" w:hAnsi="Times New Roman"/>
                <w:sz w:val="15"/>
                <w:szCs w:val="15"/>
                <w:color w:val="auto"/>
              </w:rPr>
              <w:t>(11)</w:t>
            </w:r>
          </w:p>
        </w:tc>
        <w:tc>
          <w:tcPr>
            <w:tcW w:w="2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38,637*</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(14 persons)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23,161,722</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040" w:type="dxa"/>
            <w:vAlign w:val="bottom"/>
            <w:gridSpan w:val="3"/>
          </w:tcPr>
          <w:p>
            <w:pPr>
              <w:jc w:val="right"/>
              <w:ind w:right="4260"/>
              <w:spacing w:after="0"/>
              <w:rPr>
                <w:sz w:val="20"/>
                <w:szCs w:val="20"/>
                <w:color w:val="auto"/>
              </w:rPr>
            </w:pPr>
            <w:r>
              <w:rPr>
                <w:rFonts w:ascii="Times New Roman" w:cs="Times New Roman" w:eastAsia="Times New Roman" w:hAnsi="Times New Roman"/>
                <w:sz w:val="18"/>
                <w:szCs w:val="18"/>
                <w:color w:val="auto"/>
              </w:rPr>
              <w:t>Less than one percent.</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60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right="20" w:hanging="424"/>
        <w:spacing w:after="0" w:line="25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Schedules 13D and 13G filed with the SEC and the Company’s records.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w:t>
      </w:r>
    </w:p>
    <w:p>
      <w:pPr>
        <w:spacing w:after="0" w:line="3"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March 30, 2022 by Adimab, LLC. The principal business address of Adimab, LLC and Dr. Gerngross is 7 Lucent Drive, Lebanon, NH 03766.</w:t>
      </w:r>
    </w:p>
    <w:p>
      <w:pPr>
        <w:ind w:left="54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9, 2022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Strategic Advisers LLC,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6,703,249 shares of our common stock and sole power to dispose or direct the disposition of 15,592,582 shares of our common stock. Abigail P. Johnson may be deemed to have sole power to dispose or direct the disposition of 15,592,582 shares of our common stock. Fidelity Growth Company Fund may be deemed to have sole power to vote 5,904,953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stockholders’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principal business address of FMR LLC is 245 Summer Street, Boston, MA 02210.</w:t>
      </w:r>
    </w:p>
    <w:p>
      <w:pPr>
        <w:spacing w:after="0" w:line="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March 30,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member of our Board,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spacing w:after="0" w:line="3" w:lineRule="exact"/>
        <w:rPr>
          <w:rFonts w:ascii="Times New Roman" w:cs="Times New Roman" w:eastAsia="Times New Roman" w:hAnsi="Times New Roman"/>
          <w:sz w:val="18"/>
          <w:szCs w:val="18"/>
          <w:color w:val="auto"/>
        </w:rPr>
      </w:pPr>
    </w:p>
    <w:p>
      <w:pPr>
        <w:ind w:left="540" w:right="40" w:hanging="424"/>
        <w:spacing w:after="0" w:line="25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March 30, 2022 by entities and persons affiliated with Polaris Venture Partners V, L.P. (“Polaris V”). Consists of (i) 3,120,194 shares of our common stock held of record by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3,233,580 shares of our common stock held of record by Polaris Venture Management Co. V, L.L.C. (“PVMC V”), (vi) 4,800,460 shares of our common stock held of record by Polaris Partners IX, L.P.</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80"/>
        <w:spacing w:after="0" w:line="251" w:lineRule="auto"/>
        <w:rPr>
          <w:sz w:val="20"/>
          <w:szCs w:val="20"/>
          <w:color w:val="auto"/>
        </w:rPr>
      </w:pPr>
      <w:r>
        <w:rPr>
          <w:rFonts w:ascii="Times New Roman" w:cs="Times New Roman" w:eastAsia="Times New Roman" w:hAnsi="Times New Roman"/>
          <w:sz w:val="18"/>
          <w:szCs w:val="18"/>
          <w:color w:val="auto"/>
        </w:rPr>
        <w:t>(“Polaris IX”) and (vii) 497,660 shares of our common stock held of record by Polaris Healthcare Technology Opportunities Fund, L.P. (“Polaris HCT”). PVMC V is the general partner of each of Polaris V, Polaris EF V, Polaris FF V and Polaris SFF V and may be deemed to have shared voting, investment and dispositive power with respect to the securities held by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 Polaris Partners GP IX, L.L.C. (“PPGP IX”) is the general partner of Polaris IX and may be deemed to have shared voting, investment and dispositive power with respect to the securities held by Polaris IX. Terrance McGuire, an interest holder in Polaris HCT and PPGP IX and a member of our Board, David Barrett, Brian Chee, Amir Nashat and Amy Schulman are the managing members of PPGP IX and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an interest holder in PHCT GP and a member of our Board, David Barrett, Brian Chee, Amir Nashat and Amy Schulman are the managing members of PHCT GP and may be deemed to have shared voting, investment and dispositive power with respect to the securities held by Polaris HCT. The principal business address of each of the persons and entities referenced in this footnote is One Marina Park Drive,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 02210.</w:t>
      </w:r>
    </w:p>
    <w:p>
      <w:pPr>
        <w:spacing w:after="0" w:line="12" w:lineRule="exact"/>
        <w:rPr>
          <w:sz w:val="20"/>
          <w:szCs w:val="20"/>
          <w:color w:val="auto"/>
        </w:rPr>
      </w:pPr>
    </w:p>
    <w:p>
      <w:pPr>
        <w:ind w:left="54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February 14, 2022 by entities affiliated with Alphabet Inc. Consists of (i)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April 1, 2022 by M28 Capital Management LP (“M28 Capital”). Consists of 6,398,250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is the Chief Investment Officer of M28 Capital and Managing Member of M28 Capital Management GP LLC, the general partner of M28 Capital, and exercises investment discretion with respect to these securities. The principal business address of M28 Capital and Marc Elia is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94,127 shares of our common stock issuable upon the exercise of options within 60 days of the Record Date.</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26,687,906 shares of our common stock held by Adimab, LLC. Tillman U. Gerngross, Ph.D. was our Chief Executive Officer and member of our Board of Directors until his resignation on February 23, 2022. Dr. Gerngross served as a co-founder, Chief Executive Officer and a member of the board of directors of Adimab, LLC and may be deemed to have shared voting and investment power with respect to the shares held by Adimab, LLC. The principal business address of Adimab, LLC and Dr. Gerngross is 7 Lucent Drive, Lebanon, NH 03766.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29,687 shares of our common stock issuable upon the exercise of options within 60 days of the Record Date.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2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2,200 shares of our common stock held directly by Ms. Andersen, (ii) 500 shares of our common stock held by Ms. Andersen’s spouse and (iii) 35,937 shares of our common stock issuable upon the exercise of options within 60 days of the Record Date.</w:t>
      </w:r>
    </w:p>
    <w:p>
      <w:pPr>
        <w:ind w:left="540" w:hanging="424"/>
        <w:spacing w:after="0" w:line="25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2022, Polaris V, Polaris EF V, Polaris FF V, Polaris SFF V, Polaris IX and Polaris HCT (collectively, “Polaris”) and (i) Mithril, (ii) M28 Capital Management LP , (iii) Adimab, LLC and (iv) Population Health Equity Partners III, L.P., Population Health Equity Partners VII, L.P. and Clive Meanwell (“Population Health”), orally agreed to coordinate and cooperate in certain of their activities with regard to the Company, which agreement was subsequently memorialized, also on March 28, 2022, in an email circulated among representatives of such persons. That agreement provides that each such person will vote its shares of our common stock in favor of the election of the Mithril nominees at the Annual Meeting. By virtue of such agreement, Polaris V, Polaris EF V, Polaris FF V, Polaris SFF V, PVMC V, Polaris IX, Polaris HCT, PHCT GP, Terrance McGuire, and Jonathan Flint (the “Reporting Persons”) may be deemed to be part of a “group” (within the meaning of Section 13(d)(3) of the Securities Act of 1933, as amended) comprised of the Reporting Persons and such other persons.</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2021 were:</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Tillman U. Gerngross, Ph.D., our former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Hering, M.B.A., our Interim Chief Executive Officer and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Jill Andersen, J.D., our Chief Legal Officer and Corporate Secretary.</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or paid to, or earned by, our named executive officers with respect to the years ended December 31, 2021 and December 31,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28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28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280" w:type="dxa"/>
            <w:vAlign w:val="bottom"/>
          </w:tcPr>
          <w:p>
            <w:pPr>
              <w:spacing w:after="0"/>
              <w:rPr>
                <w:sz w:val="15"/>
                <w:szCs w:val="15"/>
                <w:color w:val="auto"/>
              </w:rPr>
            </w:pPr>
          </w:p>
        </w:tc>
        <w:tc>
          <w:tcPr>
            <w:tcW w:w="86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 Ph.D.</w:t>
            </w:r>
            <w:r>
              <w:rPr>
                <w:rFonts w:ascii="Times New Roman" w:cs="Times New Roman" w:eastAsia="Times New Roman" w:hAnsi="Times New Roman"/>
                <w:sz w:val="15"/>
                <w:szCs w:val="15"/>
                <w:color w:val="auto"/>
              </w:rPr>
              <w:t>(4)</w:t>
            </w: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2021</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221,058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30,315,451</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106,647</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7,718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30,650,874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5,956</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Hering, M.B.A.</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206,577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10,591,881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92,267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10,898,146</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Interim Chief Executive Officer and Chief Operating Officer</w:t>
            </w:r>
            <w:r>
              <w:rPr>
                <w:rFonts w:ascii="Times New Roman" w:cs="Times New Roman" w:eastAsia="Times New Roman" w:hAnsi="Times New Roman"/>
                <w:sz w:val="15"/>
                <w:szCs w:val="15"/>
                <w:color w:val="auto"/>
              </w:rPr>
              <w:t>(5)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Jill Andersen, J.D. </w:t>
            </w:r>
            <w:r>
              <w:rPr>
                <w:rFonts w:ascii="Times New Roman" w:cs="Times New Roman" w:eastAsia="Times New Roman" w:hAnsi="Times New Roman"/>
                <w:sz w:val="15"/>
                <w:szCs w:val="15"/>
                <w:color w:val="auto"/>
              </w:rPr>
              <w:t>(5)</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66,667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10,142,801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177,600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10,389,581</w:t>
            </w:r>
          </w:p>
        </w:tc>
        <w:tc>
          <w:tcPr>
            <w:tcW w:w="0" w:type="dxa"/>
            <w:vAlign w:val="bottom"/>
          </w:tcPr>
          <w:p>
            <w:pPr>
              <w:spacing w:after="0"/>
              <w:rPr>
                <w:sz w:val="1"/>
                <w:szCs w:val="1"/>
                <w:color w:val="auto"/>
              </w:rPr>
            </w:pPr>
          </w:p>
        </w:tc>
      </w:tr>
      <w:tr>
        <w:trPr>
          <w:trHeight w:val="23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4" w:lineRule="exact"/>
        <w:rPr>
          <w:sz w:val="20"/>
          <w:szCs w:val="20"/>
          <w:color w:val="auto"/>
        </w:rPr>
      </w:pPr>
    </w:p>
    <w:p>
      <w:pPr>
        <w:ind w:left="540" w:right="40" w:hanging="424"/>
        <w:spacing w:after="0" w:line="253"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11 to our financial statements included in our Annual Report on Form 10-K for the year ended December 31, 2021.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“—Narrative to Summary Compensation Table—Non-Equity Incentive Plan Compensation” below for a description of the material terms of the program pursuant to which this compensation was awarded.</w:t>
      </w: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contributions to 401(k) plan accounts and life insurance premiums and employee cell phone allowances.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Gerngross’s annual salary was effective as of the closing of our initial public offering on August 10, 2021. Dr. Gerngross was also a member of our Board prior to his resignation as Chief Executive Officer on February 23, 2022, but did not receive any additional compensation in his capacity as a director.</w:t>
      </w:r>
    </w:p>
    <w:p>
      <w:pPr>
        <w:spacing w:after="0" w:line="1" w:lineRule="exact"/>
        <w:rPr>
          <w:rFonts w:ascii="Times New Roman" w:cs="Times New Roman" w:eastAsia="Times New Roman" w:hAnsi="Times New Roman"/>
          <w:sz w:val="18"/>
          <w:szCs w:val="18"/>
          <w:color w:val="auto"/>
        </w:rPr>
      </w:pPr>
    </w:p>
    <w:p>
      <w:pPr>
        <w:ind w:left="540" w:right="460" w:hanging="424"/>
        <w:spacing w:after="0" w:line="26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Hering has served as our Chief Operating Officer since June 2021 and was appointed as our Interim Chief Executive Officer in February 2022; Ms. Andersen has served as our Chief Legal Officer and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80"/>
        <w:spacing w:after="0" w:line="282" w:lineRule="auto"/>
        <w:rPr>
          <w:sz w:val="20"/>
          <w:szCs w:val="20"/>
          <w:color w:val="auto"/>
        </w:rPr>
      </w:pPr>
      <w:r>
        <w:rPr>
          <w:rFonts w:ascii="Times New Roman" w:cs="Times New Roman" w:eastAsia="Times New Roman" w:hAnsi="Times New Roman"/>
          <w:sz w:val="18"/>
          <w:szCs w:val="18"/>
          <w:color w:val="auto"/>
        </w:rPr>
        <w:t>Corporate Secretary since November 2021; therefore, certain amounts for Mr. Hering and Ms. Andersen, such as salary, reflect a partial year of service in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Compensation Committee of our Board has historically determined our executives’ compensation, including the compensation of our named executive officers. Our Compensation Committee typically reviews and discusses management’s proposed compensation with the Chief Executive Officer for all executives other than the Chief Executive Officer. The 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the Board for approval, the compensation of each executive officer without members of management present.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Base Salary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annual base salaries of our named executive officers are determined, approved and reviewed by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annual base salaries for Dr. Gerngross and Mr. Hering for 2021, effective as of the closing of our initial public offering on August 10, 2021, and for Ms. Andersen for 2021, effective as of the commencement of her employment with the Company in November 2021, as determined by the Compensation Committee: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2021 Base</w:t>
            </w:r>
          </w:p>
        </w:tc>
        <w:tc>
          <w:tcPr>
            <w:tcW w:w="0" w:type="dxa"/>
            <w:vAlign w:val="bottom"/>
          </w:tcPr>
          <w:p>
            <w:pPr>
              <w:spacing w:after="0"/>
              <w:rPr>
                <w:sz w:val="1"/>
                <w:szCs w:val="1"/>
                <w:color w:val="auto"/>
              </w:rPr>
            </w:pPr>
          </w:p>
        </w:tc>
      </w:tr>
      <w:tr>
        <w:trPr>
          <w:trHeight w:val="160"/>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$ 550,000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Hering, M.B.A.</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$ 410,000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7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$ 400,000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January 2022, the Compensation Committee recommended to the Board the following annual base salaries for each of our named executive officers for 2022, which the Board approved in February 2022:</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0" w:type="dxa"/>
            <w:vAlign w:val="bottom"/>
          </w:tcPr>
          <w:p>
            <w:pPr>
              <w:spacing w:after="0"/>
              <w:rPr>
                <w:sz w:val="1"/>
                <w:szCs w:val="1"/>
                <w:color w:val="auto"/>
              </w:rPr>
            </w:pPr>
          </w:p>
        </w:tc>
      </w:tr>
      <w:tr>
        <w:trPr>
          <w:trHeight w:val="160"/>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$ 619,000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David Hering, M.B.A. </w:t>
            </w:r>
            <w:r>
              <w:rPr>
                <w:rFonts w:ascii="Times New Roman" w:cs="Times New Roman" w:eastAsia="Times New Roman" w:hAnsi="Times New Roman"/>
                <w:sz w:val="15"/>
                <w:szCs w:val="15"/>
                <w:color w:val="auto"/>
              </w:rPr>
              <w:t>(1)</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$ 459,000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7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$ 428,000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the Board approved an increase in Mr. Hering’s base salary for 2022 to $510,000, with retroactive effectiveness to February 23, 2022, and further approved the payment of a monthly stipend of $7,500 in addition to Mr. Hering’s base salary, in connection with his appointment as Interim Chief Executive Officer.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Non-Equity Incentive Plan Compensation</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Compensation Committee develops a performance-based bonus program annually. For 2021, the Compensation Committee determined that each named executive officer’s performance bonus should be based principally on contribution towards the achievement of corporate goals. Under the 2021 annual performance bonus program, each named executive officer was eligible to be considered for an annual performance bonus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based on the percentage attainment, as determined by the Compensation Committee, of the 2021 corporate goals that were previously approved by the Board. The Compensation Committee retained the discretion to make adjustments to the calculated bonus amount based on unexpected or unplanned events, the overall financial condition of the Company, extraordinary performance or underperformance or other factors deemed appropriate by the Compensation Committee. Each named executive officer has a target bonus opportunity calculated as a percentage of his or her annual base salary and may earn more or less than the annual target amount based on the Company’s achievement of the performance goals and the adjustments described above. For 2021, Dr. Gerngross’s target bonus percentage was 50% and each of Mr. Hering and Ms. Andersen’s target bonus percentage was 40%. In February 2022, the Compensation Committee determined that the percentage attainment of the target bonus for 2021 was 111% for each named executive officer and approved individual performance achievement payouts for each named executive officer in the amounts reflected in the column of the Summary Compensation Table above entitled “Non-Equity Incentive Plan Compensation.”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to reward executives for exceptional performance or compensate executives for additional job responsibilities.</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Prior to our initial public offering, we granted all equity awards pursuant to our 2020 Equity Incentive Plan. Since the closing of our initial public offering, we grant all equity awards pursuant to our 2021 Equity Incentive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 AS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31, 2021</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2"/>
                <w:szCs w:val="12"/>
                <w:b w:val="1"/>
                <w:bCs w:val="1"/>
                <w:color w:val="auto"/>
              </w:rPr>
              <w:t>(1)</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40" w:type="dxa"/>
            <w:vAlign w:val="bottom"/>
            <w:vMerge w:val="restart"/>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gridSpan w:val="2"/>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r>
              <w:rPr>
                <w:rFonts w:ascii="Times New Roman" w:cs="Times New Roman" w:eastAsia="Times New Roman" w:hAnsi="Times New Roman"/>
                <w:sz w:val="12"/>
                <w:szCs w:val="12"/>
                <w:b w:val="1"/>
                <w:bCs w:val="1"/>
                <w:color w:val="auto"/>
              </w:rPr>
              <w:t>(2)</w:t>
            </w:r>
          </w:p>
        </w:tc>
        <w:tc>
          <w:tcPr>
            <w:tcW w:w="54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260" w:type="dxa"/>
            <w:vAlign w:val="bottom"/>
          </w:tcPr>
          <w:p>
            <w:pPr>
              <w:spacing w:after="0"/>
              <w:rPr>
                <w:sz w:val="15"/>
                <w:szCs w:val="15"/>
                <w:color w:val="auto"/>
              </w:rPr>
            </w:pPr>
          </w:p>
        </w:tc>
        <w:tc>
          <w:tcPr>
            <w:tcW w:w="1160" w:type="dxa"/>
            <w:vAlign w:val="bottom"/>
            <w:gridSpan w:val="2"/>
          </w:tcPr>
          <w:p>
            <w:pPr>
              <w:jc w:val="center"/>
              <w:ind w:right="164"/>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5/7/2021</w:t>
            </w: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5/7/2021</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3,419,345</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8"/>
              </w:rPr>
              <w:t>10.14</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5"/>
              </w:rPr>
              <w:t>2/23/2022</w:t>
            </w:r>
          </w:p>
        </w:tc>
        <w:tc>
          <w:tcPr>
            <w:tcW w:w="260" w:type="dxa"/>
            <w:vAlign w:val="bottom"/>
            <w:tcBorders>
              <w:top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1"/>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7/4/2021</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7/4/2021</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962,825</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12.81</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2/23/2022</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Hering, M.B.A.</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6/30/2021</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6/30/2021</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1,282,310</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12.81</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6/29/2031</w:t>
            </w:r>
          </w:p>
        </w:tc>
        <w:tc>
          <w:tcPr>
            <w:tcW w:w="0" w:type="dxa"/>
            <w:vAlign w:val="bottom"/>
          </w:tcPr>
          <w:p>
            <w:pPr>
              <w:spacing w:after="0"/>
              <w:rPr>
                <w:sz w:val="1"/>
                <w:szCs w:val="1"/>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11/1/2021</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11/1/2021</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514,863</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30.65</w:t>
            </w:r>
          </w:p>
        </w:tc>
        <w:tc>
          <w:tcPr>
            <w:tcW w:w="1160" w:type="dxa"/>
            <w:vAlign w:val="bottom"/>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10/31/2031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26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awards listed in this table were granted under our 2020 Equity Incentive Plan, except for the November 2021 award to Ms. Andersen, which was granted under our 2021 Equity Incentive Plan.</w:t>
      </w:r>
    </w:p>
    <w:p>
      <w:pPr>
        <w:ind w:left="540" w:right="50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(1/4) of the shares subject to this award vest on the one-year anniversary of the date of grant, with the remainder vesting in equal monthly installments over 36 months from the date of grant subject to the named executive officer’s continued service.</w:t>
      </w:r>
    </w:p>
    <w:p>
      <w:pPr>
        <w:ind w:left="540" w:right="18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 per share exercise price equal to or above the estimated fair value of our common stock on the date of grant, as determined in good faith by our Board, except for the November 2021 award to Ms. Andersen, for which the per share exercise price was equal to the closing price for our common stock on the date of grant.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expired upon Dr. Gerngross’s resignation as Chief Executive Officer on February 23, 2022.</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Benefits and Other Compensation</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2021 other than our 401(k) plan described below. During 2021,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We entered into an employment agreement with Dr. Gerngross and an amended and restated employment agreement with Mr. Hering in connection with the closing of our initial public offering, and an employment agreement with Ms. Andersen in connection with her commencement of employment with us, that each include an initial annual base salary and annual target bonus. The annual bonus is determined by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 Substantive differences are limited to (i) the definition of Good Reason, which, for Mr. Hering and Ms. Andersen, is further triggered by a material reduction in the authority, duties or responsibilities of the CEO to whom the executives report and</w:t>
      </w:r>
    </w:p>
    <w:p>
      <w:pPr>
        <w:ind w:left="120" w:right="240" w:hanging="4"/>
        <w:spacing w:after="0" w:line="253" w:lineRule="auto"/>
        <w:tabs>
          <w:tab w:leader="none" w:pos="3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promise of a grant of an initial option award, subject to the approval of the Board, in the case of Ms. Andersen. Severance terms are detailed further below under “Potential Payments Upon Termination or Change in Control.” Each of our named executive officers’ compensation has been subsequently increased from time to time to the amounts described above. We do not maintain any other offer letters or employment agreements with our named executive officers.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Dr. Gerngross was, and Mr. Hering and Ms. Andersen are, entitled to certain severance and change in control benefits pursuant to the employment agreements described above.</w:t>
      </w:r>
    </w:p>
    <w:p>
      <w:pPr>
        <w:spacing w:after="0" w:line="162"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In the event that the executives’ employment ends upon death or a disability, they are entitled to accrued obligations and payment of their target bonus so long as their employment terminates after the completion of the calendar year but prior to the date of payment of the bonus, or the Earned Bonus.</w:t>
      </w:r>
    </w:p>
    <w:p>
      <w:pPr>
        <w:spacing w:after="0" w:line="140"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In the event that employment terminates, other than during the period commencing three months prior to or ending 12 months following a “change in control,” or the Change in Control Period, by us without “cause” or by the executive for “good reason” (as defined in our equity plan and the respective employment agreement), and subject to the delivery to us of a separation agreement that includes a general release of claims, Mr. Hering and</w:t>
      </w:r>
    </w:p>
    <w:p>
      <w:pPr>
        <w:spacing w:after="0" w:line="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Ms. Andersen will each receive cash severance equal to 9 months of their base salary, as well as the Earned Bonus, if applicable, and 9 months continuation of benefits, and will be entitled to delayed forfeiture of unvested time-based equity awards until 90 days after the date of termination. In exchange for the same terms, as of December 31, 2021, prior to Dr. Gerngross’s resignation, Dr. Gerngross was entitled to receive cash severance equal to 12 months of his base salary, the Earned Bonus, if applicable, and 12 months continuation of benefits, and would be entitled to delayed forfeiture of unvested time-based equity awards until 90 days after the date of termination.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event that the executives’ employment is terminated by us without cause or by the executive for good reason, in either case, during the Change in Control Period, and subject to their delivery to us of a separation agreement that includes a general release of claims, Mr. Hering and Ms. Andersen will each receive cash severance equal to 12 months of their base salary, their respective target bonus for the year of termination, as well as the Earned Bonus, if applicable, and 12 months continuation of benefits, and will be entitled to immediate acceleration and full vesting of any time-based equity awards, exercisable or nonforfeitable as if employment continued until the later of the date of termination or the effective date of the separation agreement. In exchange for the same terms, as of December 31, 2021, prior to Dr. Gerngross’s resignation, Dr. Gerngross was entitled to receive cash severance equal to 18 months of his base salary, the target bonus for the year of termination with a 1.5 multiplier, the Earned Bonus, if applicable, and 18 months continuation of benefits and would be entitled to immediate acceleration and full vesting of any time-based equity awards, exercisable or nonforfeitable as if employment continued until the later of the date of termination or the effective date of the separation agreement.</w:t>
      </w:r>
    </w:p>
    <w:p>
      <w:pPr>
        <w:spacing w:after="0" w:line="18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election of a majority or more of the individuals nominated by Mithril would not constitute a change in control within the meaning of such term as it is used in the employee agreements described above or a reorganization event within the meaning of such term as it is used in our 2020 Equity Incentive Plan or our 2021 Equity Incentive Plan.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40"/>
          </w:cols>
          <w:pgMar w:left="320" w:top="455"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with respect to the compensation of our non-employee directors: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2"/>
                <w:szCs w:val="12"/>
                <w:b w:val="1"/>
                <w:bCs w:val="1"/>
                <w:color w:val="auto"/>
              </w:rPr>
              <w:t>(1)</w:t>
            </w:r>
          </w:p>
        </w:tc>
        <w:tc>
          <w:tcPr>
            <w:tcW w:w="4620" w:type="dxa"/>
            <w:vAlign w:val="bottom"/>
            <w:vMerge w:val="restart"/>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2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3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Cash ($)</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20" w:type="dxa"/>
            <w:vAlign w:val="bottom"/>
          </w:tcPr>
          <w:p>
            <w:pPr>
              <w:spacing w:after="0"/>
              <w:rPr>
                <w:sz w:val="15"/>
                <w:szCs w:val="15"/>
                <w:color w:val="auto"/>
              </w:rPr>
            </w:pPr>
          </w:p>
        </w:tc>
        <w:tc>
          <w:tcPr>
            <w:tcW w:w="78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(2)(3)</w:t>
            </w:r>
          </w:p>
        </w:tc>
        <w:tc>
          <w:tcPr>
            <w:tcW w:w="5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Philip Chase</w:t>
            </w:r>
            <w:r>
              <w:rPr>
                <w:rFonts w:ascii="Times New Roman" w:cs="Times New Roman" w:eastAsia="Times New Roman" w:hAnsi="Times New Roman"/>
                <w:sz w:val="15"/>
                <w:szCs w:val="15"/>
                <w:color w:val="auto"/>
              </w:rPr>
              <w:t>(4)</w:t>
            </w: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ind w:left="454"/>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Elia</w:t>
            </w:r>
            <w:r>
              <w:rPr>
                <w:rFonts w:ascii="Times New Roman" w:cs="Times New Roman" w:eastAsia="Times New Roman" w:hAnsi="Times New Roman"/>
                <w:sz w:val="15"/>
                <w:szCs w:val="15"/>
                <w:color w:val="auto"/>
              </w:rPr>
              <w:t>(5)</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Tomas Heyman</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26,792</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1,035,639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1,062,431</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4,615</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795,084</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799,699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Mayer, M.D.</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42,621</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1,012,658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1,055,279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16,044</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4,615</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795,084</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799,699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16,044</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René Russo, Pharm.D.</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31,085</w:t>
            </w:r>
          </w:p>
        </w:tc>
        <w:tc>
          <w:tcPr>
            <w:tcW w:w="1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89,270</w:t>
            </w:r>
            <w:r>
              <w:rPr>
                <w:rFonts w:ascii="Times New Roman" w:cs="Times New Roman" w:eastAsia="Times New Roman" w:hAnsi="Times New Roman"/>
                <w:sz w:val="15"/>
                <w:szCs w:val="15"/>
                <w:color w:val="auto"/>
                <w:w w:val="98"/>
              </w:rPr>
              <w:t>(6)</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502,624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Shah, M.D.</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24,184</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1,035,639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1,059,823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24,066</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764,538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34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Gerngross did not earn compensation during 2021 for his service on our Board. Dr. Gerngross’s compensation is reflected in the Summary Compensation Table above.</w:t>
      </w:r>
    </w:p>
    <w:p>
      <w:pPr>
        <w:ind w:left="540" w:right="1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non-employee directors. Instead, these amounts reflect the aggregate grant date fair value of each stock option granted to our non-employee directors during the fiscal year ended December 31, 2021, as computed in accordance with Financial Accounting Standard Board Accounting Standards Codification Topic 718 for stock-based compensation transactions (ASC 718). Assumptions used in the calculation of these amounts are included in note 11 to our audited financial statements included in our Annual Report on Form 10-K for the year ended December 31, 2021.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w:t>
      </w:r>
    </w:p>
    <w:p>
      <w:pPr>
        <w:spacing w:after="0" w:line="2"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directors held options to purchase the following number of shares of our common stock. None of our non-employee directors held any stock awards as of December 31, 2021.</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Tomas Heyman</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Mayer, M.D.</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Ajay Royan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René Russo, Pharm.D.</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Anand Shah, M.D.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71,186</w:t>
            </w:r>
          </w:p>
        </w:tc>
      </w:tr>
    </w:tbl>
    <w:p>
      <w:pPr>
        <w:spacing w:after="0" w:line="225"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Chase resigned from our Board on July 16, 2021.</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Elia resigned from our Board on April 16, 2021.</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consulting fees paid during 2021 pursuant to a consulting agreement with Dr. Russo, which was terminated in connection with our initial public offering.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that became effective in August 2021 in connection with the closing of our initial public offering. Pursuant to this compensation policy, each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directors who is not an employee or consultant of our company is eligible to receive compensation for service on our Board and committees of our Board.</w:t>
      </w:r>
    </w:p>
    <w:p>
      <w:pPr>
        <w:spacing w:after="0" w:line="16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Under our compensation policy, each eligible director receives an annual cash retainer in the amount of $40,000 for serving on our Board. In addition, the Chair of our Board receives an annual cash retainer in the amount of $30,000 (in addition to the annual cash retainer given to all eligible directors). The chairperson of the Audit Committee of our Board is entitled to receive an additional annual cash retainer in the amount of $15,000, the chairperson of the Compensation Committee of our Board is entitled to receive an additional annual cash retainer in the amount of $10,000 and the chairperson of the Nominating and Corporate Governance Committee of our Board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pacing w:after="0" w:line="19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is entitled to receive a non-statutory stock option to purchase shares of our common stock with an aggregate Black-Scholes grant date value of $800,000, up to a maximum of 150,000 shares, with one-third of the shares vesting on the first anniversary of the grant date and 1/36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shares vesting in equal monthly installments thereafter, subject to continued service as a director through the vesting dates.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with an aggregate Black-Scholes grant date fair value of $400,000, up to a maximum of 75,000 shares, with the shares vesting on the earlier of the first anniversary of the date of grant or the next annual meeting of our stockholders, subject to continued service as a director though the applicable vesting dates. If an eligible director joins our Board upon or after the date of the last preceding annual stockholders meeting, such eligible director’s Annual Grant will be pro-rated based on days served since joining our Board.</w:t>
      </w:r>
    </w:p>
    <w:p>
      <w:pPr>
        <w:spacing w:after="0" w:line="18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October 2020, we adopted an independent director compensation policy pursuant to which our independent directors were entitled to receive an annual cash retainer of $35,000 for serving on our Board, payable in arrears on a quarterly basis. In addition, each independent director who was appointed or elected following the policy’s adoption was entitled to be granted an option to purchase 0.25% of our outstanding shares issuable at the start of the director’s term at an exercise price equal to the fair market value of our common stock on the date of grant, with 25% of the underlying shares vesting on the first anniversary of the grant date and the remainder vesting in 36 equal monthly installments thereafter, subject to the director’s continued service through the applicable vesting date. While Dr. Russo and Dr. Mayer were both independent directors eligible to receive compensation in 2021 under this policy, only Dr. Mayer has received compensation pursuant to this policy because Dr. Russo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received compensation pursuant to a consulting agreement described below and received an option award as a co-founder of the Company. This policy was terminated in connection with our initial public offering.</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June 2020, we entered into a consulting agreement with Dr. Russo pursuant to which Dr. Russo was entitled to receive $7,500 per month, with payment for any partial months prorated. In addition, Dr. Russo’s consulting agreement provided that she was eligible for an annual additional consulting fee at the discretion of our Board. Such annual additional consulting fee had a target amount of $40,500, but the actual amount of the annual additional consulting fee was to be determined by our Board in its discretion. This consulting agreement was terminated in connection with our initial public offering.</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320" w:top="455"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2021.</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00" w:type="dxa"/>
            <w:vAlign w:val="bottom"/>
            <w:gridSpan w:val="2"/>
            <w:vMerge w:val="restart"/>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20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00" w:type="dxa"/>
            <w:vAlign w:val="bottom"/>
            <w:gridSpan w:val="2"/>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00" w:type="dxa"/>
            <w:vAlign w:val="bottom"/>
          </w:tcPr>
          <w:p>
            <w:pPr>
              <w:spacing w:after="0"/>
              <w:rPr>
                <w:sz w:val="12"/>
                <w:szCs w:val="12"/>
                <w:color w:val="auto"/>
              </w:rPr>
            </w:pPr>
          </w:p>
        </w:tc>
        <w:tc>
          <w:tcPr>
            <w:tcW w:w="210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0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20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00" w:type="dxa"/>
            <w:vAlign w:val="bottom"/>
            <w:gridSpan w:val="2"/>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20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60"/>
        </w:trPr>
        <w:tc>
          <w:tcPr>
            <w:tcW w:w="3760" w:type="dxa"/>
            <w:vAlign w:val="bottom"/>
            <w:gridSpan w:val="3"/>
            <w:vMerge w:val="continue"/>
          </w:tcPr>
          <w:p>
            <w:pPr>
              <w:spacing w:after="0"/>
              <w:rPr>
                <w:sz w:val="13"/>
                <w:szCs w:val="13"/>
                <w:color w:val="auto"/>
              </w:rPr>
            </w:pPr>
          </w:p>
        </w:tc>
        <w:tc>
          <w:tcPr>
            <w:tcW w:w="250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3"/>
                <w:szCs w:val="13"/>
                <w:color w:val="auto"/>
              </w:rPr>
            </w:pPr>
          </w:p>
        </w:tc>
        <w:tc>
          <w:tcPr>
            <w:tcW w:w="210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6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Equity compensation plans approved</w:t>
            </w:r>
          </w:p>
        </w:tc>
        <w:tc>
          <w:tcPr>
            <w:tcW w:w="14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by security holders</w:t>
            </w:r>
          </w:p>
        </w:tc>
        <w:tc>
          <w:tcPr>
            <w:tcW w:w="25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18,871,592</w:t>
            </w:r>
            <w:r>
              <w:rPr>
                <w:rFonts w:ascii="Times New Roman" w:cs="Times New Roman" w:eastAsia="Times New Roman" w:hAnsi="Times New Roman"/>
                <w:sz w:val="15"/>
                <w:szCs w:val="15"/>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10.15</w:t>
            </w:r>
          </w:p>
        </w:tc>
        <w:tc>
          <w:tcPr>
            <w:tcW w:w="1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18,015,054</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Equity compensation plans not</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approved by security holders</w:t>
            </w: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18,871,592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10.15</w:t>
            </w:r>
          </w:p>
        </w:tc>
        <w:tc>
          <w:tcPr>
            <w:tcW w:w="1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18,015,054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underlying options granted pursuant to our 2020 Equity Incentive Plan and 2021 Equity Incentive Plan.</w:t>
      </w:r>
    </w:p>
    <w:p>
      <w:pPr>
        <w:spacing w:after="0" w:line="27"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16,672,281 shares of common stock reserved for future issuance under our 2021 Equity Incentive Plan and 1,342,773 shares of common stock reserved for future issuance under our 2021 Employee Stock Purchase Plan. The number of shares of our common stock reserved for issuance under our 2021 Equity Incentive Plan automatically increases on the first day of each fiscal year continuing through January 1, 2031, in an amount equal to 5.0% of the total number of shares of our common stock outstanding on December 31 of the preceding calendar year or a lesser number of shares determined by our Board. Pursuant to this provision, we added 5,539,145 shares of common stock that are available for issuance under the 2021 Equity Incentive Plan on January 1, 2022, which is not reflected in the table above. The number of shares reserved under the 2021 Employee Stock Purchase Plan automatically increases on the first day of each fiscal year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2021 our Board determined that no increase was necessary to the shares of common stock available for issuance under the 2021 Employee Stock Purchase Plan on January 1, 2022.</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our procedures for the identification, review, consideration and approval or ratification of related person transactions, which policy became effective in connection with our initial public offering in 2021.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Ethics and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w:t>
      </w:r>
    </w:p>
    <w:p>
      <w:pPr>
        <w:spacing w:after="0" w:line="9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our initial public offering, we did not have a formal policy regarding approval of transactions with related parties.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2020 to which we have been a party, in which the amount involved in the transaction exceeded $120,000, and in which any of our directors, executive officers or, to our knowledge, beneficial owners of more than 5% of our voting securities or any member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Placements of Our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 July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6,237,500 shares of our Series A preferred stock at a purchase price of $8.00 per share for aggregate gross proceeds of $49.9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A preferred stock issued to our related parties in this financing:</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440" w:type="dxa"/>
            <w:vAlign w:val="bottom"/>
            <w:vMerge w:val="restart"/>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110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11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Mithril II LP </w:t>
            </w:r>
            <w:r>
              <w:rPr>
                <w:rFonts w:ascii="Times New Roman" w:cs="Times New Roman" w:eastAsia="Times New Roman" w:hAnsi="Times New Roman"/>
                <w:sz w:val="15"/>
                <w:szCs w:val="15"/>
                <w:color w:val="auto"/>
              </w:rPr>
              <w:t>(1)</w:t>
            </w:r>
          </w:p>
        </w:tc>
        <w:tc>
          <w:tcPr>
            <w:tcW w:w="92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7"/>
              </w:rPr>
              <w:t>1,250,000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812,500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Polaris Partners</w:t>
            </w:r>
            <w:r>
              <w:rPr>
                <w:rFonts w:ascii="Times New Roman" w:cs="Times New Roman" w:eastAsia="Times New Roman" w:hAnsi="Times New Roman"/>
                <w:sz w:val="15"/>
                <w:szCs w:val="15"/>
                <w:color w:val="auto"/>
              </w:rPr>
              <w:t>(2)</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687,500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40" w:right="280" w:hanging="424"/>
        <w:spacing w:after="0" w:line="257"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Times New Roman" w:cs="Times New Roman" w:eastAsia="Times New Roman" w:hAnsi="Times New Roman"/>
          <w:sz w:val="18"/>
          <w:szCs w:val="18"/>
          <w:color w:val="auto"/>
        </w:rPr>
      </w:pPr>
    </w:p>
    <w:p>
      <w:pPr>
        <w:ind w:left="540" w:right="360" w:hanging="424"/>
        <w:spacing w:after="0" w:line="26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8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Also in July 2020, in connection with the transfer of the rights acquired and license received, we issued to Adimab, LLC, or Adimab, 5,000,000 shares of our Series A preferred stock, then having a fair value of $40.0 million. Concurrently, Adimab relinquished to us 21,250,000 shares of our common stock, then having a fair value of $85,000. See “— Agreements with Adimab – Assignment and License Agreement” below.</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Each share of Series A preferred stock issued in this offering automatically converted into five shares of our common stock upon the closing of our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October and November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1,410,434 shares of our Series B preferred stock at a purchase price of $56.72 per share for aggregate gross proceeds of $80.0 million.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B preferred stock issued to our related parties in this financing:</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9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11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Adimab, LLC(1)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44,076</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2,499,991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Mithril II LP (2)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176,304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9,999,963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88,152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4,999,981</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Polaris Partners(3)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132,228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7,499,972</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352,609</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19,999,982</w:t>
            </w:r>
          </w:p>
        </w:tc>
        <w:tc>
          <w:tcPr>
            <w:tcW w:w="0" w:type="dxa"/>
            <w:vAlign w:val="bottom"/>
          </w:tcPr>
          <w:p>
            <w:pPr>
              <w:spacing w:after="0"/>
              <w:rPr>
                <w:sz w:val="1"/>
                <w:szCs w:val="1"/>
                <w:color w:val="auto"/>
              </w:rPr>
            </w:pPr>
          </w:p>
        </w:tc>
      </w:tr>
      <w:tr>
        <w:trPr>
          <w:trHeight w:val="23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352,609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19,999,982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00" w:hanging="424"/>
        <w:spacing w:after="0" w:line="258"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Tillman U. Gerngross, Ph.D., a former member of our Board and our former Chief Executive Officer, served as an officer and member of the board of directors of Adimab, LLC, (b) Philip Chase, a former member of our Board, served as an officer and member of the board of directors of Adimab, LLC, (c) Laura Walker, Ph.D., our Chief Scientific Officer, was an employee of Adimab, LLC, and (d) Terrance McGuire and Ajay Royan, members of our Board, are members of the board of directors of Adimab, LLC. Adimab, LLC holds more than 5% of our capital stock prior to this offering.</w:t>
      </w:r>
    </w:p>
    <w:p>
      <w:pPr>
        <w:spacing w:after="0" w:line="88" w:lineRule="exact"/>
        <w:rPr>
          <w:rFonts w:ascii="Times New Roman" w:cs="Times New Roman" w:eastAsia="Times New Roman" w:hAnsi="Times New Roman"/>
          <w:sz w:val="18"/>
          <w:szCs w:val="18"/>
          <w:color w:val="auto"/>
        </w:rPr>
      </w:pPr>
    </w:p>
    <w:p>
      <w:pPr>
        <w:jc w:val="both"/>
        <w:ind w:left="540" w:right="280" w:hanging="424"/>
        <w:spacing w:after="0" w:line="26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81"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Each share of Series B preferred stock issued in this offering automatically converted into five shares of our common stock upon the closing of our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April 2021, we entered into a preferred stock purchase agreement with certain investors, including beneficial owners of greater than 5% of our capital stock and affiliates of members of our Board, pursuant to which we issued and sold to such investors an aggregate of 4,296,550 shares of our Series C preferred stock at a purchase price of $78.08578 per share for aggregate gross proceeds of $335.5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C preferred stock issued to our related parties in this financing:</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9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11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Adimab, LLC </w:t>
            </w:r>
            <w:r>
              <w:rPr>
                <w:rFonts w:ascii="Times New Roman" w:cs="Times New Roman" w:eastAsia="Times New Roman" w:hAnsi="Times New Roman"/>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128,064</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9,999,977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Mithril II LP </w:t>
            </w:r>
            <w:r>
              <w:rPr>
                <w:rFonts w:ascii="Times New Roman" w:cs="Times New Roman" w:eastAsia="Times New Roman" w:hAnsi="Times New Roman"/>
                <w:sz w:val="15"/>
                <w:szCs w:val="15"/>
                <w:color w:val="auto"/>
              </w:rPr>
              <w:t>(2)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422,612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32,999,988</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96,048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RA Capital Management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960,482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74,999,986</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Polaris Partners </w:t>
            </w:r>
            <w:r>
              <w:rPr>
                <w:rFonts w:ascii="Times New Roman" w:cs="Times New Roman" w:eastAsia="Times New Roman" w:hAnsi="Times New Roman"/>
                <w:sz w:val="15"/>
                <w:szCs w:val="15"/>
                <w:color w:val="auto"/>
              </w:rPr>
              <w:t>(3)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224,112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17,499,960</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96,048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640,321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49,999,965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Tillman U. Gerngross, Ph.D., a former member of our Board and our former Chief Executive Officer, served as an officer and member of the Board of Adimab, LLC, (b) Philip Chase, a former member of our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57" w:lineRule="auto"/>
        <w:rPr>
          <w:sz w:val="20"/>
          <w:szCs w:val="20"/>
          <w:color w:val="auto"/>
        </w:rPr>
      </w:pPr>
      <w:r>
        <w:rPr>
          <w:rFonts w:ascii="Times New Roman" w:cs="Times New Roman" w:eastAsia="Times New Roman" w:hAnsi="Times New Roman"/>
          <w:sz w:val="18"/>
          <w:szCs w:val="18"/>
          <w:color w:val="auto"/>
        </w:rPr>
        <w:t>Board, served as an officer and member of the Board of Adimab, LLC, (c) Laura Walker, Ph.D., our Chief Scientific Officer, was an employee of Adimab, LLC, and (d) Terrance McGuire and Ajay Royan, members of our Board, are members of the Board of Adimab, LLC. Adimab, LLC holds more than 5% of our capital stock.</w:t>
      </w:r>
    </w:p>
    <w:p>
      <w:pPr>
        <w:spacing w:after="0" w:line="1" w:lineRule="exact"/>
        <w:rPr>
          <w:sz w:val="20"/>
          <w:szCs w:val="20"/>
          <w:color w:val="auto"/>
        </w:rPr>
      </w:pPr>
    </w:p>
    <w:p>
      <w:pPr>
        <w:jc w:val="both"/>
        <w:ind w:left="540" w:right="20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w:t>
      </w:r>
    </w:p>
    <w:p>
      <w:pPr>
        <w:spacing w:after="0" w:line="1" w:lineRule="exact"/>
        <w:rPr>
          <w:rFonts w:ascii="Times New Roman" w:cs="Times New Roman" w:eastAsia="Times New Roman" w:hAnsi="Times New Roman"/>
          <w:sz w:val="18"/>
          <w:szCs w:val="18"/>
          <w:color w:val="auto"/>
        </w:rPr>
      </w:pPr>
    </w:p>
    <w:p>
      <w:pPr>
        <w:ind w:left="540" w:right="280" w:hanging="424"/>
        <w:spacing w:after="0" w:line="26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w:t>
      </w:r>
    </w:p>
    <w:p>
      <w:pPr>
        <w:spacing w:after="0" w:line="18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Each share of Series C preferred stock issued in this offering automatically converted into five shares of our common stock upon the closing of our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Adimab</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Certain of our current and former directors and officers are affiliated with Adimab, LLC, or Adimab. Tillman U. Gerngross, Ph.D., a former member of our Board, our co-founder and former Chief Executive Officer, served as a co-founder and Chief Executive Officer of Adimab. Laura Walker, Ph.D., our co-founder and Chief Scientific Officer, was the Senior Director of Antibody Sciences at Adimab. Terrance McGuire, who is deemed to be a beneficial owner of 7.8% of our capital stock as of the Record Date, and Ajay Royan, who is deemed to be a beneficial owner of 10.2% of our capital stock as of the Record Date, are each a member of our Board and the board of directors of Adimab. Philip Chase, who is deemed to be a beneficial owner of 24.3% of our capital stock as of the Record Date, is a former member of our Board and served as a member of the board of directors of Adimab.</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Assignment and License Agreement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July 2020, we entered into an assignment and license agreement, or the Adimab Assignment Agreement, with Adimab pursuant to which Adimab assigned to us all coronavirus antibodies controlled by it and their derivatives,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 As of the Record Date, Adimab held approximately 24.3% of our outstanding capital stock.</w:t>
      </w:r>
    </w:p>
    <w:p>
      <w:pPr>
        <w:spacing w:after="0" w:line="18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compulsory licensing and a royalty floor.</w:t>
      </w:r>
    </w:p>
    <w:p>
      <w:pPr>
        <w:spacing w:after="0" w:line="187" w:lineRule="exact"/>
        <w:rPr>
          <w:sz w:val="20"/>
          <w:szCs w:val="20"/>
          <w:color w:val="auto"/>
        </w:rPr>
      </w:pPr>
    </w:p>
    <w:p>
      <w:pPr>
        <w:jc w:val="both"/>
        <w:ind w:left="120" w:right="280"/>
        <w:spacing w:after="0" w:line="289" w:lineRule="auto"/>
        <w:rPr>
          <w:sz w:val="20"/>
          <w:szCs w:val="20"/>
          <w:color w:val="auto"/>
        </w:rPr>
      </w:pPr>
      <w:r>
        <w:rPr>
          <w:rFonts w:ascii="Times New Roman" w:cs="Times New Roman" w:eastAsia="Times New Roman" w:hAnsi="Times New Roman"/>
          <w:sz w:val="17"/>
          <w:szCs w:val="17"/>
          <w:color w:val="auto"/>
        </w:rPr>
        <w:t>In February 2021, we achieved the first specified milestone under the agreement upon dosing of the first patient in a Phase 1 clinical trial evaluating adintrevimab, which obligated us to make a $1.0 million payment to Adimab. We made the payment in March 2021. In April 2021, we achieved the second specified milestone under the agreement upon dosing of the first patient in a Phase 2 clinical trial evaluating adintrevimab for the</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prevention of COVID-19, which obligated us to make a $2.5 million payment to Adimab. We made the payment in June 2021. In August 2021, we achieved the third specified milestone under the agreement upon dosing of the first patient in a Phase 3 clinical trial evaluating adintrevimab for the prevention of COVID-19, which obligated us to make a $4.0 million payment to Adimab. We made the payment in September 2021.</w:t>
      </w:r>
    </w:p>
    <w:p>
      <w:pPr>
        <w:spacing w:after="0" w:line="176" w:lineRule="exact"/>
        <w:rPr>
          <w:sz w:val="20"/>
          <w:szCs w:val="20"/>
          <w:color w:val="auto"/>
        </w:rPr>
      </w:pPr>
    </w:p>
    <w:p>
      <w:pPr>
        <w:jc w:val="both"/>
        <w:ind w:left="120" w:right="36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2021, we paid Adimab $8.7 million in connection with services provided under the Adimab Assignment Agreement. As of December 31, 2021, $0.4 million was due to Adimab by us.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or the Adimab Collaboration Agreement, pursuant to which we and Adimab will collaborate on the discovery and optimization of proprietary antibodies as potential therapeutic product candidates. We were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2021, we paid Adimab $2.6 million in connection with services provided under the Adimab Collaboration Agreement. As of December 31, 2021, $0.2 million was due to Adimab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 Rights, Voting and Right of First Refusal Agreements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the sale of our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terminated upon the closing of our initial public offering, except for the registration rights granted under our amended and restated investors’ rights agreement, which terminate with respect to each holder upon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this agreement provide those holders with demand, piggyback and Form S-3 registration rights with respect to the shares of common stock currently held by them. See “—Private Placements of Our Securities—Series C Preferred Stock Financing” above for information regarding the names of the related persons involved and the basis on which such persons are related persons.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provides indemnification for its directors, executive officers and key employees so that they will be free from undue concern about personal liability in connection with their service to the Company. Under the Bylaws, the Company is required to indemnify its directors, and is permitted to indemnify its executive officers, employees and other agents,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Bylaws.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Adagio stockholders will be “householding” the Company’s proxy materials. A single set of Annual Meeting materials will be delivered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separate set of Annual Meeting materials, please notify your broker or the Company. Direct your written request to Adagio Therapeutics, Inc., Attention: Corporate Secretary, 1601 Trapelo Road, Suite 178, Waltham, Massachusetts 02451 or your oral request to 781-819-0080. Stockholders who currently receive multiple copies of the Annual Meeting materials at their addresses and would like to request “householding” of their communications should contact their brokers.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 to the extent authorized under Rule 14a-4(c) under the Exchange Act.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Jill Andersen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 w:lineRule="exact"/>
        <w:rPr>
          <w:sz w:val="20"/>
          <w:szCs w:val="20"/>
          <w:color w:val="auto"/>
        </w:rPr>
      </w:pPr>
    </w:p>
    <w:p>
      <w:pPr>
        <w:ind w:left="720" w:hanging="604"/>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2022</w:t>
      </w:r>
    </w:p>
    <w:p>
      <w:pPr>
        <w:spacing w:after="0" w:line="203" w:lineRule="exact"/>
        <w:rPr>
          <w:sz w:val="20"/>
          <w:szCs w:val="20"/>
          <w:color w:val="auto"/>
        </w:rPr>
      </w:pPr>
    </w:p>
    <w:p>
      <w:pPr>
        <w:ind w:left="120" w:right="380"/>
        <w:spacing w:after="0" w:line="317" w:lineRule="auto"/>
        <w:rPr>
          <w:sz w:val="20"/>
          <w:szCs w:val="20"/>
          <w:color w:val="auto"/>
        </w:rPr>
      </w:pPr>
      <w:r>
        <w:rPr>
          <w:rFonts w:ascii="Times New Roman" w:cs="Times New Roman" w:eastAsia="Times New Roman" w:hAnsi="Times New Roman"/>
          <w:sz w:val="17"/>
          <w:szCs w:val="17"/>
          <w:b w:val="1"/>
          <w:bCs w:val="1"/>
          <w:color w:val="auto"/>
        </w:rPr>
        <w:t>A copy of the Company’s Annual Report to the SEC on Form 10-K for the fiscal year ended December 31, 2021 is available without charge upon written request to: Corporate Secretary, Adagio Therapeutics, Inc., 1601 Trapelo Road, Suite 178, Waltham, Massachusetts 02451.</w:t>
      </w:r>
    </w:p>
    <w:p>
      <w:pPr>
        <w:spacing w:after="0" w:line="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THE BOARD TAKES NO POSITION AND MAKES NO RECOMMENDATION WITH RESPECT TO ELECTION OF DIRECTORS.</w:t>
      </w:r>
    </w:p>
    <w:p>
      <w:pPr>
        <w:spacing w:after="0" w:line="2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Remember, you can submit a proxy for your shares over the Internet or by telephone. Please follow the</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 xml:space="preserve">instructions on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w:t>
      </w:r>
    </w:p>
    <w:p>
      <w:pPr>
        <w:spacing w:after="0" w:line="2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If you have any questions or need assistance in voting</w:t>
      </w:r>
    </w:p>
    <w:p>
      <w:pPr>
        <w:spacing w:after="0" w:line="2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your shares, please contact our proxy solicitor:</w:t>
      </w:r>
    </w:p>
    <w:p>
      <w:pPr>
        <w:spacing w:after="0" w:line="207" w:lineRule="exact"/>
        <w:rPr>
          <w:sz w:val="20"/>
          <w:szCs w:val="20"/>
          <w:color w:val="auto"/>
        </w:rPr>
      </w:pPr>
    </w:p>
    <w:p>
      <w:pPr>
        <w:ind w:left="4640"/>
        <w:spacing w:after="0"/>
        <w:tabs>
          <w:tab w:leader="none" w:pos="6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-7620</wp:posOffset>
            </wp:positionV>
            <wp:extent cx="11709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13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40"/>
          </w:cols>
          <w:pgMar w:left="320" w:top="455" w:right="7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Supplemental Information Concerning Participants in the Company’s Solicitation of Proxies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following tables (“Directors and Nominees” and “Officers and Employees”) list the name and business address of the directors and nominees of the Company and the name, present principal occupation and business address of the Company’s officers and employees who, under SEC rules, are considered to be participants in the Company’s solicitation of proxies from its stockholders in connection with the Annual Meeting (collectively, the “Participants”).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121" w:lineRule="exact"/>
        <w:rPr>
          <w:sz w:val="20"/>
          <w:szCs w:val="20"/>
          <w:color w:val="auto"/>
        </w:rPr>
      </w:pPr>
    </w:p>
    <w:p>
      <w:pPr>
        <w:jc w:val="both"/>
        <w:ind w:left="120" w:right="120"/>
        <w:spacing w:after="0" w:line="276" w:lineRule="auto"/>
        <w:rPr>
          <w:sz w:val="20"/>
          <w:szCs w:val="20"/>
          <w:color w:val="auto"/>
        </w:rPr>
      </w:pPr>
      <w:r>
        <w:rPr>
          <w:rFonts w:ascii="Times New Roman" w:cs="Times New Roman" w:eastAsia="Times New Roman" w:hAnsi="Times New Roman"/>
          <w:sz w:val="17"/>
          <w:szCs w:val="17"/>
          <w:color w:val="auto"/>
        </w:rPr>
        <w:t>The principal occupations of the Company’s directors and nominees are included in the biographies under the section above titled “Proposal 1 Election of Directors.” The names of each director and nominee are listed below, and the business addresses for the current directors is c/o Adagio Therapeutics,</w:t>
      </w:r>
    </w:p>
    <w:p>
      <w:pPr>
        <w:spacing w:after="0" w:line="1" w:lineRule="exact"/>
        <w:rPr>
          <w:sz w:val="20"/>
          <w:szCs w:val="20"/>
          <w:color w:val="auto"/>
        </w:rPr>
      </w:pPr>
    </w:p>
    <w:p>
      <w:pPr>
        <w:ind w:left="120"/>
        <w:spacing w:after="0"/>
        <w:tabs>
          <w:tab w:leader="none" w:pos="9580" w:val="left"/>
        </w:tabs>
        <w:rPr>
          <w:sz w:val="20"/>
          <w:szCs w:val="20"/>
          <w:color w:val="auto"/>
        </w:rPr>
      </w:pPr>
      <w:r>
        <w:rPr>
          <w:rFonts w:ascii="Times New Roman" w:cs="Times New Roman" w:eastAsia="Times New Roman" w:hAnsi="Times New Roman"/>
          <w:sz w:val="18"/>
          <w:szCs w:val="18"/>
          <w:color w:val="auto"/>
        </w:rPr>
        <w:t>Inc., 1601 Trapelo Road, Suite 178, Waltham, Massachusetts 02451. The business address for each of the nominees is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-19050</wp:posOffset>
            </wp:positionV>
            <wp:extent cx="571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René Russo</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Tomas Heyman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Ellen R. Marram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Howard Mayer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Terrance McGuire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Redonda Miller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Ajay Royan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Anand Shah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Michael Wyzga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9" w:lineRule="exact"/>
        <w:rPr>
          <w:sz w:val="20"/>
          <w:szCs w:val="20"/>
          <w:color w:val="auto"/>
        </w:rPr>
      </w:pPr>
    </w:p>
    <w:p>
      <w:pPr>
        <w:ind w:left="1120" w:hanging="1004"/>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-19050</wp:posOffset>
            </wp:positionV>
            <wp:extent cx="6000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left="1120" w:hanging="1004"/>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20" w:hanging="1004"/>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-156210</wp:posOffset>
            </wp:positionV>
            <wp:extent cx="600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-19050</wp:posOffset>
            </wp:positionV>
            <wp:extent cx="6000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Officers and Employees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executive officers and other employees who are considered Participants as well as their positions with the Company, which constitute their respective principal occupations, are listed below. The business address for each person is c/o Adagio Therapeutics, Inc., 1601 Trapelo Road, Suite 178, Waltham, Massachusetts 02451.</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28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Jill Andersen</w:t>
            </w:r>
          </w:p>
        </w:tc>
        <w:tc>
          <w:tcPr>
            <w:tcW w:w="1920" w:type="dxa"/>
            <w:vAlign w:val="bottom"/>
            <w:tcBorders>
              <w:top w:val="single" w:sz="8" w:color="CCEEFF"/>
            </w:tcBorders>
            <w:shd w:val="clear" w:color="auto" w:fill="CCEEFF"/>
          </w:tcPr>
          <w:p>
            <w:pPr>
              <w:spacing w:after="0"/>
              <w:rPr>
                <w:sz w:val="17"/>
                <w:szCs w:val="17"/>
                <w:color w:val="auto"/>
              </w:rPr>
            </w:pPr>
          </w:p>
        </w:tc>
        <w:tc>
          <w:tcPr>
            <w:tcW w:w="5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Dabora</w:t>
            </w:r>
          </w:p>
        </w:tc>
        <w:tc>
          <w:tcPr>
            <w:tcW w:w="72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Chief Technology and Manufacturing Officer</w:t>
            </w: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Hering</w:t>
            </w:r>
          </w:p>
        </w:tc>
        <w:tc>
          <w:tcPr>
            <w:tcW w:w="720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Interim Chief Executive Officer and Chief Operating Officer</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 Pritchett Henderson</w:t>
            </w:r>
          </w:p>
        </w:tc>
        <w:tc>
          <w:tcPr>
            <w:tcW w:w="72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Elham (Ellie) Hershberger</w:t>
            </w:r>
          </w:p>
        </w:tc>
        <w:tc>
          <w:tcPr>
            <w:tcW w:w="720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Chief Development Officer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Ownership of Company Securities By Participants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held as of the Record Date by its directors and those named executive officers who are Participants appears in the “Security Ownership of Certain Beneficial Owners and Management” section of this proxy statement. The following table lists the number of shares of Common Stock held as of the Record Date by those other individuals who are Participants in the Company’s solicitation of</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proxies. No Participant owns any securities of the Company of record that such Participant does not own beneficially, except as described in this Proxy Statement.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6940" w:type="dxa"/>
            <w:vAlign w:val="bottom"/>
          </w:tcPr>
          <w:p>
            <w:pPr>
              <w:spacing w:after="0"/>
              <w:rPr>
                <w:sz w:val="16"/>
                <w:szCs w:val="16"/>
                <w:color w:val="auto"/>
              </w:rPr>
            </w:pP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Percent of Total</w:t>
            </w:r>
          </w:p>
        </w:tc>
      </w:tr>
      <w:tr>
        <w:trPr>
          <w:trHeight w:val="203"/>
        </w:trPr>
        <w:tc>
          <w:tcPr>
            <w:tcW w:w="8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Rebecca Dabora(1)</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291,275</w:t>
            </w:r>
          </w:p>
        </w:tc>
        <w:tc>
          <w:tcPr>
            <w:tcW w:w="7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 Pritchett Henderson(2)</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523,134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Elham (Ellie) Hershberger(3)</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426,287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291,275 shares of common stock issuable upon the exercise of options within 60 days of the Record Date.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523,134 shares of common stock issuable upon the exercise of options within 60 days of the Record Date.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299,227 shares of common stock issuable upon the exercise of options within 60 days of the Record Date.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in the Company’s Securities by Participants — Last Two Years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purchases and sales of the Company’s securities by each Participant between June 3, 2020 (the date of inception of the Company) and April 25, 2022. Unless otherwise indicated, all transactions were in the public market or pursuant to the Company’s equity compensation plans, and no part of the purchase price or market value of those shares is represented by funds borrowed or otherwise obtained for the purpose of acquiring or holding such securities.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60" w:type="dxa"/>
            <w:vAlign w:val="bottom"/>
            <w:vMerge w:val="restart"/>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3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Transaction Description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080" w:type="dxa"/>
            <w:vAlign w:val="bottom"/>
            <w:gridSpan w:val="2"/>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Tomas Heyman</w:t>
            </w: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6/30/2021</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125,380</w:t>
            </w:r>
          </w:p>
        </w:tc>
        <w:tc>
          <w:tcPr>
            <w:tcW w:w="10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R. Marram</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11/19/2021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62,605</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Mayer</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1/13/2021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215,150</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8/5/2021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35,593</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35,593</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2,852,425</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Automatic conversion of preferred stock into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267,769</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55,595</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Automatic conversion of preferred stock into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19,540</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Automatic conversion of preferred stock into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28,520</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Automatic conversion of preferred stock into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4,755,460</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Automatic conversion of preferred stock into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320,160</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Automatic conversion of preferred stock into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177,500</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Redonda Miller</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11/19/2021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62,605</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René Russo</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6/22/2020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1,985,295</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8/5/2021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35,593</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Ajay Royan</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35,593</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9,244,580</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Automatic conversion of preferred stock into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8/10/2021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1,997,000</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Shah</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6/30/2021</w:t>
            </w:r>
          </w:p>
        </w:tc>
        <w:tc>
          <w:tcPr>
            <w:tcW w:w="1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125,380</w:t>
            </w:r>
          </w:p>
        </w:tc>
        <w:tc>
          <w:tcPr>
            <w:tcW w:w="1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8/5/2021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71,186</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A-3</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60" w:type="dxa"/>
            <w:vAlign w:val="bottom"/>
            <w:vMerge w:val="restart"/>
          </w:tcPr>
          <w:p>
            <w:pPr>
              <w:spacing w:after="0"/>
              <w:rPr>
                <w:sz w:val="13"/>
                <w:szCs w:val="13"/>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408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Transaction Description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120" w:type="dxa"/>
            <w:vAlign w:val="bottom"/>
          </w:tcPr>
          <w:p>
            <w:pPr>
              <w:ind w:left="4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5"/>
                <w:szCs w:val="15"/>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Hering</w:t>
            </w: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6/30/2021</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1,282,310</w:t>
            </w:r>
          </w:p>
        </w:tc>
        <w:tc>
          <w:tcPr>
            <w:tcW w:w="100" w:type="dxa"/>
            <w:vAlign w:val="bottom"/>
            <w:tcBorders>
              <w:top w:val="single" w:sz="8" w:color="CCEEFF"/>
            </w:tcBorders>
            <w:shd w:val="clear" w:color="auto" w:fill="CCEEFF"/>
          </w:tcPr>
          <w:p>
            <w:pPr>
              <w:spacing w:after="0"/>
              <w:rPr>
                <w:sz w:val="17"/>
                <w:szCs w:val="17"/>
                <w:color w:val="auto"/>
              </w:rPr>
            </w:pPr>
          </w:p>
        </w:tc>
        <w:tc>
          <w:tcPr>
            <w:tcW w:w="40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1/30/2022</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475,000</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11/01/2021</w:t>
            </w: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514,863</w:t>
            </w:r>
          </w:p>
        </w:tc>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1/30/2022</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575,000</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 Pritchett Henderson</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1/13/2021</w:t>
            </w: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1,204,840</w:t>
            </w:r>
          </w:p>
        </w:tc>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5/7/2021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341,935</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1/30/2022</w:t>
            </w: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175,000</w:t>
            </w:r>
          </w:p>
        </w:tc>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Dabora</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9/28/2020</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330,880</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5/7/2021</w:t>
            </w: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569,890</w:t>
            </w:r>
          </w:p>
        </w:tc>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1/30/2022</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175,000</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Elham (Ellie) Hershberger</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6/22/2020</w:t>
            </w: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127,060</w:t>
            </w:r>
          </w:p>
        </w:tc>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stock option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9/28/2020</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254,115</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1/13/2021</w:t>
            </w: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254,115</w:t>
            </w:r>
          </w:p>
        </w:tc>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5/7/2021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284,945</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7/4/2021</w:t>
            </w: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192,565</w:t>
            </w:r>
          </w:p>
        </w:tc>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1/30/2022</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175,000</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grant of options to acquire common stock</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 Information Regarding Participants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Except as described in this proxy statement or this Appendix A, to the Company’s knowledge: none of the Participants or their associates (i) beneficially owns, directly or indirectly, or owns of record but not beneficially, any shares or other securities of the Company or any of the Company’s subsidiaries or (ii) has a substantial interest, direct or indirect, by security holdings or otherwise, in any matter to be acted upon at the Annual Meeting. In addition, neither the Company nor any of the Participants has been within the past year a party to any contract, arrangement or understanding with any person with respect to any of our securities, including, but not limited to, joint ventures, loan or option arrangements, puts or calls, guarantees against loss or guarantees of profit, division of losses or profits or the giving or withholding of proxies. Other than as set forth in Appendix A or this proxy statement, neither the Company nor any of the Participants or any of their associates or immediate family members have (i) any arrangements or understandings with any person with respect to any future employment by the Company or the Company’s affiliates or with respect to any future transactions to which the Company or any of its affiliates will or may be a party or (ii) a direct or indirect material interest in any transaction or series of similar transactions since the beginning of the fiscal year preceding the Company’s last fiscal year or any currently proposed transactions, to which the Company or any of its subsidiaries was or is to be a party in which the amount involved exceeded the lesser of (a) $120,000 or (b) one percent of the average of the Company’s total assets at year-end for the Company’s last two completed fiscal years. No Participant has been convicted in a criminal proceeding (excluding traffic violations and similar misdemeanors) during the past ten years.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THE BOARD TAKES NO POSITION AND MAKES NO RECOMMENDATION WITH RESPECT TO THE ELECTION OF DIRECTORS.</w:t>
      </w: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Remember, you can submit a proxy for your shares over the Internet or by telephone. Please follow the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instructions on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If you have any questions or need assistance in voting</w:t>
      </w:r>
    </w:p>
    <w:p>
      <w:pPr>
        <w:spacing w:after="0" w:line="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your shares, please contact our proxy solicitor:</w:t>
      </w:r>
    </w:p>
    <w:p>
      <w:pPr>
        <w:spacing w:after="0" w:line="207" w:lineRule="exact"/>
        <w:rPr>
          <w:sz w:val="20"/>
          <w:szCs w:val="20"/>
          <w:color w:val="auto"/>
        </w:rPr>
      </w:pPr>
    </w:p>
    <w:p>
      <w:pPr>
        <w:ind w:left="4640"/>
        <w:spacing w:after="0"/>
        <w:tabs>
          <w:tab w:leader="none" w:pos="6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-7620</wp:posOffset>
            </wp:positionV>
            <wp:extent cx="11709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60"/>
          </w:cols>
          <w:pgMar w:left="320" w:top="455"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lvl w:ilvl="1">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6"/>
    </w:lvl>
  </w:abstractNum>
  <w:abstractNum w:abstractNumId="21">
    <w:nsid w:val="7C3DBD3D"/>
    <w:multiLevelType w:val="hybridMultilevel"/>
    <w:lvl w:ilvl="0">
      <w:lvlJc w:val="left"/>
      <w:lvlText w:val="(%1)"/>
      <w:numFmt w:val="decimal"/>
      <w:start w:val="1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lowerRoman"/>
      <w:start w:val="2"/>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4"/>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2"/>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2022-04-26T07:50:54Z</dcterms:created>
  <dcterms:modified xsi:type="dcterms:W3CDTF">2022-04-26T07:50:54Z</dcterms:modified>
</cp:coreProperties>
</file>