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August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26"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1601 Trapelo Road, Suite 178</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Waltham, MA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02451</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09"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1" w:lineRule="exact"/>
        <w:rPr>
          <w:sz w:val="24"/>
          <w:szCs w:val="24"/>
          <w:color w:val="auto"/>
        </w:rPr>
      </w:pPr>
    </w:p>
    <w:p>
      <w:pPr>
        <w:ind w:left="640" w:right="979"/>
        <w:spacing w:after="0" w:line="266"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   Results of Operations and Financial Condition.</w:t>
      </w:r>
    </w:p>
    <w:p>
      <w:pPr>
        <w:spacing w:after="0" w:line="80" w:lineRule="exact"/>
        <w:rPr>
          <w:sz w:val="20"/>
          <w:szCs w:val="20"/>
          <w:color w:val="auto"/>
        </w:rPr>
      </w:pPr>
    </w:p>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On August 14, 2024, Invivyd, Inc. (the “Company”) issued a press release announcing its financial results for the quarter ended June 30, 2024, and recent business highlights. A copy of the press release is furnished as Exhibit 99.1 to this Current Report on Form 8-K and is incorporated by reference into this Item 2.02.</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8.01.   Other Events.</w:t>
      </w:r>
    </w:p>
    <w:p>
      <w:pPr>
        <w:spacing w:after="0" w:line="80"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On August 14, 2024, the Company posted an updated corporate presentation on its website at www.invivyd.com. A copy of the presentation is filed as Exhibit 99.2 to this Current Report on Form 8-K and is incorporated by reference into this Item 8.01.</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760" w:type="dxa"/>
            <w:vAlign w:val="bottom"/>
            <w:vMerge w:val="restart"/>
          </w:tcPr>
          <w:p>
            <w:pPr>
              <w:ind w:left="9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5"/>
                <w:szCs w:val="15"/>
                <w:color w:val="auto"/>
              </w:rPr>
            </w:pPr>
          </w:p>
        </w:tc>
        <w:tc>
          <w:tcPr>
            <w:tcW w:w="1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Press Release, dated August 14, 2024</w:t>
            </w:r>
          </w:p>
        </w:tc>
        <w:tc>
          <w:tcPr>
            <w:tcW w:w="5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Corporate Presentation, dated August 14, 2024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August 14,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197610" cy="174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7610" cy="1746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INVIVYD REPORTS SECOND QUARTER 2024 FINANCIAL RESULTS AND RECENT BUSINESS HIGHLIGHTS</w:t>
      </w:r>
    </w:p>
    <w:p>
      <w:pPr>
        <w:spacing w:after="0" w:line="87" w:lineRule="exact"/>
        <w:rPr>
          <w:sz w:val="20"/>
          <w:szCs w:val="20"/>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launched commercially in Q2 2024 with $2.3 million of net product revenue</w:t>
      </w:r>
    </w:p>
    <w:p>
      <w:pPr>
        <w:spacing w:after="0" w:line="4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Notable acceleration of commercial results in early Q3 2024, with the anticipated peak fall/winter respiratory virus season approaching</w:t>
      </w:r>
    </w:p>
    <w:p>
      <w:pPr>
        <w:spacing w:after="0" w:line="82" w:lineRule="exact"/>
        <w:rPr>
          <w:rFonts w:ascii="Times New Roman" w:cs="Times New Roman" w:eastAsia="Times New Roman" w:hAnsi="Times New Roman"/>
          <w:sz w:val="12"/>
          <w:szCs w:val="12"/>
          <w:color w:val="auto"/>
        </w:rPr>
      </w:pPr>
    </w:p>
    <w:p>
      <w:pPr>
        <w:ind w:left="1320" w:right="109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New commercial leadership with Chief Commercial Officer, Tim Lee, an experienced biopharmaceutical leader with demonstrated commercial success</w:t>
      </w:r>
    </w:p>
    <w:p>
      <w:pPr>
        <w:spacing w:after="0" w:line="52" w:lineRule="exact"/>
        <w:rPr>
          <w:rFonts w:ascii="Times New Roman" w:cs="Times New Roman" w:eastAsia="Times New Roman" w:hAnsi="Times New Roman"/>
          <w:sz w:val="13"/>
          <w:szCs w:val="13"/>
          <w:color w:val="auto"/>
        </w:rPr>
      </w:pPr>
    </w:p>
    <w:p>
      <w:pPr>
        <w:ind w:left="1320" w:right="75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Achieved Medicare and Medicaid coverage, rapid growth in commercial coverage across national and regional plans, and strong growth in infusion center utilization</w:t>
      </w:r>
    </w:p>
    <w:p>
      <w:pPr>
        <w:spacing w:after="0" w:line="52" w:lineRule="exact"/>
        <w:rPr>
          <w:rFonts w:ascii="Times New Roman" w:cs="Times New Roman" w:eastAsia="Times New Roman" w:hAnsi="Times New Roman"/>
          <w:sz w:val="13"/>
          <w:szCs w:val="13"/>
          <w:color w:val="auto"/>
        </w:rPr>
      </w:pPr>
    </w:p>
    <w:p>
      <w:pPr>
        <w:ind w:left="1320" w:right="81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Submitted Emergency Use Authorization (EUA) amendment request to U.S. FDA for PEMGARDA for the treatment of mild-to-moderate COVID-19 in certain immunocompromised patients</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Next generation molecule VYD2311 first-in-human clinical trial dosing scheduled to begin late August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Ended Q2 2024 with cash and cash equivalents of $147.9 million</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Management to host conference call today at 8:30AM ET</w:t>
      </w:r>
    </w:p>
    <w:p>
      <w:pPr>
        <w:spacing w:after="0" w:line="156"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color w:val="auto"/>
        </w:rPr>
        <w:t>WALTHAM, Mass., August 14, 2024 (GLOBE NEWSWIRE) — Invivyd, Inc. (Nasdaq: IVVD), a biopharmaceutical company devoted to delivering protection from serious viral infectious diseases, today announced financial results for the quarter ended June 30, 2024, and recent business highlights.</w:t>
      </w:r>
    </w:p>
    <w:p>
      <w:pPr>
        <w:spacing w:after="0" w:line="100"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Shortly after the PEMGARDA Emergency Use Authorization (EUA) was issued by the U.S. Food and Drug Administration (FDA) for pre-exposure prophylaxis (PrEP) of COVID-19 in certain immunocompromised patients, Invivyd transitioned its commercial strategy to reflect the novel features of a newly commercial COVID-19 PrEP antibody marketplace. This commercial transition was designed to increase the company’s capabilities and accelerate awareness and education about PEMGARDA across multiple stakeholders in the field including healthcare professionals (HCPs), academic and major community medical institutions, and high-volume infusion centers. Under new commercial leadership, the company has onboarded multiple, highly experienced biopharmaceutical commercial leaders with an eye toward activating the marketplace in the coming respiratory virus season.</w:t>
      </w:r>
    </w:p>
    <w:p>
      <w:pPr>
        <w:spacing w:after="0" w:line="123"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“Against the backdrop of rising, persistent COVID-19 disease, we are pleased with our progress in the quarter establishing a robust infrastructure to support PEMGARDA demand, access and utilization. We believe our early revenues reflect just the beginning of a unique, fast growing, medically critical prophylactic category in infectious disease. As we enter the peak fall/winter respiratory virus season, we aim to substantially increase PEMGARDA awareness and activation among HCPs, institutions, and vulnerable populations. Our expectation is that our ongoing commercial work can build a broad, high medical value category starting with PEMGARDA and continuing through novel pipeline molecules that may offer step changes in patient- and system-friendliness,” said Marc Elia, Chairperson of the Invivyd Board of Directors.</w:t>
      </w:r>
    </w:p>
    <w:p>
      <w:pPr>
        <w:spacing w:after="0" w:line="135"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In addition, Invivyd expects to initiate in late August dosing a first-in-human clinical trial for VYD2311, a next generation anti-RBD monoclonal antibody (mAb) with substantially increased measured in vitro potency to date and other potentially favorable biophysical properties. While Invivyd has secured more than 100,000 total doses of PEMGARDA, expected potency and associated potential improvements to dose may result in substantially greater commercial quantities of VYD2311 should the molecule achieve regulatory authorization.</w:t>
      </w:r>
    </w:p>
    <w:p>
      <w:pPr>
        <w:sectPr>
          <w:pgSz w:w="11900" w:h="16838" w:orient="portrait"/>
          <w:cols w:equalWidth="0" w:num="1">
            <w:col w:w="9019"/>
          </w:cols>
          <w:pgMar w:left="1440" w:top="125" w:right="1440" w:bottom="1440" w:gutter="0" w:footer="0" w:header="0"/>
        </w:sectPr>
      </w:pPr>
    </w:p>
    <w:bookmarkStart w:id="4" w:name="page5"/>
    <w:bookmarkEnd w:id="4"/>
    <w:p>
      <w:pPr>
        <w:ind w:left="640" w:right="65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“Over two months at Invivyd, my appreciation for the company’s unique technology platform and ability for PEMGARDA to address the significant COVID-19 unmet need for certain immunocompromised people has grown tremendously,” said Tim Lee, Chief Commercial Officer of Invivyd. “We are excited about the positive commercial momentum we’ve seen, doubling available infusion sites from the end of May to the end of June, and again doubling from the end of June to the end of last week. We are enthusiastic about our efforts to drive awareness of PEMGARDA in the HCP community, expand reach to additional infusion centers, and add new programs to support patients. The fall will be here in weeks and the team is ready for action.”</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Business Highlights</w:t>
      </w:r>
    </w:p>
    <w:p>
      <w:pPr>
        <w:spacing w:after="0" w:line="89"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Reported PEMGARDA net product revenue of $2.3 million in the second quarter of 2024.</w:t>
      </w:r>
    </w:p>
    <w:p>
      <w:pPr>
        <w:spacing w:after="0" w:line="87" w:lineRule="exact"/>
        <w:rPr>
          <w:rFonts w:ascii="Times New Roman" w:cs="Times New Roman" w:eastAsia="Times New Roman" w:hAnsi="Times New Roman"/>
          <w:sz w:val="13"/>
          <w:szCs w:val="13"/>
          <w:color w:val="auto"/>
        </w:rPr>
      </w:pPr>
    </w:p>
    <w:p>
      <w:pPr>
        <w:ind w:left="1320" w:right="719" w:hanging="303"/>
        <w:spacing w:after="0" w:line="248"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Announced general alignment with the FDA on an immunobridging pathway to future potential EUAs for serial, novel mAbs for the prevention and treatment of symptomatic COVID-19. This pathway, similar to the approach used to obtain EUA for PEMGARDA, provides for the establishment of a master, registrational clinical trial protocol that could obviate the need to submit a new protocol for the evaluation of each new mAb, streamlining the process required to evaluate new mAbs in compact clinical programs envisioned to include hundreds of participants (e.g., 300-600) exposed to a new mAb, with the specific number of exposures to be determined in consultation with the FDA.</w:t>
      </w:r>
    </w:p>
    <w:p>
      <w:pPr>
        <w:spacing w:after="0" w:line="68" w:lineRule="exact"/>
        <w:rPr>
          <w:rFonts w:ascii="Times New Roman" w:cs="Times New Roman" w:eastAsia="Times New Roman" w:hAnsi="Times New Roman"/>
          <w:sz w:val="13"/>
          <w:szCs w:val="13"/>
          <w:color w:val="auto"/>
        </w:rPr>
      </w:pPr>
    </w:p>
    <w:p>
      <w:pPr>
        <w:ind w:left="1320" w:right="79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Expanded organizational expertise adding new Chief Commercial Officer and two new independent directors to the company’s Board of Directors.</w:t>
      </w:r>
    </w:p>
    <w:p>
      <w:pPr>
        <w:spacing w:after="0" w:line="55" w:lineRule="exact"/>
        <w:rPr>
          <w:rFonts w:ascii="Times New Roman" w:cs="Times New Roman" w:eastAsia="Times New Roman" w:hAnsi="Times New Roman"/>
          <w:sz w:val="13"/>
          <w:szCs w:val="13"/>
          <w:color w:val="auto"/>
        </w:rPr>
      </w:pPr>
    </w:p>
    <w:p>
      <w:pPr>
        <w:ind w:left="1640" w:right="659" w:hanging="235"/>
        <w:spacing w:after="0" w:line="249" w:lineRule="auto"/>
        <w:tabs>
          <w:tab w:leader="none" w:pos="16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Timothy Lee joined in June 2024 as Invivyd’s new Chief Commercial Officer. While at Amylyx, the commercial organization generated $390 million in net product revenue in 14 months and was on track to be in the top five orphan drug launches. Tim also previously held key commercial leadership roles across a variety of life science companies including Biohaven Pharmaceuticals and Alexion Pharmaceuticals. Tim’s appointment is intended to accelerate the addition of commercial capabilities associated with orphan medicines to the ongoing PEMGARDA commercial launch.</w:t>
      </w:r>
    </w:p>
    <w:p>
      <w:pPr>
        <w:spacing w:after="0" w:line="67" w:lineRule="exact"/>
        <w:rPr>
          <w:rFonts w:ascii="Times New Roman" w:cs="Times New Roman" w:eastAsia="Times New Roman" w:hAnsi="Times New Roman"/>
          <w:sz w:val="13"/>
          <w:szCs w:val="13"/>
          <w:color w:val="auto"/>
        </w:rPr>
      </w:pPr>
    </w:p>
    <w:p>
      <w:pPr>
        <w:ind w:left="1640" w:right="679" w:hanging="235"/>
        <w:spacing w:after="0" w:line="267" w:lineRule="auto"/>
        <w:tabs>
          <w:tab w:leader="none" w:pos="16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Srishti Gupta, M.D. joined the company’s Board of Directors in May 2024 and is an experienced physician leader with over 20 years of experience in health and a global career spanning various sectors, including private, public, and non-profit.</w:t>
      </w:r>
    </w:p>
    <w:p>
      <w:pPr>
        <w:spacing w:after="0" w:line="55" w:lineRule="exact"/>
        <w:rPr>
          <w:rFonts w:ascii="Times New Roman" w:cs="Times New Roman" w:eastAsia="Times New Roman" w:hAnsi="Times New Roman"/>
          <w:sz w:val="13"/>
          <w:szCs w:val="13"/>
          <w:color w:val="auto"/>
        </w:rPr>
      </w:pPr>
    </w:p>
    <w:p>
      <w:pPr>
        <w:ind w:left="1640" w:right="759" w:hanging="235"/>
        <w:spacing w:after="0" w:line="267" w:lineRule="auto"/>
        <w:tabs>
          <w:tab w:leader="none" w:pos="16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Kevin F. McLaughlin joined the company’s Board of Directors in May 2024 bringing with him more than 40 years of financial and operating management experience spanning the biotech, high-tech and education industries.</w:t>
      </w:r>
    </w:p>
    <w:p>
      <w:pPr>
        <w:spacing w:after="0" w:line="55" w:lineRule="exact"/>
        <w:rPr>
          <w:rFonts w:ascii="Times New Roman" w:cs="Times New Roman" w:eastAsia="Times New Roman" w:hAnsi="Times New Roman"/>
          <w:sz w:val="13"/>
          <w:szCs w:val="13"/>
          <w:color w:val="auto"/>
        </w:rPr>
      </w:pPr>
    </w:p>
    <w:p>
      <w:pPr>
        <w:ind w:left="1320" w:right="719" w:hanging="303"/>
        <w:spacing w:after="0" w:line="272" w:lineRule="auto"/>
        <w:tabs>
          <w:tab w:leader="none" w:pos="1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Submitted EUA amendment request to FDA for PEMGARDA for the treatment of mild-to-moderate COVID-19 in certain immunocompromised patients. The submission is based on immunobridging analyses of pemivibart versus comparator mAbs and safety data from the CANOPY Phase 3 clinical trial. The immunobridging pathway for COVID-19 treatment was previously aligned in principle with FDA, similar to the approach utilized for the EUA of PEMGARDA for PrEP of COVID-19 in certain immunocompromised patients granted in March 2024. If authorized, we anticipate PEMGARDA would be the only mAb available for both PrEP of moderate to severe COVID-19 and treatment of mild-to-moderate COVID-19 in certain immunocompromised patients.</w:t>
      </w:r>
    </w:p>
    <w:p>
      <w:pPr>
        <w:sectPr>
          <w:pgSz w:w="11900" w:h="16838" w:orient="portrait"/>
          <w:cols w:equalWidth="0" w:num="1">
            <w:col w:w="9019"/>
          </w:cols>
          <w:pgMar w:left="1440" w:top="231" w:right="1440" w:bottom="1440" w:gutter="0" w:footer="0" w:header="0"/>
        </w:sectPr>
      </w:pPr>
    </w:p>
    <w:bookmarkStart w:id="5" w:name="page6"/>
    <w:bookmarkEnd w:id="5"/>
    <w:p>
      <w:pPr>
        <w:ind w:left="1320" w:hanging="303"/>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was added to the Russell 2000</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and Russell 3000</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Indexes.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Pipeline Highlights</w:t>
      </w:r>
    </w:p>
    <w:p>
      <w:pPr>
        <w:spacing w:after="0" w:line="89" w:lineRule="exact"/>
        <w:rPr>
          <w:sz w:val="20"/>
          <w:szCs w:val="20"/>
          <w:color w:val="auto"/>
        </w:rPr>
      </w:pPr>
    </w:p>
    <w:p>
      <w:pPr>
        <w:ind w:left="1320" w:right="819" w:hanging="303"/>
        <w:spacing w:after="0" w:line="248"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Announced antiviral activity of VYD222 (pemivibart) and VYD2311 against SARS-CoV-2 KP.1.1 FLiRT and KP.3 variants: Initial data demonstrated continued in vitro neutralization activity of VYD222 and VYD2311 in pseudovirus assays designed to represent the predominant emerging variants of SARS-CoV-2, including the KP.1.1 FLiRT and KP.3 variants. FLiRT variants are predicted to become the most dominant SARS-CoV-2 lineage nationally in the near term and accounted for over half of circulating SARS-CoV-2 variant sequences for the two-week period ending June 8, 2024, with KP.3 prevalence increasing per the Centers for Disease Control and Prevention.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Second Quarter 2024 Financial Results:</w:t>
      </w:r>
    </w:p>
    <w:p>
      <w:pPr>
        <w:spacing w:after="0" w:line="89" w:lineRule="exact"/>
        <w:rPr>
          <w:sz w:val="20"/>
          <w:szCs w:val="20"/>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Reported $2.3 million of net product revenue following the launch of PEMGARDA in the second quarter of 2024.</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Position: Cash and cash equivalents were $147.9 million as of June 30, 2024.</w:t>
      </w:r>
    </w:p>
    <w:p>
      <w:pPr>
        <w:spacing w:after="0" w:line="87" w:lineRule="exact"/>
        <w:rPr>
          <w:rFonts w:ascii="Times New Roman" w:cs="Times New Roman" w:eastAsia="Times New Roman" w:hAnsi="Times New Roman"/>
          <w:sz w:val="13"/>
          <w:szCs w:val="13"/>
          <w:color w:val="auto"/>
        </w:rPr>
      </w:pPr>
    </w:p>
    <w:p>
      <w:pPr>
        <w:ind w:left="1320" w:right="719" w:hanging="303"/>
        <w:spacing w:after="0" w:line="249"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2024 Year-End Cash Position: Based on current operating plans, Invivyd expects to end 2024 with at least $75 million in cash and cash equivalents, based on anticipated 2024 net product revenue of $150 million to $200 million and recent resource realignment. Invivyd is maintaining its existing guidance, although the previously issued guidance was based on PEMGARDA being authorized for PrEP of moderate to severe COVID-19 in certain immunocompromised people and did not contemplate any potential sales for COVID-19 treatment, if authorized, or inventory build that may be required to deliver medicine timely to patients in need.</w:t>
      </w:r>
    </w:p>
    <w:p>
      <w:pPr>
        <w:spacing w:after="0" w:line="67" w:lineRule="exact"/>
        <w:rPr>
          <w:rFonts w:ascii="Times New Roman" w:cs="Times New Roman" w:eastAsia="Times New Roman" w:hAnsi="Times New Roman"/>
          <w:sz w:val="13"/>
          <w:szCs w:val="13"/>
          <w:color w:val="auto"/>
        </w:rPr>
      </w:pPr>
    </w:p>
    <w:p>
      <w:pPr>
        <w:ind w:left="1320" w:right="679" w:hanging="303"/>
        <w:spacing w:after="0" w:line="255"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Research &amp; Development (R&amp;D) Expenses (including In-Process R&amp;D): R&amp;D expenses were $30.3 million for the quarter ended June 30, 2024, compared to $43.8 million for the comparable period of 2023. This decrease is primarily attributable to a decrease in commercial manufacturing costs of PEMGARDA and partially offset by an increase in VYD2311 manufacturing.</w:t>
      </w:r>
    </w:p>
    <w:p>
      <w:pPr>
        <w:spacing w:after="0" w:line="63" w:lineRule="exact"/>
        <w:rPr>
          <w:rFonts w:ascii="Times New Roman" w:cs="Times New Roman" w:eastAsia="Times New Roman" w:hAnsi="Times New Roman"/>
          <w:sz w:val="13"/>
          <w:szCs w:val="13"/>
          <w:color w:val="auto"/>
        </w:rPr>
      </w:pPr>
    </w:p>
    <w:p>
      <w:pPr>
        <w:ind w:left="1320" w:right="699" w:hanging="303"/>
        <w:spacing w:after="0" w:line="255"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Selling, General &amp; Administrative (SG&amp;A) Expenses: SG&amp;A expenses were $21.1 million for the quarter ended June 30, 2024, compared to $10.1 million for the comparable period of 2023. This increase is primarily attributable to an increase in personnel-related costs and commercial costs driven by the launch of PEMGARDA.</w:t>
      </w:r>
    </w:p>
    <w:p>
      <w:pPr>
        <w:spacing w:after="0" w:line="63" w:lineRule="exact"/>
        <w:rPr>
          <w:rFonts w:ascii="Times New Roman" w:cs="Times New Roman" w:eastAsia="Times New Roman" w:hAnsi="Times New Roman"/>
          <w:sz w:val="13"/>
          <w:szCs w:val="13"/>
          <w:color w:val="auto"/>
        </w:rPr>
      </w:pPr>
    </w:p>
    <w:p>
      <w:pPr>
        <w:ind w:left="1320" w:right="759" w:hanging="303"/>
        <w:spacing w:after="0" w:line="255"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Loss and Net Loss per Share: Net loss was $47.2 million for the quarter ended June 30, 2024, compared to $50.2 million for the comparable period in 2023. Basic and diluted net loss per share was $0.40 for the quarter ended June 30, 2024, compared to $0.46 for the comparable period in 2023.</w:t>
      </w:r>
    </w:p>
    <w:p>
      <w:pPr>
        <w:sectPr>
          <w:pgSz w:w="11900" w:h="16838" w:orient="portrait"/>
          <w:cols w:equalWidth="0" w:num="1">
            <w:col w:w="9019"/>
          </w:cols>
          <w:pgMar w:left="1440" w:top="231"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Conference Call &amp; Webcast</w:t>
      </w:r>
    </w:p>
    <w:p>
      <w:pPr>
        <w:spacing w:after="0" w:line="80"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Listeners can register for the webcast via this link. Analysts wishing to participate in the question and answer session should use this link. A replay of the webcast will be available via the company’s investor website approximately two hours after the call’s conclusion. Those who plan on participating are advised to join 15 minutes prior to the start time.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3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against major SARS-CoV-2 variants, including JN.1.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35"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w:t>
      </w:r>
    </w:p>
    <w:p>
      <w:pPr>
        <w:spacing w:after="0" w:line="136"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w:t>
      </w:r>
    </w:p>
    <w:p>
      <w:pPr>
        <w:sectPr>
          <w:pgSz w:w="11900" w:h="16838" w:orient="portrait"/>
          <w:cols w:equalWidth="0" w:num="1">
            <w:col w:w="9019"/>
          </w:cols>
          <w:pgMar w:left="1440" w:top="229"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Invivyd</w:t>
      </w:r>
    </w:p>
    <w:p>
      <w:pPr>
        <w:spacing w:after="0" w:line="80" w:lineRule="exact"/>
        <w:rPr>
          <w:sz w:val="20"/>
          <w:szCs w:val="20"/>
          <w:color w:val="auto"/>
        </w:rPr>
      </w:pPr>
    </w:p>
    <w:p>
      <w:pPr>
        <w:ind w:left="640" w:right="759"/>
        <w:spacing w:after="0" w:line="229"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The company’s proprietary INVYMAB</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Note Regarding Forward 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PEMGARDA as a mAb for COVID-19 PrEP in certain immunocompromised patients; the company’s plans, strategies, goals and expectations related to the commercialization of PEMGARDA; the company’s EUA amendment request to the FDA for PEMGARDA for the treatment of mild-to-moderate COVID-19 in certain immunocompromised patients; the company’s general alignment with the FDA on a immunobridging pathway to future potential EUAs for serial, novel mAbs for the prevention and treatment of symptomatic COVID-19, including the company’s beliefs regarding the potential benefits of utilizing such pathway; the company’s research and clinical development efforts, and the timing thereof, including with respect to a first-in-human clinical trial for VYD2311; the company’s expectation that PEMGARDA is the first mAb in a planned series of innovative antibody candidates; the company’s aim to build a broad, high medical value category starting with PEMGARDA and continuing through novel pipeline molecules; the future of the COVID-19 landscape, including the anticipated fall/winter respiratory virus season; the company’s anticipated 2024 net product revenue and projected 2024 year-end cash position; the company’s commitment to delivering protection from serious viral infectious diseases, beginning with SARS-CoV-2; the design of the company’s INVYMAB platform approach to facilitate the rapid, serial generation of new mAbs to address evolving viral threats;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how long the EUA granted by the FDA for PEMGARDA for COVID-19 PrEP in certain immunocompromised patients will remain in effect and whether such EUA is revoked or revised by the FDA; the company’s ability to maintain and expand sales, marketing and distribution capabilities to successfully commercialize PEMGARDA; changes in expected or existing competition; the outcome of the company’s EUA amendment request for PEMGARDA for treatment of mild-to-moderate COVID-19 in certain immunocompromised patients, and the timing thereof; uncertainties related to the regulatory authorization or approval process; changes in the regulatory environment; the timing and progress of the company’s discovery, preclinical and clinical development activities; unexpected safety or efficacy data observed during preclinical studies or clinical trials; the ability to maintain a continued acceptable safety, tolerability and efficacy profile of any product candidate following regulatory authorization or approval; the predictability of clinical success of the company’s product candidates based on neutralizing activity in nonclinical studies; the risk that results of nonclinical studies or clinical trials may not be predictive of future results, and interim data are subject to further analysis; the company’s</w:t>
      </w:r>
    </w:p>
    <w:p>
      <w:pPr>
        <w:sectPr>
          <w:pgSz w:w="11900" w:h="16838" w:orient="portrait"/>
          <w:cols w:equalWidth="0" w:num="1">
            <w:col w:w="9019"/>
          </w:cols>
          <w:pgMar w:left="1440" w:top="229" w:right="1440" w:bottom="1440" w:gutter="0" w:footer="0" w:header="0"/>
        </w:sectPr>
      </w:pPr>
    </w:p>
    <w:bookmarkStart w:id="8" w:name="page9"/>
    <w:bookmarkEnd w:id="8"/>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reliance on third parties with respect to virus assay creation and product candidate testing and with respect to its clinical trials; potential variability in neutralizing activity of product candidates tested in different assays, such as pseudovirus assays and authentic assays; variability of results in models used to predict activity against SARS-CoV-2 variants; whether PEMGARDA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distribute clinical and commercial supplies of its product candidates; whether the company can obtain and maintain third-party coverage and adequate reimbursement for PEMGARDA or any other product candidate; the company’s ability to build a broad, high medical value category starting with PEMGARDA and continuing through novel pipeline molecules; the company’s ability to leverage its INVYMAB platform approach to facilitate the rapid, serial generation of new mAbs to address evolving viral threats; any legal proceedings or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press release contains hyperlinks to information that is not deemed to be incorporated by reference in this press release.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Relations</w:t>
      </w:r>
    </w:p>
    <w:p>
      <w:pPr>
        <w:spacing w:after="0" w:line="15" w:lineRule="exact"/>
        <w:rPr>
          <w:sz w:val="20"/>
          <w:szCs w:val="20"/>
          <w:color w:val="auto"/>
        </w:rPr>
      </w:pPr>
    </w:p>
    <w:p>
      <w:pPr>
        <w:ind w:left="640" w:right="7319" w:hanging="3"/>
        <w:spacing w:after="0" w:line="287" w:lineRule="auto"/>
        <w:tabs>
          <w:tab w:leader="none" w:pos="94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208-0160 </w:t>
      </w:r>
      <w:r>
        <w:rPr>
          <w:rFonts w:ascii="Times New Roman" w:cs="Times New Roman" w:eastAsia="Times New Roman" w:hAnsi="Times New Roman"/>
          <w:sz w:val="12"/>
          <w:szCs w:val="12"/>
          <w:u w:val="single" w:color="auto"/>
          <w:color w:val="auto"/>
        </w:rPr>
        <w:t>media@invivyd.com</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15" w:lineRule="exact"/>
        <w:rPr>
          <w:sz w:val="20"/>
          <w:szCs w:val="20"/>
          <w:color w:val="auto"/>
        </w:rPr>
      </w:pPr>
    </w:p>
    <w:p>
      <w:pPr>
        <w:ind w:left="640" w:right="7179" w:hanging="3"/>
        <w:spacing w:after="0" w:line="287" w:lineRule="auto"/>
        <w:tabs>
          <w:tab w:leader="none" w:pos="94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208-0160 </w:t>
      </w:r>
      <w:r>
        <w:rPr>
          <w:rFonts w:ascii="Times New Roman" w:cs="Times New Roman" w:eastAsia="Times New Roman" w:hAnsi="Times New Roman"/>
          <w:sz w:val="12"/>
          <w:szCs w:val="12"/>
          <w:u w:val="single" w:color="auto"/>
          <w:color w:val="auto"/>
        </w:rPr>
        <w:t>investors@invivyd.com</w:t>
      </w:r>
    </w:p>
    <w:p>
      <w:pPr>
        <w:sectPr>
          <w:pgSz w:w="11900" w:h="16838" w:orient="portrait"/>
          <w:cols w:equalWidth="0" w:num="1">
            <w:col w:w="9019"/>
          </w:cols>
          <w:pgMar w:left="1440" w:top="231"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1"/>
        </w:trPr>
        <w:tc>
          <w:tcPr>
            <w:tcW w:w="62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2"/>
        </w:trPr>
        <w:tc>
          <w:tcPr>
            <w:tcW w:w="62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147,881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200,641</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2,888</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Inventory, net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5,333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16,909</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24,240</w:t>
            </w:r>
          </w:p>
        </w:tc>
        <w:tc>
          <w:tcPr>
            <w:tcW w:w="80" w:type="dxa"/>
            <w:vAlign w:val="bottom"/>
          </w:tcPr>
          <w:p>
            <w:pPr>
              <w:spacing w:after="0"/>
              <w:rPr>
                <w:sz w:val="13"/>
                <w:szCs w:val="13"/>
                <w:color w:val="auto"/>
              </w:rPr>
            </w:pPr>
          </w:p>
        </w:tc>
      </w:tr>
      <w:tr>
        <w:trPr>
          <w:trHeight w:val="151"/>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173,011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224,881</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1,772</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1,896</w:t>
            </w: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782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2,229</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3"/>
                <w:szCs w:val="13"/>
                <w:color w:val="auto"/>
              </w:rPr>
            </w:pPr>
          </w:p>
        </w:tc>
      </w:tr>
      <w:tr>
        <w:trPr>
          <w:trHeight w:val="159"/>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177,346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229,181</w:t>
            </w:r>
          </w:p>
        </w:tc>
      </w:tr>
      <w:tr>
        <w:trPr>
          <w:trHeight w:val="161"/>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Preferred Stock and Stockholders’ Equity</w:t>
            </w: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7,499</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7,953</w:t>
            </w: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26,822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40,860</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1,681</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1,443</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liability</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3"/>
                <w:szCs w:val="13"/>
                <w:color w:val="auto"/>
              </w:rPr>
            </w:pPr>
          </w:p>
        </w:tc>
      </w:tr>
      <w:tr>
        <w:trPr>
          <w:trHeight w:val="151"/>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36,704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50,291</w:t>
            </w:r>
          </w:p>
        </w:tc>
      </w:tr>
      <w:tr>
        <w:trPr>
          <w:trHeight w:val="151"/>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liability</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700</w:t>
            </w:r>
          </w:p>
        </w:tc>
      </w:tr>
      <w:tr>
        <w:trPr>
          <w:trHeight w:val="151"/>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liabilities</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36,704</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51,713</w:t>
            </w:r>
          </w:p>
        </w:tc>
        <w:tc>
          <w:tcPr>
            <w:tcW w:w="80" w:type="dxa"/>
            <w:vAlign w:val="bottom"/>
          </w:tcPr>
          <w:p>
            <w:pPr>
              <w:spacing w:after="0"/>
              <w:rPr>
                <w:sz w:val="13"/>
                <w:szCs w:val="13"/>
                <w:color w:val="auto"/>
              </w:rPr>
            </w:pPr>
          </w:p>
        </w:tc>
      </w:tr>
      <w:tr>
        <w:trPr>
          <w:trHeight w:val="151"/>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 (Note 9)</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 (deficit):</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6260" w:type="dxa"/>
            <w:vAlign w:val="bottom"/>
            <w:shd w:val="clear" w:color="auto" w:fill="CCEEFF"/>
          </w:tcPr>
          <w:p>
            <w:pPr>
              <w:ind w:left="500"/>
              <w:spacing w:after="0" w:line="139" w:lineRule="exact"/>
              <w:rPr>
                <w:sz w:val="20"/>
                <w:szCs w:val="20"/>
                <w:color w:val="auto"/>
              </w:rPr>
            </w:pPr>
            <w:r>
              <w:rPr>
                <w:rFonts w:ascii="Times New Roman" w:cs="Times New Roman" w:eastAsia="Times New Roman" w:hAnsi="Times New Roman"/>
                <w:sz w:val="13"/>
                <w:szCs w:val="13"/>
                <w:color w:val="auto"/>
              </w:rPr>
              <w:t>Preferred stock (undesignated), $0.0001 par value; 10,000,000 shares authorized and no shares issued and</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outstanding at June 30, 2024 and December 31, 2023</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39"/>
        </w:trPr>
        <w:tc>
          <w:tcPr>
            <w:tcW w:w="6260" w:type="dxa"/>
            <w:vAlign w:val="bottom"/>
          </w:tcPr>
          <w:p>
            <w:pPr>
              <w:ind w:left="500"/>
              <w:spacing w:after="0" w:line="139" w:lineRule="exact"/>
              <w:rPr>
                <w:sz w:val="20"/>
                <w:szCs w:val="20"/>
                <w:color w:val="auto"/>
              </w:rPr>
            </w:pPr>
            <w:r>
              <w:rPr>
                <w:rFonts w:ascii="Times New Roman" w:cs="Times New Roman" w:eastAsia="Times New Roman" w:hAnsi="Times New Roman"/>
                <w:sz w:val="13"/>
                <w:szCs w:val="13"/>
                <w:color w:val="auto"/>
              </w:rPr>
              <w:t>Common stock, $0.0001 par value; 1,000,000,000 shares authorized, 119,442,635 shares issued and</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26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outstanding at June 30, 2024; 110,160,684 shares issued and outstanding at December 31, 2023</w:t>
            </w:r>
          </w:p>
        </w:tc>
        <w:tc>
          <w:tcPr>
            <w:tcW w:w="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963,454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909,539</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4"/>
              </w:rPr>
              <w:t>(822,812)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(732,069)</w:t>
            </w:r>
          </w:p>
        </w:tc>
      </w:tr>
      <w:tr>
        <w:trPr>
          <w:trHeight w:val="151"/>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140,642</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177,468</w:t>
            </w:r>
          </w:p>
        </w:tc>
        <w:tc>
          <w:tcPr>
            <w:tcW w:w="80" w:type="dxa"/>
            <w:vAlign w:val="bottom"/>
          </w:tcPr>
          <w:p>
            <w:pPr>
              <w:spacing w:after="0"/>
              <w:rPr>
                <w:sz w:val="13"/>
                <w:szCs w:val="13"/>
                <w:color w:val="auto"/>
              </w:rPr>
            </w:pPr>
          </w:p>
        </w:tc>
      </w:tr>
      <w:tr>
        <w:trPr>
          <w:trHeight w:val="159"/>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liabilities, preferred stock and stockholders’ equity</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177,346</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229,181</w:t>
            </w:r>
          </w:p>
        </w:tc>
        <w:tc>
          <w:tcPr>
            <w:tcW w:w="8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AND COMPREHENSIVE LOSS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8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24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Six Months</w:t>
            </w:r>
          </w:p>
        </w:tc>
      </w:tr>
      <w:tr>
        <w:trPr>
          <w:trHeight w:val="104"/>
        </w:trPr>
        <w:tc>
          <w:tcPr>
            <w:tcW w:w="3760" w:type="dxa"/>
            <w:vAlign w:val="bottom"/>
          </w:tcPr>
          <w:p>
            <w:pPr>
              <w:spacing w:after="0"/>
              <w:rPr>
                <w:sz w:val="9"/>
                <w:szCs w:val="9"/>
                <w:color w:val="auto"/>
              </w:rPr>
            </w:pPr>
          </w:p>
        </w:tc>
        <w:tc>
          <w:tcPr>
            <w:tcW w:w="1060" w:type="dxa"/>
            <w:vAlign w:val="bottom"/>
            <w:gridSpan w:val="3"/>
          </w:tcPr>
          <w:p>
            <w:pPr>
              <w:jc w:val="center"/>
              <w:ind w:right="360"/>
              <w:spacing w:after="0" w:line="104" w:lineRule="exact"/>
              <w:rPr>
                <w:sz w:val="20"/>
                <w:szCs w:val="20"/>
                <w:color w:val="auto"/>
              </w:rPr>
            </w:pPr>
            <w:r>
              <w:rPr>
                <w:rFonts w:ascii="Times New Roman" w:cs="Times New Roman" w:eastAsia="Times New Roman" w:hAnsi="Times New Roman"/>
                <w:sz w:val="10"/>
                <w:szCs w:val="10"/>
                <w:b w:val="1"/>
                <w:bCs w:val="1"/>
                <w:color w:val="auto"/>
              </w:rPr>
              <w:t>Ended June 30,</w:t>
            </w:r>
          </w:p>
        </w:tc>
        <w:tc>
          <w:tcPr>
            <w:tcW w:w="1060" w:type="dxa"/>
            <w:vAlign w:val="bottom"/>
            <w:gridSpan w:val="3"/>
          </w:tcPr>
          <w:p>
            <w:pPr>
              <w:jc w:val="center"/>
              <w:ind w:right="360"/>
              <w:spacing w:after="0" w:line="104" w:lineRule="exact"/>
              <w:rPr>
                <w:sz w:val="20"/>
                <w:szCs w:val="20"/>
                <w:color w:val="auto"/>
              </w:rPr>
            </w:pPr>
            <w:r>
              <w:rPr>
                <w:rFonts w:ascii="Times New Roman" w:cs="Times New Roman" w:eastAsia="Times New Roman" w:hAnsi="Times New Roman"/>
                <w:sz w:val="10"/>
                <w:szCs w:val="10"/>
                <w:b w:val="1"/>
                <w:bCs w:val="1"/>
                <w:color w:val="auto"/>
              </w:rPr>
              <w:t>Ended June 30,</w:t>
            </w:r>
          </w:p>
        </w:tc>
        <w:tc>
          <w:tcPr>
            <w:tcW w:w="90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Ended June 30,</w:t>
            </w:r>
          </w:p>
        </w:tc>
        <w:tc>
          <w:tcPr>
            <w:tcW w:w="240" w:type="dxa"/>
            <w:vAlign w:val="bottom"/>
          </w:tcPr>
          <w:p>
            <w:pPr>
              <w:spacing w:after="0"/>
              <w:rPr>
                <w:sz w:val="9"/>
                <w:szCs w:val="9"/>
                <w:color w:val="auto"/>
              </w:rPr>
            </w:pPr>
          </w:p>
        </w:tc>
        <w:tc>
          <w:tcPr>
            <w:tcW w:w="72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0"/>
                <w:szCs w:val="10"/>
                <w:b w:val="1"/>
                <w:bCs w:val="1"/>
                <w:color w:val="auto"/>
                <w:w w:val="94"/>
              </w:rPr>
              <w:t>Ended June 30,</w:t>
            </w:r>
          </w:p>
        </w:tc>
      </w:tr>
      <w:tr>
        <w:trPr>
          <w:trHeight w:val="121"/>
        </w:trPr>
        <w:tc>
          <w:tcPr>
            <w:tcW w:w="37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3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80" w:type="dxa"/>
            <w:vAlign w:val="bottom"/>
            <w:tcBorders>
              <w:bottom w:val="single" w:sz="8" w:color="CCEEFF"/>
            </w:tcBorders>
          </w:tcPr>
          <w:p>
            <w:pPr>
              <w:spacing w:after="0"/>
              <w:rPr>
                <w:sz w:val="10"/>
                <w:szCs w:val="10"/>
                <w:color w:val="auto"/>
              </w:rPr>
            </w:pPr>
          </w:p>
        </w:tc>
      </w:tr>
      <w:tr>
        <w:trPr>
          <w:trHeight w:val="132"/>
        </w:trPr>
        <w:tc>
          <w:tcPr>
            <w:tcW w:w="37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Product revenue, net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3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2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3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revenue</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3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2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3"/>
                <w:szCs w:val="13"/>
                <w:color w:val="auto"/>
              </w:rPr>
            </w:pPr>
          </w:p>
        </w:tc>
      </w:tr>
      <w:tr>
        <w:trPr>
          <w:trHeight w:val="151"/>
        </w:trPr>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Operating costs and expenses: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Cost of product revenue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376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Research and development </w:t>
            </w:r>
            <w:r>
              <w:rPr>
                <w:rFonts w:ascii="Times New Roman" w:cs="Times New Roman" w:eastAsia="Times New Roman" w:hAnsi="Times New Roman"/>
                <w:sz w:val="17"/>
                <w:szCs w:val="17"/>
                <w:color w:val="auto"/>
                <w:vertAlign w:val="superscript"/>
              </w:rPr>
              <w:t>(1)</w:t>
            </w:r>
          </w:p>
        </w:tc>
        <w:tc>
          <w:tcPr>
            <w:tcW w:w="6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30,334</w:t>
            </w:r>
          </w:p>
        </w:tc>
        <w:tc>
          <w:tcPr>
            <w:tcW w:w="6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43,618</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61,494</w:t>
            </w:r>
          </w:p>
        </w:tc>
        <w:tc>
          <w:tcPr>
            <w:tcW w:w="24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70,819</w:t>
            </w:r>
          </w:p>
        </w:tc>
      </w:tr>
      <w:tr>
        <w:trPr>
          <w:trHeight w:val="152"/>
        </w:trPr>
        <w:tc>
          <w:tcPr>
            <w:tcW w:w="376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Acquired in-process research and development </w:t>
            </w:r>
            <w:r>
              <w:rPr>
                <w:rFonts w:ascii="Times New Roman" w:cs="Times New Roman" w:eastAsia="Times New Roman" w:hAnsi="Times New Roman"/>
                <w:sz w:val="17"/>
                <w:szCs w:val="17"/>
                <w:color w:val="auto"/>
                <w:vertAlign w:val="superscript"/>
              </w:rPr>
              <w:t>(2)</w:t>
            </w: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975</w:t>
            </w: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21,089</w:t>
            </w:r>
          </w:p>
        </w:tc>
        <w:tc>
          <w:tcPr>
            <w:tcW w:w="6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10,107</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36,018</w:t>
            </w:r>
          </w:p>
        </w:tc>
        <w:tc>
          <w:tcPr>
            <w:tcW w:w="24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21,152</w:t>
            </w:r>
          </w:p>
        </w:tc>
      </w:tr>
      <w:tr>
        <w:trPr>
          <w:trHeight w:val="20"/>
        </w:trPr>
        <w:tc>
          <w:tcPr>
            <w:tcW w:w="3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3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51,511</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53,875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97,600</w:t>
            </w:r>
          </w:p>
        </w:tc>
        <w:tc>
          <w:tcPr>
            <w:tcW w:w="24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92,946</w:t>
            </w:r>
          </w:p>
        </w:tc>
      </w:tr>
      <w:tr>
        <w:trPr>
          <w:trHeight w:val="151"/>
        </w:trPr>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(49,247)</w:t>
            </w:r>
          </w:p>
        </w:tc>
        <w:tc>
          <w:tcPr>
            <w:tcW w:w="3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(53,875)</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(95,336)</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(92,946)</w:t>
            </w:r>
          </w:p>
        </w:tc>
        <w:tc>
          <w:tcPr>
            <w:tcW w:w="80" w:type="dxa"/>
            <w:vAlign w:val="bottom"/>
          </w:tcPr>
          <w:p>
            <w:pPr>
              <w:spacing w:after="0"/>
              <w:rPr>
                <w:sz w:val="13"/>
                <w:szCs w:val="13"/>
                <w:color w:val="auto"/>
              </w:rPr>
            </w:pPr>
          </w:p>
        </w:tc>
      </w:tr>
      <w:tr>
        <w:trPr>
          <w:trHeight w:val="15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3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3,647</w:t>
            </w: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7,397</w:t>
            </w:r>
          </w:p>
        </w:tc>
        <w:tc>
          <w:tcPr>
            <w:tcW w:w="80" w:type="dxa"/>
            <w:vAlign w:val="bottom"/>
          </w:tcPr>
          <w:p>
            <w:pPr>
              <w:spacing w:after="0"/>
              <w:rPr>
                <w:sz w:val="13"/>
                <w:szCs w:val="13"/>
                <w:color w:val="auto"/>
              </w:rPr>
            </w:pPr>
          </w:p>
        </w:tc>
      </w:tr>
      <w:tr>
        <w:trPr>
          <w:trHeight w:val="151"/>
        </w:trPr>
        <w:tc>
          <w:tcPr>
            <w:tcW w:w="3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other income, net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2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7,397</w:t>
            </w:r>
          </w:p>
        </w:tc>
      </w:tr>
      <w:tr>
        <w:trPr>
          <w:trHeight w:val="151"/>
        </w:trPr>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(47,247)</w:t>
            </w:r>
          </w:p>
        </w:tc>
        <w:tc>
          <w:tcPr>
            <w:tcW w:w="3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(50,228)</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(90,743)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(85,549)</w:t>
            </w:r>
          </w:p>
        </w:tc>
        <w:tc>
          <w:tcPr>
            <w:tcW w:w="80" w:type="dxa"/>
            <w:vAlign w:val="bottom"/>
          </w:tcPr>
          <w:p>
            <w:pPr>
              <w:spacing w:after="0"/>
              <w:rPr>
                <w:sz w:val="13"/>
                <w:szCs w:val="13"/>
                <w:color w:val="auto"/>
              </w:rPr>
            </w:pPr>
          </w:p>
        </w:tc>
      </w:tr>
      <w:tr>
        <w:trPr>
          <w:trHeight w:val="15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Unrealized gain on available-for-sale securities, net of tax</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250</w:t>
            </w:r>
          </w:p>
        </w:tc>
      </w:tr>
      <w:tr>
        <w:trPr>
          <w:trHeight w:val="20"/>
        </w:trPr>
        <w:tc>
          <w:tcPr>
            <w:tcW w:w="3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(47,247)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(50,135)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(90,742)</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(85,299)</w:t>
            </w:r>
          </w:p>
        </w:tc>
      </w:tr>
      <w:tr>
        <w:trPr>
          <w:trHeight w:val="148"/>
        </w:trPr>
        <w:tc>
          <w:tcPr>
            <w:tcW w:w="37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Net loss per share attributable to common stockholders, basic and</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3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(0.40)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(0.46)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(0.77)</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(0.78)</w:t>
            </w:r>
          </w:p>
        </w:tc>
      </w:tr>
      <w:tr>
        <w:trPr>
          <w:trHeight w:val="28"/>
        </w:trPr>
        <w:tc>
          <w:tcPr>
            <w:tcW w:w="37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common shares outstanding, basic and diluted</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119,362,670</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109,450,071</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2"/>
              </w:rPr>
              <w:t>117,490,439</w:t>
            </w:r>
          </w:p>
        </w:tc>
        <w:tc>
          <w:tcPr>
            <w:tcW w:w="2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109,119,630</w:t>
            </w:r>
          </w:p>
        </w:tc>
      </w:tr>
      <w:tr>
        <w:trPr>
          <w:trHeight w:val="28"/>
        </w:trPr>
        <w:tc>
          <w:tcPr>
            <w:tcW w:w="37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7" w:lineRule="exact"/>
        <w:rPr>
          <w:sz w:val="20"/>
          <w:szCs w:val="20"/>
          <w:color w:val="auto"/>
        </w:rPr>
      </w:pPr>
    </w:p>
    <w:p>
      <w:pPr>
        <w:ind w:left="940" w:right="819" w:hanging="303"/>
        <w:spacing w:after="0" w:line="253"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$1,131 and $2,266 for the three and six months ended June 30, 2024, respectively, and $2,258 and $5,218 for the three and six months ended June 30, 2023, respectively.</w:t>
      </w:r>
    </w:p>
    <w:p>
      <w:pPr>
        <w:spacing w:after="0" w:line="1" w:lineRule="exact"/>
        <w:rPr>
          <w:rFonts w:ascii="Times New Roman" w:cs="Times New Roman" w:eastAsia="Times New Roman" w:hAnsi="Times New Roman"/>
          <w:sz w:val="13"/>
          <w:szCs w:val="13"/>
          <w:color w:val="auto"/>
        </w:rPr>
      </w:pPr>
    </w:p>
    <w:p>
      <w:pPr>
        <w:ind w:left="940" w:right="899" w:hanging="303"/>
        <w:spacing w:after="0" w:line="246"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no related-party amounts for both the three and six months ended June 30, 2024, and $0 and $375 for the three and six months ended June 30, 2023, respectively.</w:t>
      </w:r>
    </w:p>
    <w:p>
      <w:pPr>
        <w:sectPr>
          <w:pgSz w:w="11900" w:h="16838" w:orient="portrait"/>
          <w:cols w:equalWidth="0" w:num="1">
            <w:col w:w="9019"/>
          </w:cols>
          <w:pgMar w:left="1440" w:top="229" w:right="1440" w:bottom="1440" w:gutter="0" w:footer="0" w:header="0"/>
        </w:sectPr>
      </w:pPr>
    </w:p>
    <w:bookmarkStart w:id="11" w:name="page12"/>
    <w:bookmarkEnd w:id="11"/>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46"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781"/>
    </w:lvl>
  </w:abstractNum>
  <w:abstractNum w:abstractNumId="7">
    <w:nsid w:val="515F007C"/>
    <w:multiLevelType w:val="hybridMultilevel"/>
    <w:lvl w:ilvl="0">
      <w:lvlJc w:val="left"/>
      <w:lvlText w:val="(%1)"/>
      <w:numFmt w:val="decimal"/>
      <w:start w:val="78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2024-08-14T07:24:36Z</dcterms:created>
  <dcterms:modified xsi:type="dcterms:W3CDTF">2024-08-14T07:24:36Z</dcterms:modified>
</cp:coreProperties>
</file>