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FUND L 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13,619,218.00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13,619,218.00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13,619,218.00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13,619,218.00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13,619,218.00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13,619,218.00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9,954,397.00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9,954,397.00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9,954,397.00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II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9,954,397.00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9,954,397.00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9,954,397.00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Biotechnology Value Trading Fund OS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1,563,852.00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1,563,852.00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1,563,852.00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Partners OS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1,563,852.00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1,563,852.00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1,563,852.00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00534A102</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GP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23,573,615.00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23,573,615.00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23,573,615.00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25,525,000.00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25,525,000.00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25,525,000.00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BVF INC/IL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25,525,000.00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25,525,000.00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25,525,000.00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LAMPERT MARK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289"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25,525,000.00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25,525,000.00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25,525,000.00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289"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699"/>
        <w:spacing w:after="0"/>
        <w:rPr>
          <w:sz w:val="20"/>
          <w:szCs w:val="20"/>
          <w:color w:val="auto"/>
        </w:rPr>
      </w:pPr>
      <w:r>
        <w:rPr>
          <w:rFonts w:ascii="Times New Roman" w:cs="Times New Roman" w:eastAsia="Times New Roman" w:hAnsi="Times New Roman"/>
          <w:sz w:val="22"/>
          <w:szCs w:val="22"/>
          <w:color w:val="auto"/>
        </w:rPr>
        <w:t>209 CHURCH STREET, NEW HAVEN, CT 06510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355" w:right="1440" w:bottom="289" w:gutter="0" w:footer="0" w:header="0"/>
          <w:type w:val="continuous"/>
        </w:sectPr>
      </w:pPr>
    </w:p>
    <w:bookmarkStart w:id="8" w:name="page9"/>
    <w:bookmarkEnd w:id="8"/>
    <w:p>
      <w:pPr>
        <w:ind w:left="920" w:right="200"/>
        <w:spacing w:after="0" w:line="238" w:lineRule="auto"/>
        <w:rPr>
          <w:sz w:val="20"/>
          <w:szCs w:val="20"/>
          <w:color w:val="auto"/>
        </w:rPr>
      </w:pPr>
      <w:r>
        <w:rPr>
          <w:rFonts w:ascii="Times New Roman" w:cs="Times New Roman" w:eastAsia="Times New Roman" w:hAnsi="Times New Roman"/>
          <w:sz w:val="22"/>
          <w:szCs w:val="22"/>
          <w:color w:val="auto"/>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jc w:val="both"/>
        <w:ind w:left="920" w:right="100"/>
        <w:spacing w:after="0" w:line="253" w:lineRule="auto"/>
        <w:rPr>
          <w:sz w:val="20"/>
          <w:szCs w:val="20"/>
          <w:color w:val="auto"/>
        </w:rPr>
      </w:pPr>
      <w:r>
        <w:rPr>
          <w:rFonts w:ascii="Times New Roman" w:cs="Times New Roman" w:eastAsia="Times New Roman" w:hAnsi="Times New Roman"/>
          <w:sz w:val="21"/>
          <w:szCs w:val="21"/>
          <w:color w:val="auto"/>
        </w:rPr>
        <w:t>Biotechnology Value Fund, L.P. 44 Montgomery St., 40th Floor San Francisco, California 94104 BVF I GP LLC 44 Montgomery St., 40th Floor San Francisco, California 94104 Biotechnology Value Fund II, L.P. 44 Montgomery St.,</w:t>
      </w:r>
    </w:p>
    <w:p>
      <w:pPr>
        <w:spacing w:after="0" w:line="1" w:lineRule="exact"/>
        <w:rPr>
          <w:sz w:val="20"/>
          <w:szCs w:val="20"/>
          <w:color w:val="auto"/>
        </w:rPr>
      </w:pPr>
    </w:p>
    <w:p>
      <w:pPr>
        <w:ind w:left="920" w:right="120" w:hanging="912"/>
        <w:spacing w:after="0" w:line="211"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 Citizenship:</w:t>
      </w:r>
    </w:p>
    <w:p>
      <w:pPr>
        <w:spacing w:after="0" w:line="204" w:lineRule="exact"/>
        <w:rPr>
          <w:rFonts w:ascii="Times New Roman" w:cs="Times New Roman" w:eastAsia="Times New Roman" w:hAnsi="Times New Roman"/>
          <w:sz w:val="43"/>
          <w:szCs w:val="43"/>
          <w:color w:val="auto"/>
          <w:vertAlign w:val="subscript"/>
        </w:rPr>
      </w:pPr>
    </w:p>
    <w:p>
      <w:pPr>
        <w:ind w:left="92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00534A102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close of business on December 31, 2025, the Reporting Persons and a certain Partners managed account (the "Partners Managed Account") held certain Pre-Funded Warrants (the "Pre-Funded Warrants") exercisable for an aggregate of 6,000,000 shares of the Issuer's Common Stock, $0.0001 par value per share (the "Shares"). The Pre-Funded Warrants are exercisable at any time at an exercise price of $0.0001 per Share and do not expire until exercised in full. The Issuer may not effect the exercise of any Pre-Funded Warrant, and a holder will not be entitled to exercise any portion of any Pre-Funded Warrant that, upon giving effect to such exercise, would cause the aggregate number of Shares beneficially owned by such holder (together with its affiliates) to exceed 9.99% of the number of Shares outstanding immediately after giving effect to the exercise, as such percentage ownership is determined in accordance with the terms of the Pre-Funded Warrants (the "Pre-Funded Warrants Blocker"). As of the close of business on December 31, 2025, the Pre-Funded Warrants Blocker did not limit the exercise of any of the Pre-Funded Warrants held by the Reporting Persons or the Partners Managed Account. As of the close of business on December 31, 2025, (i) BVF beneficially owned 13,619,218 Shares, including 3,207,466 Shares underlying the Pre-Funded Warrants held by it, (ii) BVF2 beneficially owned 9,954,397 Shares, including 2,342,296 Shares underlying the Pre-Funded Warrants held by it, and (iii) Trading Fund OS beneficially owned 1,563,852 Shares, including 362,082 Shares underlying the Pre-Funded Warrants held by it.. BVF GP, as the general partner of BVF, may be deemed to beneficially own the 13,619,218 Shares beneficially owned by BVF. BVF2 GP, as the general partner of BVF2, may be deemed to beneficially own the 9,954,397 Shares beneficially owned by BVF2. Partners OS, as the</w:t>
      </w:r>
    </w:p>
    <w:p>
      <w:pPr>
        <w:sectPr>
          <w:pgSz w:w="11900" w:h="16839" w:orient="portrait"/>
          <w:cols w:equalWidth="0" w:num="1">
            <w:col w:w="11120"/>
          </w:cols>
          <w:pgMar w:left="360" w:top="111" w:right="419" w:bottom="0" w:gutter="0" w:footer="0" w:header="0"/>
        </w:sectPr>
      </w:pPr>
    </w:p>
    <w:bookmarkStart w:id="9" w:name="page10"/>
    <w:bookmarkEnd w:id="9"/>
    <w:p>
      <w:pPr>
        <w:ind w:left="920" w:right="40"/>
        <w:spacing w:after="0" w:line="244" w:lineRule="auto"/>
        <w:rPr>
          <w:sz w:val="20"/>
          <w:szCs w:val="20"/>
          <w:color w:val="auto"/>
        </w:rPr>
      </w:pPr>
      <w:r>
        <w:rPr>
          <w:rFonts w:ascii="Times New Roman" w:cs="Times New Roman" w:eastAsia="Times New Roman" w:hAnsi="Times New Roman"/>
          <w:sz w:val="21"/>
          <w:szCs w:val="21"/>
          <w:color w:val="auto"/>
        </w:rPr>
        <w:t>general partner of Trading Fund OS, may be deemed to beneficially own the 1,563,852 Shares beneficially owned by Trading Fund OS. BVF GPH, as the sole member of each of BVF GP and BVF2 GP, may be deemed to beneficially own the 23,573,615 Shares beneficially owned in the aggregate by BVF and BVF2. Partners, as the investment manager of BVF, BVF2 and Trading Fund OS, and the sole member of Partners OS, may be deemed to beneficially own the 25,525,000 Shares beneficially owned in the aggregate by BVF, BVF2 and Trading Fund OS and held in the Partners Managed Account, including 387,533 Shares held in the Partners Managed Account, which includes 88,156 underlying the Pre-Funded Warrants held in the Partners Managed Account. BVF Inc., as the general partner of Partners, may be deemed to beneficially own the 25,525,000 Shares beneficially owned by Partners. Mr. Lampert, as a director and officer of BVF Inc., may be deemed to beneficially own the 25,525,000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The following percentages are based upon a denominator that is the sum of: (i) 277,064,852 Shares outstanding as of November 19, 2025, which is the total number of Shares outstanding as reported in the Issuer's Prospectus Supplement filed with the Securities and Exchange Commission on November 19, 2025, and (ii) certain or all of the 6,000,000 Shares underlying the Pre-Funded Warrants held by the Reporting Persons and Partners Managed Account,</w:t>
      </w:r>
    </w:p>
    <w:p>
      <w:pPr>
        <w:spacing w:after="0" w:line="2" w:lineRule="exact"/>
        <w:rPr>
          <w:sz w:val="20"/>
          <w:szCs w:val="20"/>
          <w:color w:val="auto"/>
        </w:rPr>
      </w:pPr>
    </w:p>
    <w:p>
      <w:pPr>
        <w:ind w:left="920" w:right="80" w:hanging="912"/>
        <w:spacing w:after="0" w:line="216" w:lineRule="auto"/>
        <w:tabs>
          <w:tab w:leader="none" w:pos="920" w:val="left"/>
        </w:tabs>
        <w:numPr>
          <w:ilvl w:val="0"/>
          <w:numId w:val="1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as applicable. As of the close of business on December 31, 2025, (i) BVF beneficially owned approximately 4.9% of the outstanding Shares, (ii) BVF2 beneficially owned approximately 3.6% of the outstanding Shares, (iii) Trading Fund OS beneficially owned less than 1% of the outstanding Shares, (iv) BVF GP may be deemed to beneficially own approximately 4.9% of the outstanding Shares, (v) BVF2 GP may be deemed to beneficially own approximately 3.6% of the outstanding Shares, (vi) Partners OS may be deemed to beneficially own less than 1% of the outstanding Shares, (vii) BVF GPH may be deemed to beneficially own approximately 8.3% of the outstanding Shares, and (viii) each of Partners, BVF Inc. and Mr. Lampert may be deemed to beneficially own approximately 9.0% of the outstanding Shares (less than 1% of the outstanding Shares are held in the Partners Managed Account). %</w:t>
      </w:r>
    </w:p>
    <w:p>
      <w:pPr>
        <w:spacing w:after="0" w:line="17"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BVF GPH, Partners, BVF Inc. and Mr. Lampert share voting and dispositive power over the Shares beneficially owned by BVF and BVF2. Partners, BVF Inc. and Mr. Lampert share voting and dispositive power over the Shares beneficially owned by Trading Fund OS and held in the Partners Managed Account.</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ectPr>
          <w:pgSz w:w="11900" w:h="16838" w:orient="portrait"/>
          <w:cols w:equalWidth="0" w:num="2">
            <w:col w:w="620" w:space="300"/>
            <w:col w:w="10220"/>
          </w:cols>
          <w:pgMar w:left="360" w:top="111" w:right="399" w:bottom="0" w:gutter="0" w:footer="0" w:header="0"/>
          <w:type w:val="continuous"/>
        </w:sectPr>
      </w:pPr>
    </w:p>
    <w:bookmarkStart w:id="10" w:name="page11"/>
    <w:bookmarkEnd w:id="10"/>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4" w:lineRule="exact"/>
        <w:rPr>
          <w:sz w:val="20"/>
          <w:szCs w:val="20"/>
          <w:color w:val="auto"/>
        </w:rPr>
      </w:pPr>
    </w:p>
    <w:p>
      <w:pPr>
        <w:ind w:left="920" w:right="160"/>
        <w:spacing w:after="0" w:line="256" w:lineRule="auto"/>
        <w:rPr>
          <w:sz w:val="20"/>
          <w:szCs w:val="20"/>
          <w:color w:val="auto"/>
        </w:rPr>
      </w:pPr>
      <w:r>
        <w:rPr>
          <w:rFonts w:ascii="Times New Roman" w:cs="Times New Roman" w:eastAsia="Times New Roman" w:hAnsi="Times New Roman"/>
          <w:sz w:val="22"/>
          <w:szCs w:val="22"/>
          <w:color w:val="auto"/>
        </w:rPr>
        <w:t>See Exhibit 99.1. to the Schedule 13G filed by the Reporting Persons with the Securities and Exchange Commission on October 22, 2025.</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BIOTECHNOLOGY VALUE FUND L 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BVF I GP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BIOTECHNOLOGY VALUE FUND II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BVF II GP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Biotechnology Value Trading Fund OS LP</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BVF Partners OS Ltd.</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BVF GP HOLDINGS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BVF PARTNERS L P/IL</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Mark N. Lampert,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ectPr>
          <w:pgSz w:w="11900" w:h="16838" w:orient="portrait"/>
          <w:cols w:equalWidth="0" w:num="1">
            <w:col w:w="11140"/>
          </w:cols>
          <w:pgMar w:left="360" w:top="112" w:right="399" w:bottom="0" w:gutter="0" w:footer="0" w:header="0"/>
        </w:sectPr>
      </w:pPr>
    </w:p>
    <w:bookmarkStart w:id="11" w:name="page12"/>
    <w:bookmarkEnd w:id="11"/>
    <w:p>
      <w:pPr>
        <w:ind w:left="220"/>
        <w:spacing w:after="0"/>
        <w:rPr>
          <w:sz w:val="20"/>
          <w:szCs w:val="20"/>
          <w:color w:val="auto"/>
        </w:rPr>
      </w:pPr>
      <w:r>
        <w:rPr>
          <w:rFonts w:ascii="Times New Roman" w:cs="Times New Roman" w:eastAsia="Times New Roman" w:hAnsi="Times New Roman"/>
          <w:sz w:val="22"/>
          <w:szCs w:val="22"/>
          <w:color w:val="auto"/>
        </w:rPr>
        <w:t>BVF INC/IL</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Name/Title: Mark N. Lampert, Authorized Signatory</w:t>
      </w:r>
    </w:p>
    <w:p>
      <w:pPr>
        <w:spacing w:after="0" w:line="56"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LAMPERT MARK N</w:t>
      </w:r>
    </w:p>
    <w:p>
      <w:pPr>
        <w:spacing w:after="0" w:line="152" w:lineRule="exact"/>
        <w:rPr>
          <w:sz w:val="20"/>
          <w:szCs w:val="20"/>
          <w:color w:val="auto"/>
        </w:rPr>
      </w:pPr>
    </w:p>
    <w:p>
      <w:pPr>
        <w:ind w:left="198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N. Lampert</w:t>
      </w:r>
    </w:p>
    <w:p>
      <w:pPr>
        <w:spacing w:after="0" w:line="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Name/Title: Mark N. Lampert</w:t>
      </w:r>
    </w:p>
    <w:p>
      <w:pPr>
        <w:spacing w:after="0" w:line="44" w:lineRule="exact"/>
        <w:rPr>
          <w:sz w:val="20"/>
          <w:szCs w:val="20"/>
          <w:color w:val="auto"/>
        </w:rPr>
      </w:pPr>
    </w:p>
    <w:p>
      <w:pPr>
        <w:ind w:left="198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2026-02-17T17:24:55Z</dcterms:created>
  <dcterms:modified xsi:type="dcterms:W3CDTF">2026-02-17T17:24:55Z</dcterms:modified>
</cp:coreProperties>
</file>