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51"/>
        </w:trPr>
        <w:tc>
          <w:tcPr>
            <w:tcW w:w="3560" w:type="dxa"/>
            <w:vAlign w:val="bottom"/>
          </w:tcPr>
          <w:p>
            <w:pPr>
              <w:jc w:val="center"/>
              <w:ind w:right="177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21"/>
                <w:szCs w:val="21"/>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3"/>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
        </w:trPr>
        <w:tc>
          <w:tcPr>
            <w:tcW w:w="5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On September 23, 2024, Invivyd, Inc. issued a press release entitled “Invivyd Provides Detailed Virology Data and Analysis of SARS-CoV-2 Structural Biology Predicting Anticipated Neutralization Activity for PEMGARDA™ (pemivibart)” A copy of the press release is filed herewith as Exhibit 99.1 and is incorporated by reference in this Item 8.01.</w:t>
      </w:r>
    </w:p>
    <w:p>
      <w:pPr>
        <w:spacing w:after="0" w:line="18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September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875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7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September 23, 2024</w:t>
            </w:r>
          </w:p>
        </w:tc>
        <w:tc>
          <w:tcPr>
            <w:tcW w:w="7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05"/>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40"/>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150876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87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40"/>
        <w:spacing w:after="0" w:line="270" w:lineRule="auto"/>
        <w:rPr>
          <w:sz w:val="20"/>
          <w:szCs w:val="20"/>
          <w:color w:val="auto"/>
        </w:rPr>
      </w:pPr>
      <w:r>
        <w:rPr>
          <w:rFonts w:ascii="Arial" w:cs="Arial" w:eastAsia="Arial" w:hAnsi="Arial"/>
          <w:sz w:val="20"/>
          <w:szCs w:val="20"/>
          <w:b w:val="1"/>
          <w:bCs w:val="1"/>
          <w:color w:val="auto"/>
        </w:rPr>
        <w:t>Invivyd Provides Detailed Virology Data and Analysis of SARS-CoV-2 Structural Biology Predicting Anticipated Neutralization Activity for PEMGARDA™ (pemivibart)</w:t>
      </w:r>
    </w:p>
    <w:p>
      <w:pPr>
        <w:spacing w:after="0" w:line="133" w:lineRule="exact"/>
        <w:rPr>
          <w:sz w:val="20"/>
          <w:szCs w:val="20"/>
          <w:color w:val="auto"/>
        </w:rPr>
      </w:pPr>
    </w:p>
    <w:p>
      <w:pPr>
        <w:ind w:left="760" w:right="6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Independent evaluation of KP.3.1.1 and LB.1 variants shows in vitro pseudovirus neutralization potency of PEMGARDA in-line with prior variants tested</w:t>
      </w:r>
    </w:p>
    <w:p>
      <w:pPr>
        <w:spacing w:after="0" w:line="88" w:lineRule="exact"/>
        <w:rPr>
          <w:rFonts w:ascii="Times New Roman" w:cs="Times New Roman" w:eastAsia="Times New Roman" w:hAnsi="Times New Roman"/>
          <w:sz w:val="20"/>
          <w:szCs w:val="20"/>
          <w:color w:val="auto"/>
        </w:rPr>
      </w:pPr>
    </w:p>
    <w:p>
      <w:pPr>
        <w:ind w:left="760" w:right="260" w:hanging="378"/>
        <w:spacing w:after="0" w:line="256"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Proprietary, ongoing SARS-CoV-2 spike analyses demonstrate consistent structural stability of the pemivibart binding site to date, which has routinely predicted sustained pemivibart in vitro neutralization activity</w:t>
      </w:r>
    </w:p>
    <w:p>
      <w:pPr>
        <w:spacing w:after="0" w:line="75" w:lineRule="exact"/>
        <w:rPr>
          <w:rFonts w:ascii="Times New Roman" w:cs="Times New Roman" w:eastAsia="Times New Roman" w:hAnsi="Times New Roman"/>
          <w:sz w:val="20"/>
          <w:szCs w:val="20"/>
          <w:color w:val="auto"/>
        </w:rPr>
      </w:pPr>
    </w:p>
    <w:p>
      <w:pPr>
        <w:jc w:val="both"/>
        <w:ind w:left="760" w:right="180" w:hanging="378"/>
        <w:spacing w:after="0" w:line="241"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Potential emerging variants, such as XEC and LP.1, encode mutations that are distal from the pemivibart binding site, and, therefore, are also not expected to meaningfully alter pemivibart activity; routine neutralization analysis will follow in ordinary course to assess potential for epistasis or allostery</w:t>
      </w:r>
    </w:p>
    <w:p>
      <w:pPr>
        <w:spacing w:after="0" w:line="103"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WALTHAM, Mass., Sept. 23, 2024 (GLOBE NEWSWIRE) -- Invivyd, Inc. (Nasdaq: IVVD), a biopharmaceutical company devoted to delivering protection from serious viral infectious diseases, today provided detailed virology data supporting previously communicated neutralization activity results, along with a genetic and structural analysis of past and present SARS-CoV-2 variant spike proteins, including the established molecular target of pemivibart.</w:t>
      </w:r>
    </w:p>
    <w:p>
      <w:pPr>
        <w:spacing w:after="0" w:line="104"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As part of Invivyd’s ongoing monitoring of antiviral activity, Invivyd contracts with LabCorp’s Monogram Biosciences lab to provide independent, robust virology assessments in a consistent lineal chain that allows for consideration of potential changing pemivibart potency as SARS-CoV-2 evolves. Pemivibart potency against contemporary viruses KP.3.1.1 and LB.1 remains in-line with the totality of predominant variants dating back to 2022, including isolates identified during the conduct of the CANOPY Phase 3 clinical trial from late 2023 to early 2024. Data Table 1, below, provides relevant comparative values drawn from the PEMGARDA Healthcare Providers Fact Sheet.</w:t>
      </w:r>
    </w:p>
    <w:p>
      <w:pPr>
        <w:spacing w:after="0" w:line="91"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“Quantitative neutralization assays exhibit marked intrinsic variability. Since discovery, pemivibart has exhibited impressively stable neutralization results across a wide range of SARS-CoV-2 variants, including and through contemporary variants tested,” said Robert Allen, Ph.D., Chief Scientific Officer of Invivyd. “The values we observe thus far generally fall within the expected variability of the assay systems we employ.”</w:t>
      </w:r>
    </w:p>
    <w:p>
      <w:pPr>
        <w:spacing w:after="0" w:line="104"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Invivyd also provided an update to ongoing structural analysis showing no meaningful mutational change in the pemivibart binding site since the Omicron shift late in 2021. These data are presented in Figure 1 below. The pemivibart binding site is defined as a region of amino acid residues on the spike protein within 5 angstroms (5 Å) of the interaction between pemivibart and spike protein in a crystal structure and consists of 19 key amino acids. Invivyd’s ongoing genetic and structural analyses of these residues provide the underlying biological rationale for the company’s ongoing expectation for neutralization activity of pemivibart in the face of constant and convergent mutation in the SARS-CoV-2 spike protein. Analysis to date of all 19 amino acids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 xml:space="preserve">presented below shows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mutational change with ongoing stability to the binding site since the Omicron shift.</w:t>
      </w:r>
    </w:p>
    <w:p>
      <w:pPr>
        <w:spacing w:after="0" w:line="13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"To stay ahead of the curve, it is necessary to integrate data across multiple sources, including clinical and wastewater surveillance, as well as functional genomics. Invivyd's work over the last few years has achieved exactly that,” said Kristian Andersen, Ph.D., a professor in the Department of Immunology and Microbiology at Scripps Research and member of Invivyd's scientific advisory board. "Continued surveillance of SARS-CoV-2 evolution is critically important to ensure that we can effectively counter the threat posed by the virus."</w:t>
      </w:r>
    </w:p>
    <w:p>
      <w:pPr>
        <w:spacing w:after="0" w:line="105" w:lineRule="exact"/>
        <w:rPr>
          <w:sz w:val="20"/>
          <w:szCs w:val="20"/>
          <w:color w:val="auto"/>
        </w:rPr>
      </w:pPr>
    </w:p>
    <w:p>
      <w:pPr>
        <w:ind w:right="260"/>
        <w:spacing w:after="0" w:line="205" w:lineRule="auto"/>
        <w:rPr>
          <w:sz w:val="20"/>
          <w:szCs w:val="20"/>
          <w:color w:val="auto"/>
        </w:rPr>
      </w:pPr>
      <w:r>
        <w:rPr>
          <w:rFonts w:ascii="Arial" w:cs="Arial" w:eastAsia="Arial" w:hAnsi="Arial"/>
          <w:sz w:val="20"/>
          <w:szCs w:val="20"/>
          <w:b w:val="1"/>
          <w:bCs w:val="1"/>
          <w:color w:val="auto"/>
        </w:rPr>
        <w:t>Data Table 1: Pemivibart estimated neutralization potencies</w:t>
      </w:r>
      <w:r>
        <w:rPr>
          <w:rFonts w:ascii="Arial" w:cs="Arial" w:eastAsia="Arial" w:hAnsi="Arial"/>
          <w:sz w:val="26"/>
          <w:szCs w:val="26"/>
          <w:b w:val="1"/>
          <w:bCs w:val="1"/>
          <w:color w:val="auto"/>
          <w:vertAlign w:val="superscript"/>
        </w:rPr>
        <w:t>1</w:t>
      </w:r>
      <w:r>
        <w:rPr>
          <w:rFonts w:ascii="Arial" w:cs="Arial" w:eastAsia="Arial" w:hAnsi="Arial"/>
          <w:sz w:val="20"/>
          <w:szCs w:val="20"/>
          <w:b w:val="1"/>
          <w:bCs w:val="1"/>
          <w:color w:val="auto"/>
        </w:rPr>
        <w:t xml:space="preserve"> against past and current SARS-CoV-2 viral lineages of note from LabCorp’s Monogram Biosciences lab.</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Source: PEMGARDA Healthcare Providers Fact Sheet and Invivyd Data on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5349240" cy="4705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4705985"/>
                    </a:xfrm>
                    <a:prstGeom prst="rect">
                      <a:avLst/>
                    </a:prstGeom>
                    <a:noFill/>
                  </pic:spPr>
                </pic:pic>
              </a:graphicData>
            </a:graphic>
          </wp:anchor>
        </w:drawing>
      </w:r>
    </w:p>
    <w:p>
      <w:pPr>
        <w:sectPr>
          <w:pgSz w:w="11900" w:h="16838" w:orient="portrait"/>
          <w:cols w:equalWidth="0" w:num="1">
            <w:col w:w="11120"/>
          </w:cols>
          <w:pgMar w:left="320" w:top="1414" w:right="4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Figure 1: Updated Pemivibart Binding Site VivydTools Analysis</w:t>
      </w:r>
    </w:p>
    <w:p>
      <w:pPr>
        <w:spacing w:after="0" w:line="231"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The following images display each amino acid residue change from original B.1 Wuhan isolate SARS-CoV-2 within the 5 Å pemivibart binding site since April 2022</w:t>
      </w:r>
      <w:r>
        <w:rPr>
          <w:rFonts w:ascii="Arial" w:cs="Arial" w:eastAsia="Arial" w:hAnsi="Arial"/>
          <w:sz w:val="26"/>
          <w:szCs w:val="26"/>
          <w:b w:val="1"/>
          <w:bCs w:val="1"/>
          <w:color w:val="auto"/>
          <w:vertAlign w:val="superscript"/>
        </w:rPr>
        <w:t>2</w:t>
      </w:r>
      <w:r>
        <w:rPr>
          <w:rFonts w:ascii="Arial" w:cs="Arial" w:eastAsia="Arial" w:hAnsi="Arial"/>
          <w:sz w:val="20"/>
          <w:szCs w:val="20"/>
          <w:color w:val="auto"/>
        </w:rPr>
        <w:t xml:space="preserve">. Curves on the chart represent mutations appearing over time in the GISAID database of virus data, which includes more than 16 million sequences over the course of the SARS-CoV-2 pandemic. For context, presented below are sample mutations that lie </w:t>
      </w:r>
      <w:r>
        <w:rPr>
          <w:rFonts w:ascii="Arial" w:cs="Arial" w:eastAsia="Arial" w:hAnsi="Arial"/>
          <w:sz w:val="20"/>
          <w:szCs w:val="20"/>
          <w:i w:val="1"/>
          <w:iCs w:val="1"/>
          <w:color w:val="auto"/>
        </w:rPr>
        <w:t>within</w:t>
      </w:r>
      <w:r>
        <w:rPr>
          <w:rFonts w:ascii="Arial" w:cs="Arial" w:eastAsia="Arial" w:hAnsi="Arial"/>
          <w:sz w:val="20"/>
          <w:szCs w:val="20"/>
          <w:color w:val="auto"/>
        </w:rPr>
        <w:t xml:space="preserve"> the binding sites of past COVID-19 antibodies, denoted by color and notable for clear changes in dominant amino acid over the period 2022-present.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5349240" cy="290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firstLine="8"/>
        <w:spacing w:after="0" w:line="181" w:lineRule="auto"/>
        <w:tabs>
          <w:tab w:leader="none" w:pos="128" w:val="left"/>
        </w:tabs>
        <w:numPr>
          <w:ilvl w:val="0"/>
          <w:numId w:val="3"/>
        </w:numPr>
        <w:rPr>
          <w:rFonts w:ascii="Arial" w:cs="Arial" w:eastAsia="Arial" w:hAnsi="Arial"/>
          <w:sz w:val="24"/>
          <w:szCs w:val="24"/>
          <w:color w:val="auto"/>
          <w:vertAlign w:val="superscript"/>
        </w:rPr>
      </w:pPr>
      <w:r>
        <w:rPr>
          <w:rFonts w:ascii="Arial" w:cs="Arial" w:eastAsia="Arial" w:hAnsi="Arial"/>
          <w:sz w:val="13"/>
          <w:szCs w:val="13"/>
          <w:color w:val="auto"/>
        </w:rPr>
        <w:t>The x-axis (time) has been truncated for presentation purposes; all pemivibart binding site residues have demonstrated 99% or better genetic stability across all sequences deposited in GISAID since Omicron BA.1.</w:t>
      </w:r>
    </w:p>
    <w:p>
      <w:pPr>
        <w:spacing w:after="0" w:line="113" w:lineRule="exact"/>
        <w:rPr>
          <w:sz w:val="20"/>
          <w:szCs w:val="20"/>
          <w:color w:val="auto"/>
        </w:rPr>
      </w:pPr>
    </w:p>
    <w:p>
      <w:pPr>
        <w:jc w:val="both"/>
        <w:ind w:right="440"/>
        <w:spacing w:after="0" w:line="241" w:lineRule="auto"/>
        <w:rPr>
          <w:sz w:val="20"/>
          <w:szCs w:val="20"/>
          <w:color w:val="auto"/>
        </w:rPr>
      </w:pPr>
      <w:r>
        <w:rPr>
          <w:rFonts w:ascii="Arial" w:cs="Arial" w:eastAsia="Arial" w:hAnsi="Arial"/>
          <w:sz w:val="20"/>
          <w:szCs w:val="20"/>
          <w:color w:val="auto"/>
        </w:rPr>
        <w:t>By contrast, we observe near complete (99%+) genetic and structural stability of the pemivibart binding site residues since Omicron BA.1 over the same timeframe, as displayed in the 19 charts below that have minimal to no observable change in proportion of total sequences across all COVID-19 viral sequences deposited in GISAID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2" w:right="4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8571230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746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6746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8759825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34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480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PEMGARDA</w:t>
      </w:r>
    </w:p>
    <w:p>
      <w:pPr>
        <w:spacing w:after="0" w:line="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 xml:space="preserve">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neutralizing activity against major SARS-CoV-2 variants, including JN.1. PEMGARDA targets the SARS-CoV-2 spike protein receptor binding domain (RBD), thereby inhibiting virus attachment to the human ACE2 receptor on host cells.</w:t>
      </w:r>
    </w:p>
    <w:p>
      <w:pPr>
        <w:spacing w:after="0" w:line="17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PEMGARDA (pemivibart) injection (4500 mg), for intravenous use is an investigational mAb that has not been approved, but has been authorized for emergency use by the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72"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right="260"/>
        <w:spacing w:after="0" w:line="257" w:lineRule="auto"/>
        <w:rPr>
          <w:sz w:val="20"/>
          <w:szCs w:val="20"/>
          <w:color w:val="auto"/>
        </w:rPr>
      </w:pPr>
      <w:r>
        <w:rPr>
          <w:rFonts w:ascii="Arial" w:cs="Arial" w:eastAsia="Arial" w:hAnsi="Arial"/>
          <w:sz w:val="20"/>
          <w:szCs w:val="20"/>
          <w:color w:val="auto"/>
        </w:rPr>
        <w:t>fatigue, headache, and nausea. For additional information, please see the PEMGARDA full product Fact Sheet for Healthcare Providers, including important safety information and boxed warning.</w:t>
      </w:r>
    </w:p>
    <w:p>
      <w:pPr>
        <w:spacing w:after="0" w:line="155"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have substantially reduced susceptibility to PEMGARDA, and PEMGARDA may not be effective at preventing COVID-19 caused by these SARS-CoV-2 viral variants.</w:t>
      </w:r>
    </w:p>
    <w:p>
      <w:pPr>
        <w:spacing w:after="0" w:line="172"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6" w:lineRule="exact"/>
        <w:rPr>
          <w:sz w:val="20"/>
          <w:szCs w:val="20"/>
          <w:color w:val="auto"/>
        </w:rPr>
      </w:pPr>
    </w:p>
    <w:p>
      <w:pPr>
        <w:ind w:right="300"/>
        <w:spacing w:after="0" w:line="230"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 Looking Statements</w:t>
      </w:r>
    </w:p>
    <w:p>
      <w:pPr>
        <w:spacing w:after="0" w:line="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activities, as well as future potential research and clinical development efforts; the company’s predictions regarding anticipated neutralization activity of PEMGARDA™ (pemivibart) as a result of virology data and analysis of SARS-CoV-2 structural biology; the company’s ongoing monitoring of antiviral activity of pemivibart as SARS-CoV-2 evolves and the company’s ability to stay ahead of the curve; the company’s expectations regarding pemivibart neutralization activity against potential emerging variants, such as XEC and LP.1, given their encoded mutations,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 w:name="page11"/>
    <w:bookmarkEnd w:id="10"/>
    <w:p>
      <w:pPr>
        <w:spacing w:after="0" w:line="226" w:lineRule="auto"/>
        <w:rPr>
          <w:sz w:val="20"/>
          <w:szCs w:val="20"/>
          <w:color w:val="auto"/>
        </w:rPr>
      </w:pPr>
      <w:r>
        <w:rPr>
          <w:rFonts w:ascii="Arial" w:cs="Arial" w:eastAsia="Arial" w:hAnsi="Arial"/>
          <w:sz w:val="20"/>
          <w:szCs w:val="20"/>
          <w:color w:val="auto"/>
        </w:rPr>
        <w:t>company’s plans to conduct routine neutralization analysis of such variants in ordinary course; the potential benefits of continued surveillance of SARS-COV-2 evolutions; the company’s devotion to delivering protection from serious viral infectious diseases, beginning with SARS-CoV-2; the design of the company’s INVYMAB platform approach to facilitate the rapid, serial generation of new mAbs to address evolving viral threats; the potential of PEMGARDA as a mAb for pre-exposure prophylaxis (prevention) of COVID-19 in certain adults and adolescents who have moderate-to-severe immune compromise;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the predictability of sustained pemivibart in vitro neutralization activity based on the company’s SARS-CoV-2 spike analyses demonstrating consistent structural stability of the pemivibart binding site;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used to predict activity against SARS-CoV-2 variants; whether pemivibart or any other product candidate is able to demonstrate and sustain neutralizing activity against major SARS-CoV-2 variants, particularly in the face of viral evolution; how long the EUA granted by the FDA for PEMGARDA will remain in effect and whether the EUA is revoked or revised by the FDA; the company’s ability to build and maintain sales, marketing and distribution capabilities to successfully commercialize PEMGARDA; uncertainties related to the regulatory authorization or approval process, and available development and regulatory pathways for authorization or approval of the company’s product candidates; the ability to maintain a 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hyperlinks to information that is not deemed to be incorporated by reference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11" w:name="page12"/>
    <w:bookmarkEnd w:id="11"/>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b w:val="1"/>
          <w:bCs w:val="1"/>
          <w:color w:val="auto"/>
        </w:rPr>
        <w:t>Media Relations</w:t>
      </w:r>
    </w:p>
    <w:p>
      <w:pPr>
        <w:spacing w:after="0" w:line="1" w:lineRule="exact"/>
        <w:rPr>
          <w:sz w:val="20"/>
          <w:szCs w:val="20"/>
          <w:color w:val="auto"/>
        </w:rPr>
      </w:pPr>
    </w:p>
    <w:p>
      <w:pPr>
        <w:ind w:right="8359"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208-0160 media@invivyd.com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ind w:right="8099" w:firstLine="8"/>
        <w:spacing w:after="0" w:line="264" w:lineRule="auto"/>
        <w:tabs>
          <w:tab w:leader="none" w:pos="517" w:val="left"/>
        </w:tabs>
        <w:numPr>
          <w:ilvl w:val="0"/>
          <w:numId w:val="5"/>
        </w:numPr>
        <w:rPr>
          <w:rFonts w:ascii="Arial" w:cs="Arial" w:eastAsia="Arial" w:hAnsi="Arial"/>
          <w:sz w:val="19"/>
          <w:szCs w:val="19"/>
          <w:color w:val="auto"/>
        </w:rPr>
      </w:pPr>
      <w:r>
        <w:rPr>
          <w:rFonts w:ascii="Arial" w:cs="Arial" w:eastAsia="Arial" w:hAnsi="Arial"/>
          <w:sz w:val="19"/>
          <w:szCs w:val="19"/>
          <w:color w:val="auto"/>
        </w:rPr>
        <w:t>208-0160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1904365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decimal"/>
      <w:start w:val="781"/>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2024-09-23T06:15:36Z</dcterms:created>
  <dcterms:modified xsi:type="dcterms:W3CDTF">2024-09-23T06:15:36Z</dcterms:modified>
</cp:coreProperties>
</file>