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Sheffield 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Ian Sheffield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ivvd-ex24_1.htm"/>
      <w:bookmarkStart w:id="3" w:name="ksivvd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br/>
        <w:t>FOR SECTION 16 AND RULE 144 REPORTING OBLIGATIONS</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William E. Duke, Jill Andersen, Katherine Fisher, Kiernan Decker, Stephen Nicolai, Amanda Brown and Tyler Glass,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 (“EDGAR”), including causing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noBreakHyphen/>
        <w:t>in</w:t>
        <w:noBreakHyphen/>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30th day of August,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sz w:val="22"/>
        </w:rPr>
      </w:pPr>
      <w:r>
        <w:rPr>
          <w:rFonts w:ascii="Times New Roman" w:hAnsi="Times New Roman"/>
          <w:color w:val="000000"/>
          <w:sz w:val="22"/>
          <w:u w:val="single"/>
        </w:rPr>
        <w:t xml:space="preserve">/s/ Ian Sheffield </w:t>
        <w:br/>
      </w:r>
      <w:r>
        <w:rPr>
          <w:rFonts w:ascii="Times New Roman" w:hAnsi="Times New Roman"/>
          <w:b/>
          <w:color w:val="000000"/>
          <w:sz w:val="22"/>
        </w:rPr>
        <w:t>Ian Sheffield</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4410" TargetMode="External"/><Relationship Id="rId3" Type="http://schemas.openxmlformats.org/officeDocument/2006/relationships/hyperlink" Target="http://www.sec.gov/cgi-bin/browse-edgar?action=getcompany&amp;CIK=0001832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1213</Words>
  <Characters>6581</Characters>
  <CharactersWithSpaces>7739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