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On January 10, 2025, Invivyd, Inc. issued a press release entitled “Invivyd Announces Continued Neutralizing Activity of PEMGARDA™ (pemivibart) against dominant SARS-CoV-2 Variant XEC.” A copy of the press release is filed herewith as Exhibit 99.1 and is incorporated by reference in this Item 8.01.</w:t>
      </w:r>
    </w:p>
    <w:p>
      <w:pPr>
        <w:spacing w:after="0" w:line="17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January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-20320</wp:posOffset>
            </wp:positionV>
            <wp:extent cx="174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January 10, 2025</w:t>
            </w:r>
          </w:p>
        </w:tc>
        <w:tc>
          <w:tcPr>
            <w:tcW w:w="76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27"/>
        </w:trPr>
        <w:tc>
          <w:tcPr>
            <w:tcW w:w="36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20574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00"/>
        <w:spacing w:after="0" w:line="272" w:lineRule="auto"/>
        <w:rPr>
          <w:sz w:val="20"/>
          <w:szCs w:val="20"/>
          <w:color w:val="auto"/>
        </w:rPr>
      </w:pPr>
      <w:r>
        <w:rPr>
          <w:rFonts w:ascii="Arial" w:cs="Arial" w:eastAsia="Arial" w:hAnsi="Arial"/>
          <w:sz w:val="22"/>
          <w:szCs w:val="22"/>
          <w:b w:val="1"/>
          <w:bCs w:val="1"/>
          <w:color w:val="auto"/>
        </w:rPr>
        <w:t>INVIVYD ANNOUNCES CONTINUED NEUTRALIZING ACTIVITY OF PEMGARDA™ (PEMIVIBART) AGAINST DOMINANT SARS-COV-2 VARIANT XEC</w:t>
      </w:r>
    </w:p>
    <w:p>
      <w:pPr>
        <w:spacing w:after="0" w:line="158" w:lineRule="exact"/>
        <w:rPr>
          <w:sz w:val="20"/>
          <w:szCs w:val="20"/>
          <w:color w:val="auto"/>
        </w:rPr>
      </w:pPr>
    </w:p>
    <w:p>
      <w:pPr>
        <w:ind w:left="1020" w:right="980" w:hanging="503"/>
        <w:spacing w:after="0" w:line="239"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New in vitro neutralization data show continued, consistent neutralizing activity of PEMGARDA™ (pemivibart) against XEC</w:t>
      </w:r>
    </w:p>
    <w:p>
      <w:pPr>
        <w:spacing w:after="0" w:line="1" w:lineRule="exact"/>
        <w:rPr>
          <w:rFonts w:ascii="Times New Roman" w:cs="Times New Roman" w:eastAsia="Times New Roman" w:hAnsi="Times New Roman"/>
          <w:sz w:val="22"/>
          <w:szCs w:val="22"/>
          <w:color w:val="auto"/>
        </w:rPr>
      </w:pPr>
    </w:p>
    <w:p>
      <w:pPr>
        <w:ind w:left="1020" w:right="1300" w:hanging="503"/>
        <w:spacing w:after="0" w:line="230"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Centers for Disease Control reports XEC and KP.3.1.1 (previously disclosed as susceptible to PEMGARDA) together constitute the majority of national SARS-CoV-2 variants</w:t>
      </w:r>
    </w:p>
    <w:p>
      <w:pPr>
        <w:ind w:left="1020" w:right="900" w:hanging="503"/>
        <w:spacing w:after="0" w:line="230"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XEC data underscore continued pemivibart activity in the face of virus evolution including recently emerging types of structural changes to spike N-terminal domain</w:t>
      </w:r>
    </w:p>
    <w:p>
      <w:pPr>
        <w:ind w:left="1020" w:right="940" w:hanging="503"/>
        <w:spacing w:after="0" w:line="230"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Data submitted to FDA, with timely update to PEMGARDA™ Fact Sheet for Healthcare Providers anticipated</w:t>
      </w:r>
    </w:p>
    <w:p>
      <w:pPr>
        <w:ind w:left="1020" w:right="720" w:hanging="503"/>
        <w:spacing w:after="0" w:line="236"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Continued consistent activity for almost three years, with no meaningful change to pemivibart neutralization activity anticipated for the foreseeable future if the epitope pemivibart targets remains structurally intact, as it has since Omicron BA.1</w:t>
      </w:r>
    </w:p>
    <w:p>
      <w:pPr>
        <w:spacing w:after="0" w:line="299" w:lineRule="exact"/>
        <w:rPr>
          <w:sz w:val="20"/>
          <w:szCs w:val="20"/>
          <w:color w:val="auto"/>
        </w:rPr>
      </w:pPr>
    </w:p>
    <w:p>
      <w:pPr>
        <w:ind w:right="200"/>
        <w:spacing w:after="0" w:line="229" w:lineRule="auto"/>
        <w:rPr>
          <w:sz w:val="20"/>
          <w:szCs w:val="20"/>
          <w:color w:val="auto"/>
        </w:rPr>
      </w:pPr>
      <w:r>
        <w:rPr>
          <w:rFonts w:ascii="Arial" w:cs="Arial" w:eastAsia="Arial" w:hAnsi="Arial"/>
          <w:sz w:val="22"/>
          <w:szCs w:val="22"/>
          <w:color w:val="auto"/>
        </w:rPr>
        <w:t>WALTHAM, Mass., Jan. 10, 2025 (GLOBE NEWSWIRE) -- Invivyd, Inc. (Nasdaq: IVVD), a biopharmaceutical company devoted to delivering protection from serious viral infectious diseases, today announced that new in vitro neutralization data show continued neutralizing activity of PEMGARDA</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(pemivibart) and pipeline candidate VYD2311 against dominant SARS-CoV-2 variant XEC. As anticipated based on the structural biology of pemivibart and VYD2311, the data are largely consistent with those previously reported for KP.3.1.1. The Centers for Disease Control (CDC) estimates that XEC and KP.3.1.1 accounted for an aggregate 69% of U.S. circulating variants of SARS-CoV-2 for the two weeks ended December 21, 2024. Invivyd generated these new data as part of its ongoing industrial virology effort, which leverages a consistent, high-quality, independent, third-party pseudoviral system that routinely tests authentic Invivyd-produced pemivibart and is supported by extensive structure-based and proprietary analytics.</w:t>
      </w:r>
    </w:p>
    <w:p>
      <w:pPr>
        <w:spacing w:after="0" w:line="301"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Invivyd has demonstrated positive PEMGARDA neutralization activity against over 75% of currently circulating U.S. variants, and all prior variants, tested to date. Further, the company estimates that every clinical variant reported in the CDC COVID Tracker since the Omicron BA.1 lineage has been susceptible to pemivibart even if untested due to the consistent structural integrity of the pemivibart epitope. Therefore, Invivyd does not anticipate any meaningful change to pemivibart neutralization activity, aside from expected normal quantitative variation in assay output, for the foreseeable future if the epitope pemivibart targets remains structurally intact, as it has since Omicron BA.1.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spacing w:after="0" w:line="249" w:lineRule="auto"/>
        <w:rPr>
          <w:sz w:val="20"/>
          <w:szCs w:val="20"/>
          <w:color w:val="auto"/>
        </w:rPr>
      </w:pPr>
      <w:r>
        <w:rPr>
          <w:rFonts w:ascii="Arial" w:cs="Arial" w:eastAsia="Arial" w:hAnsi="Arial"/>
          <w:sz w:val="21"/>
          <w:szCs w:val="21"/>
          <w:color w:val="auto"/>
        </w:rPr>
        <w:t>“We designed pemivibart and our pipeline molecules to resist the effects of evolution,” said Robert Allen, Ph.D., Chief Scientific Officer. “Pemivibart has now demonstrated antiviral activity in neutralization assays representing thirty-nine distinct SARS-CoV-2 variants across almost three years of rapid virus evolution. The ongoing pemivibart activity, with minimal quantitative change in neutralization activity, especially as compared to predecessor medicines such as Evusheld™ (tixagavimab/cilgavimab), is incredibly reassuring and validating of our fundamental R&amp;D engine and potentiates our ability to successfully drug this target for long periods of time despite evolutionary pressure.”</w:t>
      </w:r>
    </w:p>
    <w:p>
      <w:pPr>
        <w:spacing w:after="0" w:line="10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“Invivyd has worked to construct what we believe is the world’s most advanced and capable antibody discovery and virology platform designed to provide best-in-class molecules and virologic assessment,” noted Marc Elia, Chairman of Invivyd Board of Directors. “Therefore, we are pleased but not surprised by today’s robust data that confirm ongoing PEMGARDA™ (pemivibart) neutralizing activity against key current circulating viral lineages.”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“Amidst the continual mutations that characterize SARS-CoV-2, proactively monitoring viral evolution as Invivyd is doing is a necessity in order to continuously test PEMGARDA against emerging variants of SARS-CoV- 2,” noted Amesh Adalja, MD, FIDSA, FACP, FACEP, Senior Scholar, Johns Hopkins Center for Health Security. “It is reassuring that PEMGARDA continues to show neutralizing activity against XEC, the current dominant circulating variant in the U.S. As we see COVID-19 numbers continue to rise through the respiratory season, PEMGARDA offers a valuable tool for certain moderately to severely immunocompromised patients who need options.”</w:t>
      </w:r>
    </w:p>
    <w:p>
      <w:pPr>
        <w:spacing w:after="0" w:line="114"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Data showing continued in vitro neutralizing activity of PEMGARDA™ (pemivibart) against XEC have been submitted to the U.S. Food and Drug Administration (FDA), with a timely update to the PEMGARDA Fact Sheet for Healthcare Providers anticipated.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PEMGARDA</w:t>
      </w:r>
    </w:p>
    <w:p>
      <w:pPr>
        <w:spacing w:after="0" w:line="12" w:lineRule="exact"/>
        <w:rPr>
          <w:sz w:val="20"/>
          <w:szCs w:val="20"/>
          <w:color w:val="auto"/>
        </w:rPr>
      </w:pPr>
    </w:p>
    <w:p>
      <w:pPr>
        <w:jc w:val="both"/>
        <w:ind w:right="500"/>
        <w:spacing w:after="0" w:line="241" w:lineRule="auto"/>
        <w:rPr>
          <w:sz w:val="20"/>
          <w:szCs w:val="20"/>
          <w:color w:val="auto"/>
        </w:rPr>
      </w:pPr>
      <w:r>
        <w:rPr>
          <w:rFonts w:ascii="Arial" w:cs="Arial" w:eastAsia="Arial" w:hAnsi="Arial"/>
          <w:sz w:val="21"/>
          <w:szCs w:val="21"/>
          <w:color w:val="auto"/>
        </w:rPr>
        <w:t>PEMGARDA™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w:t>
      </w:r>
    </w:p>
    <w:p>
      <w:pPr>
        <w:spacing w:after="0" w:line="2" w:lineRule="exact"/>
        <w:rPr>
          <w:sz w:val="20"/>
          <w:szCs w:val="20"/>
          <w:color w:val="auto"/>
        </w:rPr>
      </w:pPr>
    </w:p>
    <w:p>
      <w:pPr>
        <w:jc w:val="both"/>
        <w:ind w:right="560"/>
        <w:spacing w:after="0" w:line="237" w:lineRule="auto"/>
        <w:rPr>
          <w:sz w:val="20"/>
          <w:szCs w:val="20"/>
          <w:color w:val="auto"/>
        </w:rPr>
      </w:pPr>
      <w:r>
        <w:rPr>
          <w:rFonts w:ascii="Arial" w:cs="Arial" w:eastAsia="Arial" w:hAnsi="Arial"/>
          <w:sz w:val="22"/>
          <w:szCs w:val="22"/>
          <w:color w:val="auto"/>
        </w:rPr>
        <w:t>PEMGARDA has demonstrated in vitro neutralizing activity against major SARS-CoV-2 variants, including JN.1, KP.3.1.1 and XEC. PEMGARDA targets the SARS-CoV-2 spike protein receptor binding domain (RBD), thereby inhibiting virus attachment to the human ACE2 receptor on host cells.</w:t>
      </w:r>
    </w:p>
    <w:p>
      <w:pPr>
        <w:spacing w:after="0" w:line="108"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5" w:name="page6"/>
    <w:bookmarkEnd w:id="5"/>
    <w:p>
      <w:pPr>
        <w:ind w:right="180"/>
        <w:spacing w:after="0"/>
        <w:rPr>
          <w:sz w:val="20"/>
          <w:szCs w:val="20"/>
          <w:color w:val="auto"/>
        </w:rPr>
      </w:pPr>
      <w:r>
        <w:rPr>
          <w:rFonts w:ascii="Arial" w:cs="Arial" w:eastAsia="Arial" w:hAnsi="Arial"/>
          <w:sz w:val="22"/>
          <w:szCs w:val="22"/>
          <w:color w:val="auto"/>
        </w:rPr>
        <w:t>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09"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PEMGARDA is not authorized for use for treatment of COVID-19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1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0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VYD2311</w:t>
      </w:r>
    </w:p>
    <w:p>
      <w:pPr>
        <w:spacing w:after="0" w:line="1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VYD2311 is a novel monoclonal antibody (mAb) candidate being developed for COVID-19 to continue to address the urgent need for new therapeutic options for vulnerable populations, including immunocompromised people.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VYD2311 was engineered from adintrevimab, Invivyd’s investigational mAb that has a robust safety data package and demonstrated clinically meaningful results in global Phase 3 clinical trials for both the prevention and treatment of COVID-19. The pharmacokinetic profile of VYD2311 may offer the ability to deliver clinically meaningful titer levels through more patient-friendly means such as an intramuscular route of administration.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Invivyd</w:t>
      </w:r>
    </w:p>
    <w:p>
      <w:pPr>
        <w:spacing w:after="0" w:line="12"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Invivyd, Inc. (Nasdaq: IVVD) is a biopharmaceutical company devoted to delivering protection from serious viral infectious diseases, beginning with SARS-CoV-2. The company’s proprietary INVYMAB™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https://invivyd.com/ to learn more.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Trademarks are the property of their respective owners.</w:t>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 Looking Statements</w:t>
      </w:r>
    </w:p>
    <w:p>
      <w:pPr>
        <w:spacing w:after="0" w:line="12"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Words such as “anticipates,” “believes,” “could,” “expects,” “estimates,”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development activities, as well as future potential research and development efforts; the company’s ongoing industrial virology effort, which leverages a consistent, high-quality, independent, third-party pseudoviral system that routinely tests authentic Invivyd-produced pemivibart and is supported by extensive structure-based analytics and proprietary analytics; the ongoing in vitro neutralizing activity of PEMGARDA against major SARS-CoV-2 variants; anticipated timely updates to the PEMGARDA Fact Sheet for Healthcare Providers; the company’s expectations regarding the neutralization activity of pemivibart for the foreseeable future; the design of pemivibart and the company’s pipeline molecules to resist the effects of evolution; the company’s beliefs regarding the potential of its fundamental R&amp;D engine and ability to successfully drug its target for long periods of time despite evolutionary pressure; the company’s beliefs regarding its antibody discovery and virology platform and its potential to provide best-in-class molecules and virologic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242" w:lineRule="auto"/>
        <w:rPr>
          <w:sz w:val="20"/>
          <w:szCs w:val="20"/>
          <w:color w:val="auto"/>
        </w:rPr>
      </w:pPr>
      <w:r>
        <w:rPr>
          <w:rFonts w:ascii="Arial" w:cs="Arial" w:eastAsia="Arial" w:hAnsi="Arial"/>
          <w:sz w:val="21"/>
          <w:szCs w:val="21"/>
          <w:color w:val="auto"/>
        </w:rPr>
        <w:t>assessment; the potential of PEMGARDA as a mAb for pre-exposure prophylaxis (prevention) of COVID-19 in certain adults and adolescents who have moderate-to-severe immune compromise; the potential ability of VYD2311 to deliver clinically meaningful titer levels through more patient-friendly means such as an intramuscular route of administration; the company’s devotion to delivering protection from serious viral infectious diseases, beginning with SARS-CoV-2; the design of the company’s INVYMAB platform approach to facilitate the rapid, serial generation of new mAbs to address evolving viral threats;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and progress of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the company’s reliance on third parties with respect to virus assay creation and product candidate testing and with respect to its clinical trials; variability of results in models and methods used to predict activity against SARS-CoV-2 variants; whether the epitope that pemivibart targets remains structurally intact; whether pemivibart, VYD2311 or any other product candidate is able to demonstrate and sustain neutralizing activity against major SARS-CoV-2 variants, particularly in the face of viral evolution; how long the EUA granted by the FDA for PEMGARDA will remain in effect and whether the EUA is revised or revoked by the FDA; the company’s ability to maintain and expand sales, marketing and distribution capabilities to successfully commercialize PEMGARDA; uncertainties related to the regulatory authorization or approval process, and available development and regulatory pathways for authorization or approval of the company’s product candidates; the ability to maintain a continued acceptable safety, tolerability and efficacy profile of any product candidate following regulatory authorization or approval; changes in the regulatory environment; changes in expected or existing competition; the complexities of manufacturing mAb therapies; the company’s ability to leverage its INVYMAB platform approach to facilitate the rapid, serial generation of new mAbs to address evolving viral threats;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September 30, 2024, each filed with the Securities and Exchange Commission (SEC), and in the company’s other filings with the SEC, and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1039495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8" w:name="page9"/>
    <w:bookmarkEnd w:id="8"/>
    <w:p>
      <w:pPr>
        <w:ind w:right="260"/>
        <w:spacing w:after="0" w:line="245" w:lineRule="auto"/>
        <w:rPr>
          <w:sz w:val="20"/>
          <w:szCs w:val="20"/>
          <w:color w:val="auto"/>
        </w:rPr>
      </w:pPr>
      <w:r>
        <w:rPr>
          <w:rFonts w:ascii="Arial" w:cs="Arial" w:eastAsia="Arial" w:hAnsi="Arial"/>
          <w:sz w:val="22"/>
          <w:szCs w:val="22"/>
          <w:color w:val="auto"/>
        </w:rPr>
        <w:t>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This press release contains hyperlinks to information that is not deemed to be incorporated by reference in this press release.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Relations</w:t>
      </w:r>
    </w:p>
    <w:p>
      <w:pPr>
        <w:ind w:right="9200" w:firstLine="8"/>
        <w:spacing w:after="0" w:line="263" w:lineRule="auto"/>
        <w:tabs>
          <w:tab w:leader="none" w:pos="564" w:val="left"/>
        </w:tabs>
        <w:numPr>
          <w:ilvl w:val="0"/>
          <w:numId w:val="3"/>
        </w:numPr>
        <w:rPr>
          <w:rFonts w:ascii="Arial" w:cs="Arial" w:eastAsia="Arial" w:hAnsi="Arial"/>
          <w:sz w:val="21"/>
          <w:szCs w:val="21"/>
          <w:color w:val="auto"/>
        </w:rPr>
      </w:pPr>
      <w:r>
        <w:rPr>
          <w:rFonts w:ascii="Arial" w:cs="Arial" w:eastAsia="Arial" w:hAnsi="Arial"/>
          <w:sz w:val="21"/>
          <w:szCs w:val="21"/>
          <w:color w:val="auto"/>
        </w:rPr>
        <w:t>208-0160 media@invivyd.com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12" w:lineRule="exact"/>
        <w:rPr>
          <w:sz w:val="20"/>
          <w:szCs w:val="20"/>
          <w:color w:val="auto"/>
        </w:rPr>
      </w:pPr>
    </w:p>
    <w:p>
      <w:pPr>
        <w:ind w:right="8920" w:firstLine="8"/>
        <w:spacing w:after="0" w:line="263" w:lineRule="auto"/>
        <w:tabs>
          <w:tab w:leader="none" w:pos="564" w:val="left"/>
        </w:tabs>
        <w:numPr>
          <w:ilvl w:val="0"/>
          <w:numId w:val="4"/>
        </w:numPr>
        <w:rPr>
          <w:rFonts w:ascii="Arial" w:cs="Arial" w:eastAsia="Arial" w:hAnsi="Arial"/>
          <w:sz w:val="21"/>
          <w:szCs w:val="21"/>
          <w:color w:val="auto"/>
        </w:rPr>
      </w:pPr>
      <w:r>
        <w:rPr>
          <w:rFonts w:ascii="Arial" w:cs="Arial" w:eastAsia="Arial" w:hAnsi="Arial"/>
          <w:sz w:val="21"/>
          <w:szCs w:val="21"/>
          <w:color w:val="auto"/>
        </w:rPr>
        <w:t>208-0160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781"/>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2025-01-10T06:11:18Z</dcterms:created>
  <dcterms:modified xsi:type="dcterms:W3CDTF">2025-01-10T06:11:18Z</dcterms:modified>
</cp:coreProperties>
</file>