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ind w:left="20"/>
              <w:spacing w:after="0"/>
              <w:rPr>
                <w:rFonts w:ascii="Arial" w:cs="Arial" w:eastAsia="Arial" w:hAnsi="Arial"/>
                <w:sz w:val="21"/>
                <w:szCs w:val="21"/>
                <w:color w:val="0000EE"/>
                <w:w w:val="96"/>
              </w:rPr>
            </w:pPr>
            <w:hyperlink r:id="rId8">
              <w:r>
                <w:rPr>
                  <w:rFonts w:ascii="Arial" w:cs="Arial" w:eastAsia="Arial" w:hAnsi="Arial"/>
                  <w:sz w:val="21"/>
                  <w:szCs w:val="21"/>
                  <w:color w:val="0000EE"/>
                  <w:w w:val="96"/>
                </w:rPr>
                <w:t>Berry Tamsin</w:t>
              </w:r>
            </w:hyperlink>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9"/>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Invivyd,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IVVD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05/23/2023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INVIVYD,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rPr>
              <w:t>1601 TRAPELO ROAD, SUITE 178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restart"/>
          </w:tcPr>
          <w:p>
            <w:pPr>
              <w:ind w:left="20"/>
              <w:spacing w:after="0" w:line="164" w:lineRule="exact"/>
              <w:rPr>
                <w:sz w:val="20"/>
                <w:szCs w:val="20"/>
                <w:color w:val="auto"/>
              </w:rPr>
            </w:pPr>
            <w:r>
              <w:rPr>
                <w:rFonts w:ascii="Arial" w:cs="Arial" w:eastAsia="Arial" w:hAnsi="Arial"/>
                <w:sz w:val="17"/>
                <w:szCs w:val="17"/>
                <w:color w:val="0000FF"/>
              </w:rPr>
              <w:t>WALTHAM</w:t>
            </w:r>
          </w:p>
        </w:tc>
        <w:tc>
          <w:tcPr>
            <w:tcW w:w="118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5"/>
          </w:tcPr>
          <w:p>
            <w:pPr>
              <w:spacing w:after="0"/>
              <w:rPr>
                <w:sz w:val="6"/>
                <w:szCs w:val="6"/>
                <w:color w:val="auto"/>
              </w:rPr>
            </w:pPr>
          </w:p>
        </w:tc>
        <w:tc>
          <w:tcPr>
            <w:tcW w:w="1060" w:type="dxa"/>
            <w:vAlign w:val="bottom"/>
            <w:tcBorders>
              <w:bottom w:val="single" w:sz="8" w:color="2C2C2C"/>
            </w:tcBorders>
            <w:gridSpan w:val="6"/>
          </w:tcPr>
          <w:p>
            <w:pPr>
              <w:spacing w:after="0"/>
              <w:rPr>
                <w:sz w:val="6"/>
                <w:szCs w:val="6"/>
                <w:color w:val="auto"/>
              </w:rPr>
            </w:pPr>
          </w:p>
        </w:tc>
        <w:tc>
          <w:tcPr>
            <w:tcW w:w="420" w:type="dxa"/>
            <w:vAlign w:val="bottom"/>
            <w:tcBorders>
              <w:bottom w:val="single" w:sz="8" w:color="2C2C2C"/>
            </w:tcBorders>
            <w:gridSpan w:val="2"/>
          </w:tcPr>
          <w:p>
            <w:pPr>
              <w:spacing w:after="0"/>
              <w:rPr>
                <w:sz w:val="6"/>
                <w:szCs w:val="6"/>
                <w:color w:val="auto"/>
              </w:rPr>
            </w:pPr>
          </w:p>
        </w:tc>
        <w:tc>
          <w:tcPr>
            <w:tcW w:w="258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1"/>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5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11"/>
              <w:spacing w:after="0"/>
              <w:rPr>
                <w:sz w:val="20"/>
                <w:szCs w:val="20"/>
                <w:color w:val="auto"/>
              </w:rPr>
            </w:pPr>
            <w:r>
              <w:rPr>
                <w:rFonts w:ascii="Arial" w:cs="Arial" w:eastAsia="Arial" w:hAnsi="Arial"/>
                <w:sz w:val="13"/>
                <w:szCs w:val="13"/>
                <w:color w:val="0000FF"/>
              </w:rPr>
              <w:t>05/23/2023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Arial" w:cs="Arial" w:eastAsia="Arial" w:hAnsi="Arial"/>
                <w:sz w:val="13"/>
                <w:szCs w:val="13"/>
                <w:color w:val="0000FF"/>
              </w:rPr>
              <w:t>50,000</w:t>
            </w:r>
          </w:p>
        </w:tc>
        <w:tc>
          <w:tcPr>
            <w:tcW w:w="300" w:type="dxa"/>
            <w:vAlign w:val="bottom"/>
          </w:tcPr>
          <w:p>
            <w:pPr>
              <w:spacing w:after="0"/>
              <w:rPr>
                <w:sz w:val="17"/>
                <w:szCs w:val="17"/>
                <w:color w:val="auto"/>
              </w:rPr>
            </w:pP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05/22/2033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50,000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62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May 23, 2023 and vests in full upon the earlier of (i) May 23, 2024 or (ii) the date of the Issuer's 2024 Annual Meeting of Stockholders, subject to the Reporting Person's continuous service through such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7"/>
              </w:rPr>
              <w:t>/s/ Jill Andersen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05/25/2023</w:t>
            </w:r>
          </w:p>
        </w:tc>
        <w:tc>
          <w:tcPr>
            <w:tcW w:w="0" w:type="dxa"/>
            <w:vAlign w:val="bottom"/>
          </w:tcPr>
          <w:p>
            <w:pPr>
              <w:spacing w:after="0"/>
              <w:rPr>
                <w:sz w:val="1"/>
                <w:szCs w:val="1"/>
                <w:color w:val="auto"/>
              </w:rPr>
            </w:pPr>
          </w:p>
        </w:tc>
      </w:tr>
      <w:tr>
        <w:trPr>
          <w:trHeight w:val="84"/>
        </w:trPr>
        <w:tc>
          <w:tcPr>
            <w:tcW w:w="14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fact for Tamsin Berry</w:t>
            </w:r>
          </w:p>
        </w:tc>
        <w:tc>
          <w:tcPr>
            <w:tcW w:w="4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924202" TargetMode="External"/><Relationship Id="rId9"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2023-05-25T17:42:22Z</dcterms:created>
  <dcterms:modified xsi:type="dcterms:W3CDTF">2023-05-25T17:42:22Z</dcterms:modified>
</cp:coreProperties>
</file>