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Redmile Group,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Adagio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ADGI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LETTERMAN DRIVE,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BUILDING D</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D3-300</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57"/>
        <w:spacing w:after="0" w:line="186" w:lineRule="auto"/>
        <w:rPr>
          <w:sz w:val="20"/>
          <w:szCs w:val="20"/>
          <w:color w:val="auto"/>
        </w:rPr>
      </w:pPr>
      <w:r>
        <w:rPr>
          <w:rFonts w:ascii="Arial" w:cs="Arial" w:eastAsia="Arial" w:hAnsi="Arial"/>
          <w:sz w:val="38"/>
          <w:szCs w:val="38"/>
          <w:color w:val="0000FF"/>
          <w:vertAlign w:val="superscript"/>
        </w:rPr>
        <w:t>SAN</w:t>
      </w:r>
      <w:r>
        <w:rPr>
          <w:rFonts w:ascii="Arial" w:cs="Arial" w:eastAsia="Arial" w:hAnsi="Arial"/>
          <w:sz w:val="19"/>
          <w:szCs w:val="19"/>
          <w:color w:val="0000FF"/>
        </w:rPr>
        <w:t xml:space="preserve"> CA 94129 FRANCISCO</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4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4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4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18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8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7"/>
                <w:szCs w:val="17"/>
                <w:color w:val="auto"/>
              </w:rPr>
            </w:pPr>
          </w:p>
        </w:tc>
        <w:tc>
          <w:tcPr>
            <w:tcW w:w="118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Series C Preferred Stock</w:t>
            </w:r>
          </w:p>
        </w:tc>
        <w:tc>
          <w:tcPr>
            <w:tcW w:w="1000" w:type="dxa"/>
            <w:vAlign w:val="bottom"/>
            <w:tcBorders>
              <w:bottom w:val="single" w:sz="8" w:color="2C2C2C"/>
            </w:tcBorders>
          </w:tcPr>
          <w:p>
            <w:pPr>
              <w:jc w:val="right"/>
              <w:ind w:right="347"/>
              <w:spacing w:after="0"/>
              <w:rPr>
                <w:sz w:val="20"/>
                <w:szCs w:val="20"/>
                <w:color w:val="auto"/>
              </w:rPr>
            </w:pPr>
            <w:r>
              <w:rPr>
                <w:rFonts w:ascii="Arial" w:cs="Arial" w:eastAsia="Arial" w:hAnsi="Arial"/>
                <w:sz w:val="13"/>
                <w:szCs w:val="13"/>
                <w:color w:val="008000"/>
              </w:rPr>
              <w:t>(1)</w:t>
            </w:r>
          </w:p>
        </w:tc>
        <w:tc>
          <w:tcPr>
            <w:tcW w:w="88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3"/>
                <w:szCs w:val="13"/>
                <w:color w:val="008000"/>
              </w:rPr>
              <w:t>(1)</w:t>
            </w:r>
          </w:p>
        </w:tc>
        <w:tc>
          <w:tcPr>
            <w:tcW w:w="1660" w:type="dxa"/>
            <w:vAlign w:val="bottom"/>
            <w:tcBorders>
              <w:bottom w:val="single" w:sz="8" w:color="2C2C2C"/>
            </w:tcBorders>
          </w:tcPr>
          <w:p>
            <w:pPr>
              <w:ind w:left="280"/>
              <w:spacing w:after="0"/>
              <w:rPr>
                <w:sz w:val="20"/>
                <w:szCs w:val="20"/>
                <w:color w:val="auto"/>
              </w:rPr>
            </w:pPr>
            <w:r>
              <w:rPr>
                <w:rFonts w:ascii="Arial" w:cs="Arial" w:eastAsia="Arial" w:hAnsi="Arial"/>
                <w:sz w:val="20"/>
                <w:szCs w:val="20"/>
                <w:color w:val="0000FF"/>
                <w:w w:val="99"/>
              </w:rPr>
              <w:t>Common Stock</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20"/>
                <w:szCs w:val="20"/>
                <w:color w:val="0000FF"/>
                <w:w w:val="89"/>
              </w:rPr>
              <w:t>1,920,960</w:t>
            </w:r>
            <w:r>
              <w:rPr>
                <w:rFonts w:ascii="Arial" w:cs="Arial" w:eastAsia="Arial" w:hAnsi="Arial"/>
                <w:sz w:val="25"/>
                <w:szCs w:val="25"/>
                <w:color w:val="008000"/>
                <w:w w:val="89"/>
                <w:vertAlign w:val="superscript"/>
              </w:rPr>
              <w:t>(1)</w:t>
            </w:r>
          </w:p>
        </w:tc>
        <w:tc>
          <w:tcPr>
            <w:tcW w:w="980" w:type="dxa"/>
            <w:vAlign w:val="bottom"/>
            <w:tcBorders>
              <w:bottom w:val="single" w:sz="8" w:color="2C2C2C"/>
            </w:tcBorders>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4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5"/>
              </w:rPr>
              <w:t>See Footnote</w:t>
            </w:r>
            <w:r>
              <w:rPr>
                <w:rFonts w:ascii="Arial" w:cs="Arial" w:eastAsia="Arial" w:hAnsi="Arial"/>
                <w:sz w:val="25"/>
                <w:szCs w:val="25"/>
                <w:color w:val="008000"/>
                <w:w w:val="95"/>
                <w:vertAlign w:val="superscript"/>
              </w:rPr>
              <w:t>(2)</w:t>
            </w: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840" w:type="dxa"/>
            <w:vAlign w:val="bottom"/>
            <w:tcBorders>
              <w:top w:val="single" w:sz="8" w:color="2C2C2C"/>
            </w:tcBorders>
            <w:gridSpan w:val="6"/>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8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3"/>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Redmile Group, LLC</w:t>
              </w:r>
            </w:hyperlink>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5"/>
                <w:szCs w:val="15"/>
                <w:color w:val="auto"/>
              </w:rPr>
              <w:t>(Last)</w:t>
            </w:r>
          </w:p>
        </w:tc>
        <w:tc>
          <w:tcPr>
            <w:tcW w:w="1840" w:type="dxa"/>
            <w:vAlign w:val="bottom"/>
            <w:gridSpan w:val="2"/>
          </w:tcPr>
          <w:p>
            <w:pPr>
              <w:ind w:left="500"/>
              <w:spacing w:after="0"/>
              <w:rPr>
                <w:sz w:val="20"/>
                <w:szCs w:val="20"/>
                <w:color w:val="auto"/>
              </w:rPr>
            </w:pPr>
            <w:r>
              <w:rPr>
                <w:rFonts w:ascii="Arial" w:cs="Arial" w:eastAsia="Arial" w:hAnsi="Arial"/>
                <w:sz w:val="15"/>
                <w:szCs w:val="15"/>
                <w:color w:val="auto"/>
              </w:rPr>
              <w:t>(First)</w:t>
            </w:r>
          </w:p>
        </w:tc>
        <w:tc>
          <w:tcPr>
            <w:tcW w:w="1000" w:type="dxa"/>
            <w:vAlign w:val="bottom"/>
          </w:tcPr>
          <w:p>
            <w:pPr>
              <w:jc w:val="right"/>
              <w:ind w:right="347"/>
              <w:spacing w:after="0"/>
              <w:rPr>
                <w:sz w:val="20"/>
                <w:szCs w:val="20"/>
                <w:color w:val="auto"/>
              </w:rPr>
            </w:pPr>
            <w:r>
              <w:rPr>
                <w:rFonts w:ascii="Arial" w:cs="Arial" w:eastAsia="Arial" w:hAnsi="Arial"/>
                <w:sz w:val="15"/>
                <w:szCs w:val="15"/>
                <w:color w:val="auto"/>
              </w:rPr>
              <w:t>(Middle)</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LETTERMAN DRIVE, BUILDING D</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D3-300</w:t>
      </w:r>
    </w:p>
    <w:p>
      <w:pPr>
        <w:spacing w:after="0" w:line="334"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148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20"/>
                <w:szCs w:val="20"/>
                <w:color w:val="0000FF"/>
              </w:rPr>
              <w:t>SAN</w:t>
            </w:r>
          </w:p>
        </w:tc>
        <w:tc>
          <w:tcPr>
            <w:tcW w:w="940" w:type="dxa"/>
            <w:vAlign w:val="bottom"/>
            <w:vMerge w:val="restart"/>
          </w:tcPr>
          <w:p>
            <w:pPr>
              <w:ind w:left="20"/>
              <w:spacing w:after="0"/>
              <w:rPr>
                <w:sz w:val="20"/>
                <w:szCs w:val="20"/>
                <w:color w:val="auto"/>
              </w:rPr>
            </w:pPr>
            <w:r>
              <w:rPr>
                <w:rFonts w:ascii="Arial" w:cs="Arial" w:eastAsia="Arial" w:hAnsi="Arial"/>
                <w:sz w:val="20"/>
                <w:szCs w:val="20"/>
                <w:color w:val="0000FF"/>
              </w:rPr>
              <w:t>CA</w:t>
            </w:r>
          </w:p>
        </w:tc>
        <w:tc>
          <w:tcPr>
            <w:tcW w:w="1800" w:type="dxa"/>
            <w:vAlign w:val="bottom"/>
            <w:vMerge w:val="restart"/>
          </w:tcPr>
          <w:p>
            <w:pPr>
              <w:ind w:left="460"/>
              <w:spacing w:after="0"/>
              <w:rPr>
                <w:sz w:val="20"/>
                <w:szCs w:val="20"/>
                <w:color w:val="auto"/>
              </w:rPr>
            </w:pPr>
            <w:r>
              <w:rPr>
                <w:rFonts w:ascii="Arial" w:cs="Arial" w:eastAsia="Arial" w:hAnsi="Arial"/>
                <w:sz w:val="20"/>
                <w:szCs w:val="20"/>
                <w:color w:val="0000FF"/>
              </w:rPr>
              <w:t>94129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2"/>
            <w:vMerge w:val="restart"/>
          </w:tcPr>
          <w:p>
            <w:pPr>
              <w:spacing w:after="0"/>
              <w:rPr>
                <w:sz w:val="20"/>
                <w:szCs w:val="20"/>
                <w:color w:val="auto"/>
              </w:rPr>
            </w:pPr>
            <w:r>
              <w:rPr>
                <w:rFonts w:ascii="Arial" w:cs="Arial" w:eastAsia="Arial" w:hAnsi="Arial"/>
                <w:sz w:val="20"/>
                <w:szCs w:val="20"/>
                <w:color w:val="0000FF"/>
              </w:rPr>
              <w:t>FRANCISCO</w:t>
            </w:r>
          </w:p>
        </w:tc>
        <w:tc>
          <w:tcPr>
            <w:tcW w:w="94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(City)</w:t>
            </w:r>
          </w:p>
        </w:tc>
        <w:tc>
          <w:tcPr>
            <w:tcW w:w="940" w:type="dxa"/>
            <w:vAlign w:val="bottom"/>
          </w:tcPr>
          <w:p>
            <w:pPr>
              <w:ind w:left="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spacing w:after="0" w:line="249" w:lineRule="exact"/>
              <w:rPr>
                <w:rFonts w:ascii="Arial" w:cs="Arial" w:eastAsia="Arial" w:hAnsi="Arial"/>
                <w:sz w:val="24"/>
                <w:szCs w:val="24"/>
                <w:color w:val="0000EE"/>
                <w:w w:val="88"/>
              </w:rPr>
            </w:pPr>
            <w:hyperlink r:id="rId12">
              <w:r>
                <w:rPr>
                  <w:rFonts w:ascii="Arial" w:cs="Arial" w:eastAsia="Arial" w:hAnsi="Arial"/>
                  <w:sz w:val="24"/>
                  <w:szCs w:val="24"/>
                  <w:color w:val="0000EE"/>
                  <w:w w:val="88"/>
                </w:rPr>
                <w:t>Green Jeremy</w:t>
              </w:r>
            </w:hyperlink>
          </w:p>
        </w:tc>
        <w:tc>
          <w:tcPr>
            <w:tcW w:w="9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(Last)</w:t>
            </w:r>
          </w:p>
        </w:tc>
        <w:tc>
          <w:tcPr>
            <w:tcW w:w="940" w:type="dxa"/>
            <w:vAlign w:val="bottom"/>
          </w:tcPr>
          <w:p>
            <w:pPr>
              <w:ind w:left="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bl>
    <w:p>
      <w:pPr>
        <w:spacing w:after="0" w:line="66"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REDMILE GROUP, LLC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ONE LETTERMAN DRIVE, BLDG D SUITE D3-</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2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0" w:gutter="0" w:footer="0" w:header="0"/>
          <w:type w:val="continuous"/>
        </w:sectPr>
      </w:pPr>
    </w:p>
    <w:p>
      <w:pPr>
        <w:ind w:left="140"/>
        <w:spacing w:after="0" w:line="214" w:lineRule="auto"/>
        <w:tabs>
          <w:tab w:leader="none" w:pos="1500" w:val="left"/>
          <w:tab w:leader="none" w:pos="288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94129</w:t>
      </w:r>
    </w:p>
    <w:p>
      <w:pPr>
        <w:spacing w:after="0" w:line="12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FRANCISCO</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54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2547620"/>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Redmile Biopharma Investments III, L.P.</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C/O REDMILE GROUP, LLC</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ONE LETTERMAN DRIVE, BLDG D SUITE D3-</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300</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5"/>
          <w:szCs w:val="15"/>
          <w:color w:val="auto"/>
        </w:rPr>
        <w:t>(Street)</w:t>
      </w:r>
    </w:p>
    <w:p>
      <w:pPr>
        <w:ind w:left="100"/>
        <w:spacing w:after="0" w:line="214" w:lineRule="auto"/>
        <w:tabs>
          <w:tab w:leader="none" w:pos="1460" w:val="left"/>
          <w:tab w:leader="none" w:pos="284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94129</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Series C preferred stock (the "Series C Preferred") is convertible into shares of the Issuer's common stock at any time at the holder's election, or automatically upon the</w:t>
      </w:r>
    </w:p>
    <w:p>
      <w:pPr>
        <w:spacing w:after="0" w:line="16" w:lineRule="exact"/>
        <w:rPr>
          <w:rFonts w:ascii="Arial" w:cs="Arial" w:eastAsia="Arial" w:hAnsi="Arial"/>
          <w:sz w:val="14"/>
          <w:szCs w:val="14"/>
          <w:color w:val="008000"/>
        </w:rPr>
      </w:pPr>
    </w:p>
    <w:p>
      <w:pPr>
        <w:ind w:right="200"/>
        <w:spacing w:after="0" w:line="238" w:lineRule="auto"/>
        <w:rPr>
          <w:rFonts w:ascii="Arial" w:cs="Arial" w:eastAsia="Arial" w:hAnsi="Arial"/>
          <w:sz w:val="14"/>
          <w:szCs w:val="14"/>
          <w:color w:val="008000"/>
        </w:rPr>
      </w:pPr>
      <w:r>
        <w:rPr>
          <w:rFonts w:ascii="Arial" w:cs="Arial" w:eastAsia="Arial" w:hAnsi="Arial"/>
          <w:sz w:val="15"/>
          <w:szCs w:val="15"/>
          <w:color w:val="008000"/>
        </w:rPr>
        <w:t>closing of the Issuer's initial public offering, for no consideration. The Series C Preferred has no expiration date. This Form 3 reflects that, on July 30, 2021, the Issuer effected a five-for-one forward split of its common stock, as a result of which the conversion ratio of the Series C Preferred was proportionately adjusted.</w:t>
      </w:r>
    </w:p>
    <w:p>
      <w:pPr>
        <w:spacing w:after="0" w:line="36" w:lineRule="exact"/>
        <w:rPr>
          <w:rFonts w:ascii="Arial" w:cs="Arial" w:eastAsia="Arial" w:hAnsi="Arial"/>
          <w:sz w:val="14"/>
          <w:szCs w:val="14"/>
          <w:color w:val="008000"/>
        </w:rPr>
      </w:pPr>
    </w:p>
    <w:p>
      <w:pPr>
        <w:ind w:right="20" w:firstLine="5"/>
        <w:spacing w:after="0" w:line="256"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Series C Preferred are directly owned by certain private investment vehicles managed by Redmile Group, LLC ("Redmile"), including Redmile Biopharma Investments III, L.P., which directly owns 1,440,725 shares of the Series C Preferred. The reported securities may be deemed beneficially owned by Redmile as investment manager of such private investment vehicles. The reported securities may also be deemed beneficially owned by Jeremy Green as the principal of Redmile. Each of Redmile and Mr. Green disclaims beneficial ownership of the reported securities except to the extent of their pecuniary interest therein. This report shall not be deemed an admission that Redmile and Mr. Green are the beneficial owners of the securities for purposes of Section 16 of the Securities Exchange Act of 1934, as amended, or for any other purpose.</w:t>
      </w:r>
    </w:p>
    <w:p>
      <w:pPr>
        <w:spacing w:after="0" w:line="33"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By: /s/ Jeremy Green,</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Managing Member of</w:t>
            </w:r>
          </w:p>
        </w:tc>
        <w:tc>
          <w:tcPr>
            <w:tcW w:w="900" w:type="dxa"/>
            <w:vAlign w:val="bottom"/>
          </w:tcPr>
          <w:p>
            <w:pPr>
              <w:jc w:val="right"/>
              <w:spacing w:after="0" w:line="220" w:lineRule="exact"/>
              <w:rPr>
                <w:sz w:val="20"/>
                <w:szCs w:val="20"/>
                <w:color w:val="auto"/>
              </w:rPr>
            </w:pPr>
            <w:r>
              <w:rPr>
                <w:rFonts w:ascii="Arial" w:cs="Arial" w:eastAsia="Arial" w:hAnsi="Arial"/>
                <w:sz w:val="20"/>
                <w:szCs w:val="20"/>
                <w:color w:val="0000FF"/>
                <w:w w:val="87"/>
              </w:rPr>
              <w:t>08/05/2021</w:t>
            </w:r>
          </w:p>
        </w:tc>
      </w:tr>
      <w:tr>
        <w:trPr>
          <w:trHeight w:val="220"/>
        </w:trPr>
        <w:tc>
          <w:tcPr>
            <w:tcW w:w="170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2"/>
              </w:rPr>
              <w:t>Redmile Group, LLC</w:t>
            </w:r>
          </w:p>
        </w:tc>
        <w:tc>
          <w:tcPr>
            <w:tcW w:w="4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80"/>
        </w:trPr>
        <w:tc>
          <w:tcPr>
            <w:tcW w:w="13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0000FF"/>
                <w:w w:val="84"/>
              </w:rPr>
              <w:t>/s/ Jeremy Green</w:t>
            </w:r>
          </w:p>
        </w:tc>
        <w:tc>
          <w:tcPr>
            <w:tcW w:w="340" w:type="dxa"/>
            <w:vAlign w:val="bottom"/>
            <w:tcBorders>
              <w:top w:val="single" w:sz="8" w:color="auto"/>
            </w:tcBorders>
          </w:tcPr>
          <w:p>
            <w:pPr>
              <w:spacing w:after="0"/>
              <w:rPr>
                <w:sz w:val="24"/>
                <w:szCs w:val="24"/>
                <w:color w:val="auto"/>
              </w:rPr>
            </w:pPr>
          </w:p>
        </w:tc>
        <w:tc>
          <w:tcPr>
            <w:tcW w:w="520" w:type="dxa"/>
            <w:vAlign w:val="bottom"/>
            <w:gridSpan w:val="2"/>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7"/>
              </w:rPr>
              <w:t>08/05/2021</w:t>
            </w:r>
          </w:p>
        </w:tc>
      </w:tr>
    </w:tbl>
    <w:p>
      <w:pPr>
        <w:spacing w:after="0" w:line="80"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Jeremy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801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871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Redmile Biopharma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07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0007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Investments III (GP), LLC, 08/05/2021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1503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Redmile Biopharma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07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007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Investments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774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8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10" Type="http://schemas.openxmlformats.org/officeDocument/2006/relationships/hyperlink" Target="http://www.sec.gov/cgi-bin/browse-edgar?action=getcompany&amp;CIK=0001425738" TargetMode="External"/><Relationship Id="rId11" Type="http://schemas.openxmlformats.org/officeDocument/2006/relationships/hyperlink" Target="http://www.sec.gov/cgi-bin/browse-edgar?action=getcompany&amp;CIK=0001832038" TargetMode="External"/><Relationship Id="rId12" Type="http://schemas.openxmlformats.org/officeDocument/2006/relationships/hyperlink" Target="http://www.sec.gov/cgi-bin/browse-edgar?action=getcompany&amp;CIK=0001650527" TargetMode="External"/><Relationship Id="rId14" Type="http://schemas.openxmlformats.org/officeDocument/2006/relationships/hyperlink" Target="http://www.sec.gov/cgi-bin/browse-edgar?action=getcompany&amp;CIK=00018387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2021-08-05T20:14:16Z</dcterms:created>
  <dcterms:modified xsi:type="dcterms:W3CDTF">2021-08-05T20:14:16Z</dcterms:modified>
</cp:coreProperties>
</file>