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53127ds3.htm"/>
        <w:bookmarkStart w:id="1" w:name="ksd753127ds3"/>
        <w:bookmarkEnd w:id="0"/>
        <w:bookmarkEnd w:id="1"/>
        <w:r>
          <w:rPr>
            <w:rStyle w:val="InternetLink"/>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February 9, 2024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4"/>
        </w:rPr>
      </w:pPr>
      <w:r>
        <w:rPr>
          <w:rFonts w:ascii="Times New Roman" w:hAnsi="Times New Roman"/>
          <w:b/>
          <w:sz w:val="34"/>
        </w:rPr>
        <w:t xml:space="preserve">UNITED STATES </w:t>
      </w:r>
    </w:p>
    <w:p>
      <w:pPr>
        <w:pStyle w:val="TextBody"/>
        <w:bidi w:val="0"/>
        <w:spacing w:before="0" w:after="0"/>
        <w:jc w:val="center"/>
        <w:rPr>
          <w:rFonts w:ascii="Times New Roman" w:hAnsi="Times New Roman"/>
          <w:b/>
          <w:sz w:val="34"/>
        </w:rPr>
      </w:pPr>
      <w:r>
        <w:rPr>
          <w:rFonts w:ascii="Times New Roman" w:hAnsi="Times New Roman"/>
          <w:b/>
          <w:sz w:val="34"/>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34"/>
        </w:rPr>
      </w:pPr>
      <w:r>
        <w:rPr>
          <w:rFonts w:ascii="Times New Roman" w:hAnsi="Times New Roman"/>
          <w:b/>
          <w:sz w:val="34"/>
        </w:rPr>
        <w:t xml:space="preserve">FORM S-3 </w:t>
      </w:r>
    </w:p>
    <w:p>
      <w:pPr>
        <w:pStyle w:val="TextBody"/>
        <w:bidi w:val="0"/>
        <w:spacing w:before="0" w:after="0"/>
        <w:jc w:val="center"/>
        <w:rPr>
          <w:rFonts w:ascii="Times New Roman" w:hAnsi="Times New Roman"/>
          <w:b/>
          <w:sz w:val="34"/>
        </w:rPr>
      </w:pPr>
      <w:r>
        <w:rPr>
          <w:rFonts w:ascii="Times New Roman" w:hAnsi="Times New Roman"/>
          <w:b/>
          <w:sz w:val="34"/>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44"/>
        </w:rPr>
      </w:pPr>
      <w:r>
        <w:rPr>
          <w:rFonts w:ascii="Times New Roman" w:hAnsi="Times New Roman"/>
          <w:b/>
          <w:sz w:val="44"/>
        </w:rPr>
        <w:t xml:space="preserve">Invivyd,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85-1403134</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center"/>
        <w:rPr>
          <w:rFonts w:ascii="Times New Roman" w:hAnsi="Times New Roman"/>
          <w:b/>
          <w:sz w:val="18"/>
        </w:rPr>
      </w:pPr>
      <w:r>
        <w:rPr>
          <w:rFonts w:ascii="Times New Roman" w:hAnsi="Times New Roman"/>
          <w:b/>
          <w:sz w:val="18"/>
        </w:rPr>
        <w:t xml:space="preserve">1601 Trapelo Road, Suite 178 </w:t>
      </w:r>
    </w:p>
    <w:p>
      <w:pPr>
        <w:pStyle w:val="TextBody"/>
        <w:bidi w:val="0"/>
        <w:spacing w:before="0" w:after="0"/>
        <w:jc w:val="center"/>
        <w:rPr>
          <w:rFonts w:ascii="Times New Roman" w:hAnsi="Times New Roman"/>
          <w:b/>
          <w:sz w:val="18"/>
        </w:rPr>
      </w:pPr>
      <w:r>
        <w:rPr>
          <w:rFonts w:ascii="Times New Roman" w:hAnsi="Times New Roman"/>
          <w:b/>
          <w:sz w:val="18"/>
        </w:rPr>
        <w:t xml:space="preserve">Waltham, MA 02451 </w:t>
      </w:r>
    </w:p>
    <w:p>
      <w:pPr>
        <w:pStyle w:val="TextBody"/>
        <w:bidi w:val="0"/>
        <w:spacing w:before="0" w:after="0"/>
        <w:jc w:val="center"/>
        <w:rPr>
          <w:rFonts w:ascii="Times New Roman" w:hAnsi="Times New Roman"/>
          <w:b/>
          <w:sz w:val="18"/>
        </w:rPr>
      </w:pPr>
      <w:r>
        <w:rPr>
          <w:rFonts w:ascii="Times New Roman" w:hAnsi="Times New Roman"/>
          <w:b/>
          <w:sz w:val="18"/>
        </w:rPr>
        <w:t xml:space="preserve">(781) 819-0080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18"/>
        </w:rPr>
      </w:pPr>
      <w:r>
        <w:rPr>
          <w:rFonts w:ascii="Times New Roman" w:hAnsi="Times New Roman"/>
          <w:b/>
          <w:sz w:val="18"/>
        </w:rPr>
        <w:t xml:space="preserve">David Hering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Invivyd, Inc. </w:t>
      </w:r>
    </w:p>
    <w:p>
      <w:pPr>
        <w:pStyle w:val="TextBody"/>
        <w:bidi w:val="0"/>
        <w:spacing w:before="0" w:after="0"/>
        <w:jc w:val="center"/>
        <w:rPr>
          <w:rFonts w:ascii="Times New Roman" w:hAnsi="Times New Roman"/>
          <w:b/>
          <w:sz w:val="18"/>
        </w:rPr>
      </w:pPr>
      <w:r>
        <w:rPr>
          <w:rFonts w:ascii="Times New Roman" w:hAnsi="Times New Roman"/>
          <w:b/>
          <w:sz w:val="18"/>
        </w:rPr>
        <w:t xml:space="preserve">1601 Trapelo Road, Suite 178 </w:t>
      </w:r>
    </w:p>
    <w:p>
      <w:pPr>
        <w:pStyle w:val="TextBody"/>
        <w:bidi w:val="0"/>
        <w:spacing w:before="0" w:after="0"/>
        <w:jc w:val="center"/>
        <w:rPr>
          <w:rFonts w:ascii="Times New Roman" w:hAnsi="Times New Roman"/>
          <w:b/>
          <w:sz w:val="18"/>
        </w:rPr>
      </w:pPr>
      <w:r>
        <w:rPr>
          <w:rFonts w:ascii="Times New Roman" w:hAnsi="Times New Roman"/>
          <w:b/>
          <w:sz w:val="18"/>
        </w:rPr>
        <w:t xml:space="preserve">Waltham, MA 02451 </w:t>
      </w:r>
    </w:p>
    <w:p>
      <w:pPr>
        <w:pStyle w:val="TextBody"/>
        <w:bidi w:val="0"/>
        <w:spacing w:before="0" w:after="0"/>
        <w:jc w:val="center"/>
        <w:rPr>
          <w:rFonts w:ascii="Times New Roman" w:hAnsi="Times New Roman"/>
          <w:b/>
          <w:sz w:val="18"/>
        </w:rPr>
      </w:pPr>
      <w:r>
        <w:rPr>
          <w:rFonts w:ascii="Times New Roman" w:hAnsi="Times New Roman"/>
          <w:b/>
          <w:sz w:val="18"/>
        </w:rPr>
        <w:t xml:space="preserve">(781) 819-0080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8"/>
              </w:rPr>
            </w:pPr>
            <w:r>
              <w:rPr>
                <w:rFonts w:ascii="Times New Roman" w:hAnsi="Times New Roman"/>
                <w:b/>
                <w:sz w:val="18"/>
              </w:rPr>
              <w:t>Steven J. Abrams, Esq.</w:t>
            </w:r>
          </w:p>
          <w:p>
            <w:pPr>
              <w:pStyle w:val="TableContents"/>
              <w:bidi w:val="0"/>
              <w:spacing w:before="0" w:after="0"/>
              <w:jc w:val="center"/>
              <w:rPr>
                <w:rFonts w:ascii="Times New Roman" w:hAnsi="Times New Roman"/>
                <w:b/>
                <w:sz w:val="18"/>
              </w:rPr>
            </w:pPr>
            <w:r>
              <w:rPr>
                <w:rFonts w:ascii="Times New Roman" w:hAnsi="Times New Roman"/>
                <w:b/>
                <w:sz w:val="18"/>
              </w:rPr>
              <w:t>Stephen M. Nicolai, Esq.</w:t>
            </w:r>
          </w:p>
          <w:p>
            <w:pPr>
              <w:pStyle w:val="TableContents"/>
              <w:bidi w:val="0"/>
              <w:spacing w:before="0" w:after="0"/>
              <w:jc w:val="center"/>
              <w:rPr>
                <w:rFonts w:ascii="Times New Roman" w:hAnsi="Times New Roman"/>
                <w:b/>
                <w:sz w:val="18"/>
              </w:rPr>
            </w:pPr>
            <w:r>
              <w:rPr>
                <w:rFonts w:ascii="Times New Roman" w:hAnsi="Times New Roman"/>
                <w:b/>
                <w:sz w:val="18"/>
              </w:rPr>
              <w:t>Hogan Lovells US LLP</w:t>
            </w:r>
          </w:p>
          <w:p>
            <w:pPr>
              <w:pStyle w:val="TableContents"/>
              <w:bidi w:val="0"/>
              <w:spacing w:before="0" w:after="0"/>
              <w:jc w:val="center"/>
              <w:rPr>
                <w:rFonts w:ascii="Times New Roman" w:hAnsi="Times New Roman"/>
                <w:b/>
                <w:sz w:val="18"/>
              </w:rPr>
            </w:pPr>
            <w:r>
              <w:rPr>
                <w:rFonts w:ascii="Times New Roman" w:hAnsi="Times New Roman"/>
                <w:b/>
                <w:sz w:val="18"/>
              </w:rPr>
              <w:t>1735 Market Street, 23rd Floor</w:t>
            </w:r>
          </w:p>
          <w:p>
            <w:pPr>
              <w:pStyle w:val="TableContents"/>
              <w:bidi w:val="0"/>
              <w:spacing w:before="0" w:after="0"/>
              <w:jc w:val="center"/>
              <w:rPr>
                <w:rFonts w:ascii="Times New Roman" w:hAnsi="Times New Roman"/>
                <w:b/>
                <w:sz w:val="18"/>
              </w:rPr>
            </w:pPr>
            <w:r>
              <w:rPr>
                <w:rFonts w:ascii="Times New Roman" w:hAnsi="Times New Roman"/>
                <w:b/>
                <w:sz w:val="18"/>
              </w:rPr>
              <w:t>Philadelphia, Pennsylvania 19103</w:t>
            </w:r>
          </w:p>
          <w:p>
            <w:pPr>
              <w:pStyle w:val="TableContents"/>
              <w:bidi w:val="0"/>
              <w:spacing w:before="0" w:after="20"/>
              <w:jc w:val="center"/>
              <w:rPr>
                <w:rFonts w:ascii="Times New Roman" w:hAnsi="Times New Roman"/>
                <w:b/>
                <w:sz w:val="18"/>
              </w:rPr>
            </w:pPr>
            <w:r>
              <w:rPr>
                <w:rFonts w:ascii="Times New Roman" w:hAnsi="Times New Roman"/>
                <w:b/>
                <w:sz w:val="18"/>
              </w:rPr>
              <w:t>(267) 675-4600</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8"/>
              </w:rPr>
            </w:pPr>
            <w:r>
              <w:rPr>
                <w:rFonts w:ascii="Times New Roman" w:hAnsi="Times New Roman"/>
                <w:b/>
                <w:sz w:val="18"/>
              </w:rPr>
              <w:t>Jill Andersen</w:t>
            </w:r>
          </w:p>
          <w:p>
            <w:pPr>
              <w:pStyle w:val="TableContents"/>
              <w:bidi w:val="0"/>
              <w:spacing w:before="0" w:after="0"/>
              <w:jc w:val="center"/>
              <w:rPr>
                <w:rFonts w:ascii="Times New Roman" w:hAnsi="Times New Roman"/>
                <w:b/>
                <w:sz w:val="18"/>
              </w:rPr>
            </w:pPr>
            <w:r>
              <w:rPr>
                <w:rFonts w:ascii="Times New Roman" w:hAnsi="Times New Roman"/>
                <w:b/>
                <w:sz w:val="18"/>
              </w:rPr>
              <w:t>Chief Legal Officer</w:t>
            </w:r>
          </w:p>
          <w:p>
            <w:pPr>
              <w:pStyle w:val="TableContents"/>
              <w:bidi w:val="0"/>
              <w:spacing w:before="0" w:after="0"/>
              <w:jc w:val="center"/>
              <w:rPr>
                <w:rFonts w:ascii="Times New Roman" w:hAnsi="Times New Roman"/>
                <w:b/>
                <w:sz w:val="18"/>
              </w:rPr>
            </w:pPr>
            <w:r>
              <w:rPr>
                <w:rFonts w:ascii="Times New Roman" w:hAnsi="Times New Roman"/>
                <w:b/>
                <w:sz w:val="18"/>
              </w:rPr>
              <w:t>Invivyd, Inc.</w:t>
            </w:r>
          </w:p>
          <w:p>
            <w:pPr>
              <w:pStyle w:val="TableContents"/>
              <w:bidi w:val="0"/>
              <w:spacing w:before="0" w:after="0"/>
              <w:jc w:val="center"/>
              <w:rPr>
                <w:rFonts w:ascii="Times New Roman" w:hAnsi="Times New Roman"/>
                <w:b/>
                <w:sz w:val="18"/>
              </w:rPr>
            </w:pPr>
            <w:r>
              <w:rPr>
                <w:rFonts w:ascii="Times New Roman" w:hAnsi="Times New Roman"/>
                <w:b/>
                <w:sz w:val="18"/>
              </w:rPr>
              <w:t>1601 Trapelo Road, Suite 178</w:t>
            </w:r>
          </w:p>
          <w:p>
            <w:pPr>
              <w:pStyle w:val="TableContents"/>
              <w:bidi w:val="0"/>
              <w:spacing w:before="0" w:after="0"/>
              <w:jc w:val="center"/>
              <w:rPr>
                <w:rFonts w:ascii="Times New Roman" w:hAnsi="Times New Roman"/>
                <w:b/>
                <w:sz w:val="18"/>
              </w:rPr>
            </w:pPr>
            <w:r>
              <w:rPr>
                <w:rFonts w:ascii="Times New Roman" w:hAnsi="Times New Roman"/>
                <w:b/>
                <w:sz w:val="18"/>
              </w:rPr>
              <w:t>Waltham, MA 02451</w:t>
            </w:r>
          </w:p>
          <w:p>
            <w:pPr>
              <w:pStyle w:val="TableContents"/>
              <w:bidi w:val="0"/>
              <w:spacing w:before="0" w:after="20"/>
              <w:jc w:val="center"/>
              <w:rPr>
                <w:rFonts w:ascii="Times New Roman" w:hAnsi="Times New Roman"/>
                <w:b/>
                <w:sz w:val="18"/>
              </w:rPr>
            </w:pPr>
            <w:r>
              <w:rPr>
                <w:rFonts w:ascii="Times New Roman" w:hAnsi="Times New Roman"/>
                <w:b/>
                <w:sz w:val="18"/>
              </w:rPr>
              <w:t>(781) 819-0080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left"/>
        <w:rPr>
          <w:rFonts w:ascii="Times New Roman" w:hAnsi="Times New Roman"/>
          <w:b/>
          <w:sz w:val="18"/>
        </w:rPr>
      </w:pPr>
      <w:r>
        <w:rPr>
          <w:rFonts w:ascii="Times New Roman" w:hAnsi="Times New Roman"/>
          <w:b/>
          <w:sz w:val="18"/>
        </w:rPr>
        <w:t xml:space="preserve">Approximate date of commencement of proposed sale to the public: From time to time after the effective date of this Registration Statement. </w:t>
      </w:r>
    </w:p>
    <w:p>
      <w:pPr>
        <w:pStyle w:val="TextBody"/>
        <w:bidi w:val="0"/>
        <w:spacing w:before="12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4"/>
        <w:gridCol w:w="104"/>
        <w:gridCol w:w="4744"/>
        <w:gridCol w:w="104"/>
        <w:gridCol w:w="2741"/>
        <w:gridCol w:w="104"/>
        <w:gridCol w:w="264"/>
      </w:tblGrid>
      <w:tr>
        <w:trPr/>
        <w:tc>
          <w:tcPr>
            <w:tcW w:w="214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4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44" w:type="dxa"/>
            <w:tcBorders/>
            <w:vAlign w:val="bottom"/>
          </w:tcPr>
          <w:p>
            <w:pPr>
              <w:pStyle w:val="TableContents"/>
              <w:bidi w:val="0"/>
              <w:spacing w:before="0" w:after="283"/>
              <w:jc w:val="left"/>
              <w:rPr/>
            </w:pPr>
            <w:r>
              <w:rPr/>
              <w:t>☐</w:t>
            </w:r>
          </w:p>
        </w:tc>
        <w:tc>
          <w:tcPr>
            <w:tcW w:w="104" w:type="dxa"/>
            <w:tcBorders/>
            <w:vAlign w:val="bottom"/>
          </w:tcPr>
          <w:p>
            <w:pPr>
              <w:pStyle w:val="TableContents"/>
              <w:bidi w:val="0"/>
              <w:spacing w:before="0" w:after="283"/>
              <w:jc w:val="left"/>
              <w:rPr/>
            </w:pPr>
            <w:r>
              <w:rPr/>
              <w:t> </w:t>
            </w:r>
          </w:p>
        </w:tc>
        <w:tc>
          <w:tcPr>
            <w:tcW w:w="2741"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r>
      <w:tr>
        <w:trPr>
          <w:trHeight w:val="15" w:hRule="atLeast"/>
        </w:trPr>
        <w:tc>
          <w:tcPr>
            <w:tcW w:w="2144" w:type="dxa"/>
            <w:tcBorders/>
            <w:vAlign w:val="center"/>
          </w:tcPr>
          <w:p>
            <w:pPr>
              <w:pStyle w:val="TableContents"/>
              <w:bidi w:val="0"/>
              <w:spacing w:before="0" w:after="283"/>
              <w:jc w:val="left"/>
              <w:rPr>
                <w:sz w:val="4"/>
                <w:szCs w:val="4"/>
              </w:rPr>
            </w:pPr>
            <w:r>
              <w:rPr>
                <w:sz w:val="4"/>
                <w:szCs w:val="4"/>
              </w:rPr>
            </w:r>
          </w:p>
        </w:tc>
        <w:tc>
          <w:tcPr>
            <w:tcW w:w="4848" w:type="dxa"/>
            <w:gridSpan w:val="2"/>
            <w:tcBorders/>
            <w:vAlign w:val="center"/>
          </w:tcPr>
          <w:p>
            <w:pPr>
              <w:pStyle w:val="TableContents"/>
              <w:bidi w:val="0"/>
              <w:spacing w:before="0" w:after="283"/>
              <w:jc w:val="left"/>
              <w:rPr>
                <w:sz w:val="4"/>
                <w:szCs w:val="4"/>
              </w:rPr>
            </w:pPr>
            <w:r>
              <w:rPr>
                <w:sz w:val="4"/>
                <w:szCs w:val="4"/>
              </w:rPr>
            </w:r>
          </w:p>
        </w:tc>
        <w:tc>
          <w:tcPr>
            <w:tcW w:w="2845" w:type="dxa"/>
            <w:gridSpan w:val="2"/>
            <w:tcBorders/>
            <w:vAlign w:val="center"/>
          </w:tcPr>
          <w:p>
            <w:pPr>
              <w:pStyle w:val="TableContents"/>
              <w:bidi w:val="0"/>
              <w:spacing w:before="0" w:after="283"/>
              <w:jc w:val="left"/>
              <w:rPr>
                <w:sz w:val="4"/>
                <w:szCs w:val="4"/>
              </w:rPr>
            </w:pPr>
            <w:r>
              <w:rPr>
                <w:sz w:val="4"/>
                <w:szCs w:val="4"/>
              </w:rPr>
            </w:r>
          </w:p>
        </w:tc>
        <w:tc>
          <w:tcPr>
            <w:tcW w:w="368"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44" w:type="dxa"/>
            <w:tcBorders/>
            <w:vAlign w:val="bottom"/>
          </w:tcPr>
          <w:p>
            <w:pPr>
              <w:pStyle w:val="TableContents"/>
              <w:bidi w:val="0"/>
              <w:spacing w:before="0" w:after="283"/>
              <w:jc w:val="left"/>
              <w:rPr/>
            </w:pPr>
            <w:r>
              <w:rPr/>
              <w:t>☒</w:t>
            </w:r>
          </w:p>
        </w:tc>
        <w:tc>
          <w:tcPr>
            <w:tcW w:w="104" w:type="dxa"/>
            <w:tcBorders/>
            <w:vAlign w:val="bottom"/>
          </w:tcPr>
          <w:p>
            <w:pPr>
              <w:pStyle w:val="TableContents"/>
              <w:bidi w:val="0"/>
              <w:spacing w:before="0" w:after="283"/>
              <w:jc w:val="left"/>
              <w:rPr/>
            </w:pPr>
            <w:r>
              <w:rPr/>
              <w:t> </w:t>
            </w:r>
          </w:p>
        </w:tc>
        <w:tc>
          <w:tcPr>
            <w:tcW w:w="2741"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r>
      <w:tr>
        <w:trPr>
          <w:trHeight w:val="15" w:hRule="atLeast"/>
        </w:trPr>
        <w:tc>
          <w:tcPr>
            <w:tcW w:w="2144" w:type="dxa"/>
            <w:tcBorders/>
            <w:vAlign w:val="center"/>
          </w:tcPr>
          <w:p>
            <w:pPr>
              <w:pStyle w:val="TableContents"/>
              <w:bidi w:val="0"/>
              <w:spacing w:before="0" w:after="283"/>
              <w:jc w:val="left"/>
              <w:rPr>
                <w:sz w:val="4"/>
                <w:szCs w:val="4"/>
              </w:rPr>
            </w:pPr>
            <w:r>
              <w:rPr>
                <w:sz w:val="4"/>
                <w:szCs w:val="4"/>
              </w:rPr>
            </w:r>
          </w:p>
        </w:tc>
        <w:tc>
          <w:tcPr>
            <w:tcW w:w="4848" w:type="dxa"/>
            <w:gridSpan w:val="2"/>
            <w:tcBorders/>
            <w:vAlign w:val="center"/>
          </w:tcPr>
          <w:p>
            <w:pPr>
              <w:pStyle w:val="TableContents"/>
              <w:bidi w:val="0"/>
              <w:spacing w:before="0" w:after="283"/>
              <w:jc w:val="left"/>
              <w:rPr>
                <w:sz w:val="4"/>
                <w:szCs w:val="4"/>
              </w:rPr>
            </w:pPr>
            <w:r>
              <w:rPr>
                <w:sz w:val="4"/>
                <w:szCs w:val="4"/>
              </w:rPr>
            </w:r>
          </w:p>
        </w:tc>
        <w:tc>
          <w:tcPr>
            <w:tcW w:w="2845" w:type="dxa"/>
            <w:gridSpan w:val="2"/>
            <w:tcBorders/>
            <w:vAlign w:val="center"/>
          </w:tcPr>
          <w:p>
            <w:pPr>
              <w:pStyle w:val="TableContents"/>
              <w:bidi w:val="0"/>
              <w:spacing w:before="0" w:after="283"/>
              <w:jc w:val="left"/>
              <w:rPr>
                <w:sz w:val="4"/>
                <w:szCs w:val="4"/>
              </w:rPr>
            </w:pPr>
            <w:r>
              <w:rPr>
                <w:sz w:val="4"/>
                <w:szCs w:val="4"/>
              </w:rPr>
            </w:r>
          </w:p>
        </w:tc>
        <w:tc>
          <w:tcPr>
            <w:tcW w:w="368"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4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741"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contained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such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FEBRUARY 9, 2024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428625" cy="647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8625" cy="64770"/>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b/>
          <w:sz w:val="32"/>
        </w:rPr>
      </w:pPr>
      <w:r>
        <w:rPr>
          <w:rFonts w:ascii="Times New Roman" w:hAnsi="Times New Roman"/>
          <w:b/>
          <w:sz w:val="32"/>
        </w:rPr>
        <w:t xml:space="preserve">37,745,998 Shares of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This prospectus relates to the resale, from time to time, by the selling stockholders named in this prospectus under the caption Selling Stockholders, of up to 37,745,998 shares of our common stock, par value $0.0001 per share, which includes (i) 30,921,286 issued and outstanding shares of our common stock and (ii) 6,824,712 shares of common stock issuable upon exercise of an outstanding common stock purchase warrant issued by us. We are not selling any shares of common stock under this prospectus and will not receive any proceeds from the sale of shares of common stock by the selling stockholders. To the extent the warrant is exercised for cash, if at all, we will receive the exercise price of the warrant; however, we cannot predict when or if the warrant will vest or be exercised and it is possible that the warrant may expire and never vest or be exercised, in which case we would not receive any cash proceeds. The selling stockholders will bear all commissions and discounts, if any, attributable to the sales of the shares of common stock. We will bear all costs, expenses and fees in connection with the registration of the shares of common stock. </w:t>
      </w:r>
    </w:p>
    <w:p>
      <w:pPr>
        <w:pStyle w:val="TextBody"/>
        <w:bidi w:val="0"/>
        <w:spacing w:before="360" w:after="0"/>
        <w:jc w:val="left"/>
        <w:rPr>
          <w:rFonts w:ascii="Times New Roman" w:hAnsi="Times New Roman"/>
          <w:sz w:val="20"/>
        </w:rPr>
      </w:pPr>
      <w:r>
        <w:rPr>
          <w:rFonts w:ascii="Times New Roman" w:hAnsi="Times New Roman"/>
          <w:sz w:val="20"/>
        </w:rPr>
        <w:t xml:space="preserve">The selling stockholders may sell the shares of our common stock offered by this prospectus from time to time on terms to be determined at the time of sale through ordinary brokerage transactions or through any other means in this prospectus under the caption Plan of Distribution. The shares of common stock may be sold at fixed prices, at market prices prevailing at the time of sale, at prices related to prevailing market prices or at negotiated prices. </w:t>
      </w:r>
    </w:p>
    <w:p>
      <w:pPr>
        <w:pStyle w:val="TextBody"/>
        <w:bidi w:val="0"/>
        <w:spacing w:before="360" w:after="0"/>
        <w:jc w:val="left"/>
        <w:rPr>
          <w:rFonts w:ascii="Times New Roman" w:hAnsi="Times New Roman"/>
          <w:sz w:val="20"/>
        </w:rPr>
      </w:pPr>
      <w:r>
        <w:rPr>
          <w:rFonts w:ascii="Times New Roman" w:hAnsi="Times New Roman"/>
          <w:sz w:val="20"/>
        </w:rPr>
        <w:t xml:space="preserve">Our common stock trades on the Nasdaq Global Market under the ticker symbol IVVD. On February 8, 2024, the last reported sale price per share of our common stock was $5.04. </w:t>
      </w:r>
    </w:p>
    <w:p>
      <w:pPr>
        <w:pStyle w:val="TextBody"/>
        <w:bidi w:val="0"/>
        <w:spacing w:before="360" w:after="0"/>
        <w:jc w:val="left"/>
        <w:rPr>
          <w:rFonts w:ascii="Times New Roman" w:hAnsi="Times New Roman"/>
          <w:sz w:val="20"/>
        </w:rPr>
      </w:pPr>
      <w:r>
        <w:rPr>
          <w:rFonts w:ascii="Times New Roman" w:hAnsi="Times New Roman"/>
          <w:sz w:val="20"/>
        </w:rPr>
        <w:t xml:space="preserve">We are an emerging growth company as defined by the Jumpstart Our Business Startups Act of 2012 and, as such, we are subject to reduced public company reporting requirements for this prospectus and future filings. Refer to the section entitled Implications of Being an Emerging Growth Company beginning on page 5 of this prospectus for more information.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pPr>
      <w:r>
        <w:rPr>
          <w:rFonts w:ascii="Times New Roman" w:hAnsi="Times New Roman"/>
          <w:b/>
          <w:sz w:val="24"/>
        </w:rPr>
        <w:t>INVESTING IN OUR SECURITIES INVOLVES A HIGH DEGREE OF RISK. SEE </w:t>
      </w:r>
      <w:hyperlink w:anchor="toc753127_5">
        <w:r>
          <w:rPr>
            <w:rStyle w:val="InternetLink"/>
            <w:rFonts w:ascii="Times New Roman" w:hAnsi="Times New Roman"/>
            <w:b/>
            <w:sz w:val="24"/>
          </w:rPr>
          <w:t>RISK FACTORS</w:t>
        </w:r>
      </w:hyperlink>
      <w:r>
        <w:rPr>
          <w:rFonts w:ascii="Times New Roman" w:hAnsi="Times New Roman"/>
          <w:b/>
          <w:sz w:val="24"/>
        </w:rPr>
        <w:t xml:space="preserve"> BEGINNING ON PAGE 9 OF THIS PROSPECTUS AND UNDER SIMILAR HEADINGS IN THE DOCUMENTS INCORPORATED BY REFERENCE INTO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The date of this prospectus is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u w:val="single"/>
        </w:rPr>
      </w:pPr>
      <w:bookmarkStart w:id="2" w:name="toc"/>
      <w:bookmarkEnd w:id="2"/>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53127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53127_2">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53127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53127_4">
              <w:r>
                <w:rPr>
                  <w:rStyle w:val="InternetLink"/>
                  <w:rFonts w:ascii="Times New Roman" w:hAnsi="Times New Roman"/>
                  <w:sz w:val="20"/>
                </w:rPr>
                <w:t>THE OFFERING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53127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53127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53127_7">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53127_8">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53127_9">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53127_10">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53127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753127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oc753127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resale by the selling stockholders identified in this prospectus under the caption Selling Stockholders, from time to time, of up to an aggregate of 37,745,998 shares of our common stock, par value $0.0001 per share, which includes (i) 30,921,286 issued and outstanding shares of our common stock and (ii) 6,824,712 shares of common stock issuable upon exercise of an outstanding common stock purchase warrant issued by us. We are not selling any shares of our common stock under this prospectus, and we will not receive any proceeds from the sale of shares of common stock offered hereby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have filed with the Securities and Exchange Commission, or SEC. It omits some of the information contained in the registration statement, and reference is made to the full registration statement for further information with regard to us and the securities being offered by the selling stockholders. Any statement contained in this prospectus concerning the provisions of any document filed as an exhibit to the registration statement or otherwise filed with the SEC is not necessarily complete, and in each instance, reference is made to the copy of the document filed. You should review the complete document to evaluate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any documents that we incorporate by reference in this prospectus and the information below under the caption Where You Can Find More Information and Incorporation By Reference before making an investment decision. You should rely only on the information contained or incorporated by reference in this prospectus. We have not authorized any other person to provide you with different information. If anyone provides you with additional, different or inconsistent information, you should not rely on it. This prospectus is not an offer to sell these securities and it is not soliciting an offer to buy these securities in any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in this prospectus or any documents we incorporate by reference herein is accurate as of any date other than the date on the front of each document.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and therein contain estimates, projections, market research and other information concerning, among other things, our industry, our business, and markets for our product candidates. Unless otherwise expressly stated, we obtain this information from reports, research surveys, studies and similar data prepared by market research firms and other third parties, industry, medical and general publications, government data and similar sources as well as from our own internal estimates and research and from publications, research, surveys and studies conducted by third parties on our behalf. We believe this information is accurate in all material respects as of the date of this prospectus. Information that is based on estimates, projections, market research or similar methodologies is inherently subject to uncertainties and actual events or circumstances may differ materially from events and circumstances that are reflected in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prospectus to the terms the Company, Invivyd, we, our and us or other similar terms mean Invivyd, Inc. and our wholly owned subsidiaries, unless we state otherwise or the context indicates otherwise. </w:t>
      </w:r>
    </w:p>
    <w:p>
      <w:pPr>
        <w:pStyle w:val="TextBody"/>
        <w:bidi w:val="0"/>
        <w:spacing w:before="240" w:after="0"/>
        <w:jc w:val="left"/>
        <w:rPr>
          <w:rFonts w:ascii="Times New Roman" w:hAnsi="Times New Roman"/>
          <w:sz w:val="20"/>
        </w:rPr>
      </w:pPr>
      <w:r>
        <w:rPr>
          <w:rFonts w:ascii="Times New Roman" w:hAnsi="Times New Roman"/>
          <w:sz w:val="20"/>
        </w:rPr>
        <w:t xml:space="preserve">Invivyd, Invymab and the Invivyd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oc753127_2"/>
      <w:bookmarkEnd w:id="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forward-looking statements that involve substantial risks and uncertainties. All statements, other than statements of historical facts, included in this prospectus or the documents incorporated herein by reference, including statements regarding our future financial condition, results of operations, business strategy and plans and objectives of management for future operations, industry trends and other future events, are forward-looking statements. In some cases, you can identify forward-looking statements by terminology such as may, anticipate, believe, could, expect, intends, might, plan, possible, potential, aim, predict, project should, will, would or the negative of these terms or other similar expressions, although not all forward-looking statements contain these identifying terms. The forward-looking statements in this prospectus and the documents incorporated herein by reference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 of VYD222 for broad neutralization activity against SARS-CoV-2 variants and the potential for neutralization activity against Omicron sublineages following XBB.1.5 and future SARS-CoV-2 variants;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rapidly and perpetually deliver antibody-based therapies that protect vulnerable people from the devastating consequences of circulating viral threats, beginning with SARS-CoV-2, and to generate a robust pipeline of product candidates which, if authorized or approved, could be used in prevention or treatment of serious viral diseases, starting with COVID-19 and expanding into influenza and other high-need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submission for Emergency Use Authorization for VYD222;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timing of any additional submission or filings for regulatory authorization or approval of, and our ability to obtain and maintain regulatory authorizations or approvals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adintrevimab clinical data package has the potential to support accelerated development of VYD222 in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for VYD222 and anticipated follow-on monoclonal antibody (mAb) candidates to follow a potential development pathway for mAbs using immunobridging via serum neutralizing titers and previously generated clinical trial data from a prototype antibody, and our plans to leverage this immunobridging pathway in the U.S. to accelerate the clinical development of VYD222 and anticipated follow-on mAb candidates, with adintrevimab or future proprietary mAbs serving as the prototype;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leverage our INVYMAB platform approach to produce additional mAb candidates optimized to stay ahead of the evolving SARS-CoV-2 virus;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a serial monotherapy approach would ensure that novel mAbs would be available if and when an authorized mAb loses activity against predominant circulating variants;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size of the patient populations, market acceptance and opportunity for and clinical utility of our product candidates, if authorized or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scope of any approved or authorized indication for VYD222 or any other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capabilities and strategy, including the scalability and commercial viability of our manufacturing methods and processes;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our product candidates, if authorized or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leverage technology and our platform approach to identify and develop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our expenses, ongoing losses, future potential revenue, capital requirements and our need for or ability to obtain additional funding before we can expect to generate any revenue from product sales, if any of our product candidates are authorized or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anticipated timeline of our cash runway, and 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the development of and projections relating to our competitors or our industry;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disruptions affecting our preclinical studies or the initiation, patient enrollment, development and operation of our clinical trials, including a public health crisis, such as the outbreak of SARS-CoV-2.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guarantee that the results and other expectations expressed, anticipated or implied in any forward-looking statement will be realized. The risks set forth under Item 1A of our Annual Report on Form 10-K for the fiscal year ended December 31, 2022, as revised or supplemented by our Quarterly Reports on Form 10-Q and other documents we file with the SEC, describe material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that we incorporate by reference herein and therein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oc753127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in other parts of this prospectus and in the documents we incorporate by reference. Because it is only a summary, it does not contain all of the information that you should consider before investing in our securities and it is qualified in its entirety by, and should be read in conjunction with, the more detailed information appearing elsewhere in this prospectus, any applicable free writing prospectus and the documents incorporated by reference herein and therein. You should read all such documents carefully, especially the risk factors and our consolidated financial statements and the related notes included or incorporated by reference herein or therein, before deciding to buy shares of our common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biopharmaceutical company on a mission to rapidly and perpetually deliver antibody-based therapies that protect vulnerable people from the devastating consequences of circulating viral threats, beginning with SARS-CoV-2. Our proprietary INVYMAB platform approach combines state-of-the-art viral surveillance and predictive modeling with advanced antibody engineering. Leveraging our INVYMAB platform approach, we are generating a robust pipeline of product candidates which could be used in prevention or treatment of serious viral diseases, starting with COVID-19 and expanding into influenza and other high-need indications.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about our company, please refer to other documents that we have filed with the SEC and that are incorporated by reference into this prospectus, as listed under the heading Incorporation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Cash Runway Statement and Our Ability to Continue as a Going Concern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our current operating plans and excluding any contribution from revenues or external financing, we believe that our existing cash and cash equivalents will be sufficient to fund our operating expenses and capital expenditure requirements into the fourth quarter of 2024.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of our financial statements. Because our funds currently on hand will not be sufficient to fund our operations, as currently planned, for more than one year beyond the filing date of this prospectus, we have determined that there is substantial doubt regarding our ability to continue as a going concern. If we do not raise sufficient funds under our Controlled Equity OfferingSM Sales Agreement with Cantor Fitzgerald &amp; Co., as sales agent, or through other means, then in connection with the future filing of our Annual Report on Form 10-K for the year ended December 31, 2023, or the 2023 Form 10-K, we expect that we will disclose in such filing that we will not have sufficient liquidity to fund our operations for more than one year beyond the filing date of the 2023 Form 10-K and therefore that raises substantial doubt about our ability to continue as a going concern. As a result, we expect that the opinion from our independent registered public accounting firm on such annual financial statements will contain an explanatory paragraph about such substantial doubt about our ability to continue as a going concern. We will require contribution from revenues or additional funding for the development of our future product candidates through regulatory authorization or approval and commercialization, if authorized or approved, and to support our continued operations. There is no assurance that we will be successful in obtaining sufficient funding on acceptable terms, if at all, and we could be forced to delay, reduce or eliminate some or all of our research and development programs, product portfolio expansion or commercialization efforts, which could materially adversely affect our business prospects or our ability to continue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June 2020. Our principal executive offices are located at 1601 Trapelo Road, Suite 178, Waltham, MA 02451 and our telephone number is (781) 819-0080. Our website address is www.invivyd.com. We do not incorporate the information on, or accessible through, our website into this prospectus, and you should not consider any information on, or accessible through, our website as part of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Jumpstart Our Business Startups Act of 2012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auditor attestation requirement in the assessment of our internal control over financial reporting;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requirements of the Public Company Accounting Oversight Board regarding the communication of critical audit matters in the auditors report on the financial statements.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Securities Exchange Act of 1934, as amended, or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Description of Transactions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is being filed pursuant to the registration rights granted pursuant to that certain Second Amended and Restated Investors Rights Agreement, dated April 16, 2021, or the Investors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and that certain Common Stock Purchase Warrant, dated November 15, 2022, or the Common Stock Warrant, pursuant to which we agreed to register the resale of the shares covered by this prospectus, which we collectively refer to herein as the Registration Rights Agreements.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Investors Rights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April 2021, we entered into a Second Amended and Restated Investors Rights Agreement with certain stockholders who had purchased shares of our preferred stock prior to our initial public offering. The registration rights provisions of the Investors Rights Agreement provide the stockholders party thereto with, among other rights, demand, piggyback and Form S-3 registration rights with respect to the shares of our common stock that were held by them at such time and issuable to them upon conversion of our preferred stock in connection with our initial public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Investors Rights Agreement, at any time after we became eligible to file a registration statement on Form S-3, the holders of at least 30% of the registrable securities then outstanding were entitled to request to have such shares registered by us on a Form S-3 registration statement, subject to certain limitations as set forth in the Investors Rights Agreement. On January 4, 2024, we received a request from the requisite holders to register such registrable securities. Upon such request, all holders of registrable securities under the Investors Rights Agreement became entitled to participate in the registration subject to the terms of the Investors Rights Agreement.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Common Stock Warrant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November 2022, we entered into a Master Services Agreement with Population Health Partners, L.P., or PHP, pursuant to which PHP agreed to provide services and create deliverables for us as agreed between us and PHP and set forth in one or more work orders under such agreement. On such date, we and PHP entered into the first work order under such arrangement, which we refer to herein as the PHP Work Order. As partial compensation for the services and deliverables under the PHP Work Order, we issued the Common Stock Warrant to PHP to purchase up to an aggregate of 6,824,712 shares of common stock at an exercise price of $3.48 per share, with such Common Stock Warrant vesting in three separate tranches based on our market capitalization. In connection with the Common Stock Warrant, we granted PHP certain piggyback registration rights requiring us to register any shares of common stock underlying the Common Stock Warrant for resale with the SEC, subject to our existing obligations under the Investors Rights Agreement. As a result of the request we received pursuant to the Investors Rights Agreement, PHP became entitled to exercise, and subsequently exercised, such piggyback registration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oc753127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offered by the selling stockholders: </w:t>
            </w:r>
          </w:p>
        </w:tc>
        <w:tc>
          <w:tcPr>
            <w:tcW w:w="6327" w:type="dxa"/>
            <w:tcBorders/>
          </w:tcPr>
          <w:p>
            <w:pPr>
              <w:pStyle w:val="TableContents"/>
              <w:bidi w:val="0"/>
              <w:spacing w:before="0" w:after="283"/>
              <w:jc w:val="left"/>
              <w:rPr/>
            </w:pPr>
            <w:r>
              <w:rPr/>
              <w:t xml:space="preserve">37,745,998 shares, which consists of (i) 30,921,286 shares of common stock issued and outstanding and (ii) 6,824,712 shares of common stock issuable upon exercise of an outstanding common stock purchase warrant issued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outstanding before this offering: </w:t>
            </w:r>
          </w:p>
        </w:tc>
        <w:tc>
          <w:tcPr>
            <w:tcW w:w="6329" w:type="dxa"/>
            <w:tcBorders/>
          </w:tcPr>
          <w:p>
            <w:pPr>
              <w:pStyle w:val="TableContents"/>
              <w:bidi w:val="0"/>
              <w:spacing w:before="0" w:after="283"/>
              <w:jc w:val="left"/>
              <w:rPr/>
            </w:pPr>
            <w:r>
              <w:rPr/>
              <w:t xml:space="preserve">118,846,329 shares, which consists of (i) 109,846,329 shares of our common stock outstanding as of September 30, 2023 and (ii) 9,000,000 shares of our common stock sold subsequent to September 30, 2023 through February 6, 2024 pursuant to our Controlled Equity OfferingSM Sales Agreement with Cantor Fitzgerald &amp; Co., as sales agent.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outstanding after completion of this offering (assuming full exercise of the common stock purchase warrant that is exercisable for certain of the shares of common stock offered hereby): </w:t>
            </w:r>
          </w:p>
        </w:tc>
        <w:tc>
          <w:tcPr>
            <w:tcW w:w="6326" w:type="dxa"/>
            <w:tcBorders/>
          </w:tcPr>
          <w:p>
            <w:pPr>
              <w:pStyle w:val="TableContents"/>
              <w:bidi w:val="0"/>
              <w:spacing w:before="0" w:after="283"/>
              <w:jc w:val="left"/>
              <w:rPr/>
            </w:pPr>
            <w:r>
              <w:rPr/>
              <w:t xml:space="preserve">125,671,041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Terms of this offering: </w:t>
            </w:r>
          </w:p>
        </w:tc>
        <w:tc>
          <w:tcPr>
            <w:tcW w:w="6328" w:type="dxa"/>
            <w:tcBorders/>
          </w:tcPr>
          <w:p>
            <w:pPr>
              <w:pStyle w:val="TableContents"/>
              <w:bidi w:val="0"/>
              <w:spacing w:before="0" w:after="283"/>
              <w:jc w:val="left"/>
              <w:rPr/>
            </w:pPr>
            <w:r>
              <w:rPr/>
              <w:t xml:space="preserve">The selling stockholders, including their transferees, donees, pledgees, assignees and successors-in-interest, may, from time to time, sell, transfer or otherwise dispose of any or all of the shares of our common stock offered by this prospectus from time to time on the Nasdaq Global Market or any other stock exchange, market or trading facility on which the shares are traded or in private transactions. The shares of common stock may be sold at fixed prices, at market prices prevailing at the time of sale, at prices related to prevailing market price or at negotiated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All proceeds from the sale of shares of common stock offered hereby will be for the account of the selling stockholders. We will not receive any proceeds from the sale of common stock offered pursuant to this prospectus. We will receive proceeds equal to up to the total exercise price of the common stock purchase warrant to the extent that such warrant is exercised for cash. We will receive an aggregate of approximately $23.75 million from the exercise of the common stock purchase warrant, assuming the exercise in full of such warrant for cash. We expect to use any proceeds received by us from the cash exercise of the common stock purchase warrant for working capital and other general corporate purposes.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Market symbol: </w:t>
            </w:r>
          </w:p>
        </w:tc>
        <w:tc>
          <w:tcPr>
            <w:tcW w:w="6328" w:type="dxa"/>
            <w:tcBorders/>
          </w:tcPr>
          <w:p>
            <w:pPr>
              <w:pStyle w:val="TableContents"/>
              <w:bidi w:val="0"/>
              <w:spacing w:before="0" w:after="283"/>
              <w:jc w:val="left"/>
              <w:rPr/>
            </w:pPr>
            <w:r>
              <w:rPr/>
              <w:t xml:space="preserve">IVVD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Trading: </w:t>
            </w:r>
          </w:p>
        </w:tc>
        <w:tc>
          <w:tcPr>
            <w:tcW w:w="6330" w:type="dxa"/>
            <w:tcBorders/>
          </w:tcPr>
          <w:p>
            <w:pPr>
              <w:pStyle w:val="TableContents"/>
              <w:bidi w:val="0"/>
              <w:spacing w:before="0" w:after="283"/>
              <w:jc w:val="left"/>
              <w:rPr/>
            </w:pPr>
            <w:r>
              <w:rPr/>
              <w:t xml:space="preserve">Our shares of common stock currently trade on the Nasdaq Global Market. There is no established trading market for the common stock purchase warrant that is exercisable for certain of the shares offered hereby, and we do not intend to list the warrant on any securities exchange or other trading system.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Investing in our securities involves a high degree of risk and purchasers of our securities may lose their entire investment. See the information under the caption Risk Factors beginning on page 9 of this prospectus and the other information included elsewhere in this prospectus and incorporated by reference herein for a discussion of factors you should consider before deciding to invest in our securities.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Outstanding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109,846,329 shares of our common stock outstanding as of September 30, 2023, plus 9,000,000 shares of our common stock sold subsequent to September 30, 2023 through February 6, 2024 pursuant to our Controlled Equity OfferingSM Sales Agreement with Cantor Fitzgerald &amp; Co., as sales agent, or the Sales Agreement, at a weighted-average sales price of $4.50 per share of common stock. Unless specifically stated otherwise, the information in this prospectus is as of September 30, 2023,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22,046,348 shares of our common stock issuable upon the exercise of stock options outstanding as of September 30, 2023 at a weighted-average exercise price of $5.63 per share (less 315,396 shares of our common stock issued upon the exercise of stock options subsequent to September 30, 2023 through February 6, 2024, at a weighted average exercise price of $0.78 per share of common stock and less 2,737,649 shares of our common stock underlying stock options that were forfeited due to the cancellation or expiration of stock options subsequent to September 30, 2023 through February 6, 2024, at a weighted average exercise price of $7.50 per share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20,233,522 shares of our common stock available for future issuance under our 2021 Equity Incentive Plan, or the 2021 Plan, as of September 30, 2023, as well as any future annual increases in the number of shares of common stock reserved for issuance under our 2021 Plan pursuant to the evergreen provision thereof (less 7,226,000 shares issuable upon the exercise of stock options granted subsequent to September 30, 2023 through February 6, 2024, plus 2,737,649 shares of our common stock that were forfeited due to the cancellation and/or expiration of stock options subsequent to September 30, 2023 through February 6, 2024, plus 3,304,820 shares of our common stock that were added to the 2021 Plan effective as of January 1, 2024 pursuant to the evergreen provision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1,082,501 shares of our common stock reserved for future issuance under our 2021 Employee Stock Purchase Plan, or ESPP, as of September 30, 2023 (less 30,724 shares issued on December 4, 2023), as well as any future annual increases in the number of shares of common stock reserved for future issuance under our ESPP pursuant to the evergreen provision thereof;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31,765 shares of unvested restricted common stock repurchased by us in October 2023 at the original purchase price upon a termination of service of an employee during the vesting period. In December 2023, we retired the 31,765 shares of treasury stock. Upon retirement, such shares were redesignated as authorized but unissued shares of our common stock.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number of shares of our common stock to be outstanding immediately after this offering excludes additional shares of our common stock that we may sell pursuant to the Sales Agreement. As of the date of this prospectus, we may sell up to approximately $34.5 million of common stock pursuant to the Sales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oc753127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a high degree of risk. You should carefully consider the risks described below, together with all of the other information contained in this prospectus and in the documents incorporated by reference in this prospectus, before you decide to purchase our securities. In particular, you should carefully consider and evaluate the risks and uncertainties described in Part I  Item 1A. Risk Factors of our most recent Annual Report on Form 10-K, as updated by the additional risks and uncertainties set forth in the other documents incorporated by reference in this prospectus, as well as the risks and uncertainties described under the heading Risk Factors contained in the applicable prospectus or prospectus supplement or in any other document incorporated by reference into this prospectus. Any of the risks and uncertainties set forth herein or therein could materially and adversely affect our business, results of operations and financial condition, which in turn could materially and adversely affect the trading price or value of our securities. As a result, you could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Position and Need for Additional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history of losses and expect to incur substantial future losses; because our funds currently on hand will not be sufficient to fund our operations, as currently planned, for more than one year beyond the filing date of this prospectus, we have determined that there is substantial doubt regarding our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with a limited operating history. To date, we have not generated any revenue from the sale of products and have incurred losses in each year since our inception in 2020. Our net loss was $125.0 million for the nine months ended September 30, 2023. Our net loss was $241.3 million for the year ended December 31, 2022. All of our product candidates, other than adintrevimab, are in clinical or preclinical development, none have been authorized or approved for sale and we may never have a product candidate authorized or approved for commercialization. To date, we have financed our operations primarily through sales of our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Based on our current operating plans and excluding any contribution from revenues or external financing, we believe that our existing cash and cash equivalents will not be sufficient to fund our operating expenses and capital expenditure requirements for more than one year beyond the filing date of this prospectus. Specifically, we believe these funds will be sufficient to fund our operating expenses and capital expenditure requirements into the fourth quarter of 2024. </w:t>
      </w:r>
    </w:p>
    <w:p>
      <w:pPr>
        <w:pStyle w:val="TextBody"/>
        <w:bidi w:val="0"/>
        <w:spacing w:before="240" w:after="0"/>
        <w:jc w:val="left"/>
        <w:rPr>
          <w:rFonts w:ascii="Times New Roman" w:hAnsi="Times New Roman"/>
          <w:sz w:val="20"/>
        </w:rPr>
      </w:pPr>
      <w:r>
        <w:rPr>
          <w:rFonts w:ascii="Times New Roman" w:hAnsi="Times New Roman"/>
          <w:sz w:val="20"/>
        </w:rPr>
        <w:t xml:space="preserve">Because our funds currently on hand will not be sufficient to fund our operations for more than one year beyond the filing date of this prospectus, we have determined that there is substantial doubt regarding our ability to continue as a going concern. If we do not raise sufficient funds under the Sales Agreement or through other means, then in connection with our future filing of the 2023 Form 10-K, we expect that we will disclose in such filing that we will not have sufficient liquidity to fund our operations for more than one year beyond the filing date of the 2023 Form 10-K and therefore that raises substantial doubt about our ability to continue as a going concern. As a result, we expect that the opinion from our independent registered public accounting firm on such annual financial statements will contain an explanatory paragraph about such substantial doubt about our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substantial doubt about our ability to continue as a going concern may adversely affect our stock price and our ability to raise capital. If we are unable to obtain additional capital, we may not be able to continue our operations on the scope or scale as currently conducted, and that could have a material adverse effect on our business,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oc753127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shares of our common stock offered by this prospectus are being registered for the account of the selling stockholders. We will not receive any of the proceeds from the sale of these shares. We have agreed to pay all costs, expenses and fees relating to the registration of the shares of our common stock covered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however, receive cash proceeds equal to up to the total exercise price of the Common Stock Warrant to the extent that the Common Stock Warrant is exercised for cash. We will receive an aggregate of approximately $23.75 million from the exercise of the Common Stock Warrant, assuming the exercise in full of the Common Stock Warrant for cash. We expect to use any proceeds received by us from the cash exercise of the Common Stock Warrant for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when or if the Common Stock Warrant will vest or be exercised, and it is possible that the Common Stock Warrant may expire and never vest or be exercised. In addition, the Common Stock Warrant is exercisable on a cashless basis and should the Common Stock Warrant be exercised on a cashless basis we will not receive any proceeds from the sale of common stock issued upon the cashless exercise of the Common Stock Warrant. As a result, we may never receive meaningful, or any, cash proceeds from the exercise of the Common Stock Warrant, and we cannot plan on any specific uses of any proceeds we may receive beyond the purposes described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oc753127_7"/>
      <w:bookmarkEnd w:id="9"/>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covers an aggregate of 37,745,998 shares of our common stock that may be sold or otherwise disposed of by the selling stockholders, which consists of (i) 30,921,286 issued and outstanding shares of our common stock and (ii) 6,824,712 shares of common stock issuable upon exercise of the Common Stock Warrant.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with respect to each selling stockholder, including (x) the shares of our common stock beneficially owned by such selling stockholder prior to this offering, (y) the number of shares being offered by such selling stockholder pursuant to this prospectus and (z) such selling stockholders beneficial ownership after completion of this offering, assuming that all of the shares covered hereby (but none of the other shares, if any, held by the selling stockholders) are sold to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The table is based on information supplied to us by the selling stockholders, with beneficial ownership and percentage ownership determined in accordance with the rules and regulations of the SEC and includes voting or investment power with respect to shares of stock. This information does not necessarily indicate beneficial ownership for any other purpose. The percentage of beneficial ownership after this offering is based on 109,846,329 shares outstanding as of September 30, 2023, plus 9,000,000 shares of our common stock sold subsequent to September 30, 2023 through February 6, 2024 pursuant to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of the shares of common stock held by the selling stockholders and the shares of common stock issuable to PHP pursuant to the terms of the Common Stock Warrant does not mean that the selling stockholders will sell or otherwise dispose of all or any of those securities. The selling stockholders may sell or otherwise dispose of all, a portion or none of such shares from time to time. We do not know the number of shares, if any, that will be offered for sale or other disposition by any of the selling stockholders under this prospectus. Furthermore, the selling stockholders may have sold, transferred or disposed of the shares of common stock covered hereby in transactions exempt from the registration requirements of the Securities Act since the date on which we filed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the selling stockholders may change over time. Any changed information will be set forth in an amendment to the registration statement (of which this prospectus forms a part) or a supplement to this prospectus, to the extent required by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09"/>
        <w:gridCol w:w="139"/>
        <w:gridCol w:w="115"/>
        <w:gridCol w:w="2198"/>
        <w:gridCol w:w="470"/>
        <w:gridCol w:w="139"/>
        <w:gridCol w:w="60"/>
        <w:gridCol w:w="1135"/>
        <w:gridCol w:w="60"/>
        <w:gridCol w:w="139"/>
        <w:gridCol w:w="75"/>
        <w:gridCol w:w="847"/>
        <w:gridCol w:w="490"/>
        <w:gridCol w:w="138"/>
        <w:gridCol w:w="422"/>
        <w:gridCol w:w="999"/>
        <w:gridCol w:w="70"/>
      </w:tblGrid>
      <w:tr>
        <w:trPr/>
        <w:tc>
          <w:tcPr>
            <w:tcW w:w="270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70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313" w:type="dxa"/>
            <w:gridSpan w:val="2"/>
            <w:tcBorders>
              <w:bottom w:val="single" w:sz="8" w:space="0" w:color="000000"/>
            </w:tcBorders>
            <w:tcMar>
              <w:bottom w:w="28" w:type="dxa"/>
            </w:tcMar>
            <w:vAlign w:val="bottom"/>
          </w:tcPr>
          <w:p>
            <w:pPr>
              <w:pStyle w:val="TableContents"/>
              <w:bidi w:val="0"/>
              <w:spacing w:before="0" w:after="283"/>
              <w:jc w:val="center"/>
              <w:rPr/>
            </w:pPr>
            <w:r>
              <w:rPr>
                <w:b/>
              </w:rPr>
              <w:t>Beneficial Ownership</w:t>
            </w:r>
            <w:r>
              <w:rPr/>
              <w:br/>
            </w:r>
            <w:r>
              <w:rPr>
                <w:b/>
              </w:rPr>
              <w:t>Prior to This Offering</w:t>
            </w:r>
          </w:p>
        </w:tc>
        <w:tc>
          <w:tcPr>
            <w:tcW w:w="470" w:type="dxa"/>
            <w:tcBorders/>
            <w:vAlign w:val="bottom"/>
          </w:tcPr>
          <w:p>
            <w:pPr>
              <w:pStyle w:val="TableContents"/>
              <w:bidi w:val="0"/>
              <w:spacing w:before="0" w:after="283"/>
              <w:jc w:val="left"/>
              <w:rPr/>
            </w:pPr>
            <w:r>
              <w:rPr/>
              <w:t> </w:t>
            </w:r>
          </w:p>
        </w:tc>
        <w:tc>
          <w:tcPr>
            <w:tcW w:w="139" w:type="dxa"/>
            <w:vMerge w:val="restart"/>
            <w:tcBorders/>
            <w:vAlign w:val="bottom"/>
          </w:tcPr>
          <w:p>
            <w:pPr>
              <w:pStyle w:val="TableContents"/>
              <w:bidi w:val="0"/>
              <w:spacing w:before="0" w:after="283"/>
              <w:jc w:val="left"/>
              <w:rPr/>
            </w:pPr>
            <w:r>
              <w:rPr/>
              <w:t> </w:t>
            </w:r>
          </w:p>
        </w:tc>
        <w:tc>
          <w:tcPr>
            <w:tcW w:w="119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Shares of</w:t>
              <w:br/>
              <w:t>Common</w:t>
              <w:br/>
              <w:t>Stock to be</w:t>
              <w:br/>
              <w:t>Sold in This</w:t>
              <w:br/>
              <w:t>Offering(2)</w:t>
            </w:r>
          </w:p>
        </w:tc>
        <w:tc>
          <w:tcPr>
            <w:tcW w:w="60" w:type="dxa"/>
            <w:vMerge w:val="restart"/>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1" w:type="dxa"/>
            <w:gridSpan w:val="6"/>
            <w:tcBorders>
              <w:bottom w:val="single" w:sz="8" w:space="0" w:color="000000"/>
            </w:tcBorders>
            <w:tcMar>
              <w:bottom w:w="28" w:type="dxa"/>
            </w:tcMar>
            <w:vAlign w:val="bottom"/>
          </w:tcPr>
          <w:p>
            <w:pPr>
              <w:pStyle w:val="TableContents"/>
              <w:bidi w:val="0"/>
              <w:spacing w:before="0" w:after="283"/>
              <w:jc w:val="center"/>
              <w:rPr/>
            </w:pPr>
            <w:r>
              <w:rPr>
                <w:b/>
              </w:rPr>
              <w:t>Beneficial Ownership</w:t>
            </w:r>
            <w:r>
              <w:rPr/>
              <w:br/>
            </w:r>
            <w:r>
              <w:rPr>
                <w:b/>
              </w:rPr>
              <w:t>After This Offering</w:t>
            </w:r>
          </w:p>
        </w:tc>
        <w:tc>
          <w:tcPr>
            <w:tcW w:w="70" w:type="dxa"/>
            <w:tcBorders/>
            <w:vAlign w:val="bottom"/>
          </w:tcPr>
          <w:p>
            <w:pPr>
              <w:pStyle w:val="TableContents"/>
              <w:bidi w:val="0"/>
              <w:spacing w:before="0" w:after="283"/>
              <w:jc w:val="left"/>
              <w:rPr/>
            </w:pPr>
            <w:r>
              <w:rPr/>
              <w:t> </w:t>
            </w:r>
          </w:p>
        </w:tc>
      </w:tr>
      <w:tr>
        <w:trPr/>
        <w:tc>
          <w:tcPr>
            <w:tcW w:w="27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Selling Stockholder(1)</w:t>
            </w:r>
          </w:p>
        </w:tc>
        <w:tc>
          <w:tcPr>
            <w:tcW w:w="139" w:type="dxa"/>
            <w:tcBorders/>
            <w:vAlign w:val="bottom"/>
          </w:tcPr>
          <w:p>
            <w:pPr>
              <w:pStyle w:val="TableContents"/>
              <w:bidi w:val="0"/>
              <w:spacing w:before="0" w:after="283"/>
              <w:jc w:val="left"/>
              <w:rPr/>
            </w:pPr>
            <w:r>
              <w:rPr/>
              <w:t> </w:t>
            </w:r>
          </w:p>
        </w:tc>
        <w:tc>
          <w:tcPr>
            <w:tcW w:w="23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Owned</w:t>
            </w:r>
          </w:p>
        </w:tc>
        <w:tc>
          <w:tcPr>
            <w:tcW w:w="470" w:type="dxa"/>
            <w:tcBorders/>
            <w:vAlign w:val="bottom"/>
          </w:tcPr>
          <w:p>
            <w:pPr>
              <w:pStyle w:val="TableContents"/>
              <w:bidi w:val="0"/>
              <w:spacing w:before="0" w:after="283"/>
              <w:jc w:val="left"/>
              <w:rPr/>
            </w:pPr>
            <w:r>
              <w:rPr/>
              <w:t> </w:t>
            </w:r>
          </w:p>
        </w:tc>
        <w:tc>
          <w:tcPr>
            <w:tcW w:w="139" w:type="dxa"/>
            <w:vMerge w:val="continue"/>
            <w:tcBorders/>
            <w:vAlign w:val="bottom"/>
          </w:tcPr>
          <w:p>
            <w:pPr>
              <w:pStyle w:val="Normal"/>
              <w:bidi w:val="0"/>
              <w:jc w:val="left"/>
              <w:rPr/>
            </w:pPr>
            <w:r>
              <w:rPr/>
            </w:r>
          </w:p>
        </w:tc>
        <w:tc>
          <w:tcPr>
            <w:tcW w:w="119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9"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Owned</w:t>
            </w:r>
          </w:p>
        </w:tc>
        <w:tc>
          <w:tcPr>
            <w:tcW w:w="4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Outstanding</w:t>
              <w:br/>
              <w:t>Shares</w:t>
            </w:r>
          </w:p>
        </w:tc>
        <w:tc>
          <w:tcPr>
            <w:tcW w:w="70" w:type="dxa"/>
            <w:tcBorders/>
            <w:vAlign w:val="bottom"/>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Adimab, LLC (3)</w:t>
            </w:r>
          </w:p>
        </w:tc>
        <w:tc>
          <w:tcPr>
            <w:tcW w:w="13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21,687,906</w:t>
            </w:r>
          </w:p>
        </w:tc>
        <w:tc>
          <w:tcPr>
            <w:tcW w:w="47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21,687,906</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4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Clive Meanwell, M.D. (4)</w:t>
            </w:r>
          </w:p>
        </w:tc>
        <w:tc>
          <w:tcPr>
            <w:tcW w:w="13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1,201,680</w:t>
            </w:r>
          </w:p>
        </w:tc>
        <w:tc>
          <w:tcPr>
            <w:tcW w:w="47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521,858</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4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Polaris Partners IX, L.P. (5) </w:t>
            </w:r>
          </w:p>
        </w:tc>
        <w:tc>
          <w:tcPr>
            <w:tcW w:w="13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4,800,460</w:t>
            </w:r>
          </w:p>
        </w:tc>
        <w:tc>
          <w:tcPr>
            <w:tcW w:w="47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4,755,460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45,000</w:t>
            </w:r>
          </w:p>
        </w:tc>
        <w:tc>
          <w:tcPr>
            <w:tcW w:w="4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center"/>
              <w:rPr/>
            </w:pPr>
            <w:r>
              <w:rPr/>
              <w:t>*</w:t>
            </w:r>
          </w:p>
        </w:tc>
        <w:tc>
          <w:tcPr>
            <w:tcW w:w="70" w:type="dxa"/>
            <w:tcBorders/>
            <w:shd w:fill="CCEEFF" w:val="clear"/>
            <w:vAlign w:val="bottom"/>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Polaris Venture Partners Founders Fund V, L.P. (6)</w:t>
            </w:r>
          </w:p>
        </w:tc>
        <w:tc>
          <w:tcPr>
            <w:tcW w:w="13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21,374</w:t>
            </w:r>
          </w:p>
        </w:tc>
        <w:tc>
          <w:tcPr>
            <w:tcW w:w="47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19,540</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1,834</w:t>
            </w:r>
          </w:p>
        </w:tc>
        <w:tc>
          <w:tcPr>
            <w:tcW w:w="4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center"/>
              <w:rPr/>
            </w:pPr>
            <w:r>
              <w:rPr/>
              <w:t>*</w:t>
            </w:r>
          </w:p>
        </w:tc>
        <w:tc>
          <w:tcPr>
            <w:tcW w:w="70" w:type="dxa"/>
            <w:tcBorders/>
            <w:vAlign w:val="bottom"/>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Polaris Venture Partners V, L.P. (7)</w:t>
            </w:r>
          </w:p>
        </w:tc>
        <w:tc>
          <w:tcPr>
            <w:tcW w:w="13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3,120,194</w:t>
            </w:r>
          </w:p>
        </w:tc>
        <w:tc>
          <w:tcPr>
            <w:tcW w:w="47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2,852,425</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267,769</w:t>
            </w:r>
          </w:p>
        </w:tc>
        <w:tc>
          <w:tcPr>
            <w:tcW w:w="4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center"/>
              <w:rPr/>
            </w:pPr>
            <w:r>
              <w:rPr/>
              <w:t>*</w:t>
            </w:r>
          </w:p>
        </w:tc>
        <w:tc>
          <w:tcPr>
            <w:tcW w:w="70" w:type="dxa"/>
            <w:tcBorders/>
            <w:shd w:fill="CCEEFF" w:val="clear"/>
            <w:vAlign w:val="bottom"/>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Polaris Venture Partners Entrepreneurs Fund V, L.P. (8)</w:t>
            </w:r>
          </w:p>
        </w:tc>
        <w:tc>
          <w:tcPr>
            <w:tcW w:w="13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60,814</w:t>
            </w:r>
          </w:p>
        </w:tc>
        <w:tc>
          <w:tcPr>
            <w:tcW w:w="47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55,595</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5,219</w:t>
            </w:r>
          </w:p>
        </w:tc>
        <w:tc>
          <w:tcPr>
            <w:tcW w:w="4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center"/>
              <w:rPr/>
            </w:pPr>
            <w:r>
              <w:rPr/>
              <w:t>*</w:t>
            </w:r>
          </w:p>
        </w:tc>
        <w:tc>
          <w:tcPr>
            <w:tcW w:w="70" w:type="dxa"/>
            <w:tcBorders/>
            <w:vAlign w:val="bottom"/>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Polaris Venture Partners Special Founders Fund V, L.P. (9)</w:t>
            </w:r>
          </w:p>
        </w:tc>
        <w:tc>
          <w:tcPr>
            <w:tcW w:w="13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31,198</w:t>
            </w:r>
          </w:p>
        </w:tc>
        <w:tc>
          <w:tcPr>
            <w:tcW w:w="47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28,520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2,678</w:t>
            </w:r>
          </w:p>
        </w:tc>
        <w:tc>
          <w:tcPr>
            <w:tcW w:w="4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center"/>
              <w:rPr/>
            </w:pPr>
            <w:r>
              <w:rPr/>
              <w:t>*</w:t>
            </w:r>
          </w:p>
        </w:tc>
        <w:tc>
          <w:tcPr>
            <w:tcW w:w="70" w:type="dxa"/>
            <w:tcBorders/>
            <w:shd w:fill="CCEEFF" w:val="clear"/>
            <w:vAlign w:val="bottom"/>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Polaris Healthcare Technology Opportunities Fund, L.P. (10)</w:t>
            </w:r>
          </w:p>
        </w:tc>
        <w:tc>
          <w:tcPr>
            <w:tcW w:w="13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497,660</w:t>
            </w:r>
          </w:p>
        </w:tc>
        <w:tc>
          <w:tcPr>
            <w:tcW w:w="47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320,160</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177,500</w:t>
            </w:r>
          </w:p>
        </w:tc>
        <w:tc>
          <w:tcPr>
            <w:tcW w:w="4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center"/>
              <w:rPr/>
            </w:pPr>
            <w:r>
              <w:rPr/>
              <w:t>*</w:t>
            </w:r>
          </w:p>
        </w:tc>
        <w:tc>
          <w:tcPr>
            <w:tcW w:w="70" w:type="dxa"/>
            <w:tcBorders/>
            <w:vAlign w:val="bottom"/>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Population Health Equity Partners III, L.P. (11)</w:t>
            </w:r>
          </w:p>
        </w:tc>
        <w:tc>
          <w:tcPr>
            <w:tcW w:w="13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359,662</w:t>
            </w:r>
          </w:p>
        </w:tc>
        <w:tc>
          <w:tcPr>
            <w:tcW w:w="47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359,662</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49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Population Health Equity Partners VII, L.P. (12)</w:t>
            </w:r>
          </w:p>
        </w:tc>
        <w:tc>
          <w:tcPr>
            <w:tcW w:w="13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right"/>
              <w:rPr/>
            </w:pPr>
            <w:r>
              <w:rPr/>
              <w:t>320,160</w:t>
            </w:r>
          </w:p>
        </w:tc>
        <w:tc>
          <w:tcPr>
            <w:tcW w:w="47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320,160</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49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Population Health Partners, L.P. (13)</w:t>
            </w:r>
          </w:p>
        </w:tc>
        <w:tc>
          <w:tcPr>
            <w:tcW w:w="13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right"/>
              <w:rPr/>
            </w:pPr>
            <w:r>
              <w:rPr/>
              <w:t>0</w:t>
            </w:r>
          </w:p>
        </w:tc>
        <w:tc>
          <w:tcPr>
            <w:tcW w:w="470" w:type="dxa"/>
            <w:tcBorders/>
            <w:shd w:fill="CCEEFF" w:val="clear"/>
            <w:vAlign w:val="bottom"/>
          </w:tcPr>
          <w:p>
            <w:pPr>
              <w:pStyle w:val="TableContents"/>
              <w:bidi w:val="0"/>
              <w:spacing w:before="0" w:after="283"/>
              <w:jc w:val="left"/>
              <w:rPr/>
            </w:pPr>
            <w:r>
              <w:rPr/>
              <w:t>(14)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6,824,712</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490" w:type="dxa"/>
            <w:tcBorders/>
            <w:shd w:fill="CCEEFF" w:val="clear"/>
            <w:vAlign w:val="bottom"/>
          </w:tcPr>
          <w:p>
            <w:pPr>
              <w:pStyle w:val="TableContents"/>
              <w:bidi w:val="0"/>
              <w:spacing w:before="0" w:after="283"/>
              <w:jc w:val="left"/>
              <w:rPr/>
            </w:pPr>
            <w:r>
              <w:rPr/>
              <w:t>(14) </w:t>
            </w:r>
          </w:p>
        </w:tc>
        <w:tc>
          <w:tcPr>
            <w:tcW w:w="138"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of the shares of common stock outstanding as of September 30,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and the information in the notes below are based upon information supplied by the selling stockholders.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actual number of shares of common stock offered hereby and included in the registration statement, of which this prospectus forms a part, includes, in accordance with Rule 416 under the Securities Act, such indeterminate number of additional shares of our common stock as may become issuable in connection with any proportionate adjustment for any stock splits, stock combinations, stock dividends, recapitalizations or similar events with respect to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Terrance McGuire, a current member of our Board, is a member of the Board of Directors of Adimab, LLC (the Adimab Board); (ii) Tillman U. Gerngross, Ph.D., a former member of our Board and our former Chief Executive Officer, is a member of the Adimab Board; (iii) Philip Chase, a former member of our Board, is the Chief Executive Officer of Adimab, LLC and a member of the Adimab Board; and (iv) Ajay Royan, a former member of our Board, is a member of the Adimab Board. Accordingly, these individuals disclaim beneficial ownership with respect to the shares held by Adimab, LLC except to the extent of their pecuniary interest therein. The principal business address of Adimab, LLC, Dr. Gerngross, Mr. Chase, and Mr. Royan is c/o Philip Chase, 7 Lucent Drive, Lebanon, NH 03766.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Clive Meanwell, M.D., is a member of our Board. The Number of Shares Owned with respect to the Beneficial Ownership Prior to this Offering of Dr. Meanwell consists of (i) 521,858 shares of our common stock held of record by Dr. Meanwell, (ii) 359,662 shares of our common stock held of record by Population Health Equity Partners III, L.P. (PHEP III), and (iii) 320,160 shares of our common stock held of record by Population Health Equity Partners VII, L.P. (PHEP VII). Population Health Equity Partners III GP, LLC (PHEP III GP) is the general partner of PHEP III and Population Health Equity Partners VII GP, LLC (PHEP VII GP) is the general partner of PHEP VII. Dr. Meanwell is a managing member of both PHEP III GP and PHEP VII GP and may be deemed to have shared voting, investment and dispositive power with respect to the securities held of record by PHEP III and PHEP VII. The principal business address of Dr. Meanwell is c/o Christopher Cox, Population Health Partners, L.P., 1200 Morris Turnpike, Suite 3005, Short Hills, NJ 07078.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Polaris Partners GP IX, L.L.C. (PPGP IX) is the general partner of Polaris Partners IX, L.P. and may be deemed to have shared voting, investment and dispositive power with respect to these securities. Terrance McGuire, an interest holder in PPGP IX and a member of our Board, and David Barrett, Brian Chee, Amir Nashat and Amy Schulman, the managing members of PPGP IX, may be deemed to have shared voting, investment and dispositive power with respect to these securities. The principal business address of each of the persons and entities referenced in this footnote is c/o Polaris Partners, One Marina Park Drive, 8th Floor, Boston, MA 02210.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Polaris Venture Management Co. V, L.L.C. (PVMC V) is the general partner of Polaris Venture Partners Founders Fund V, L.P. and may be deemed to have shared voting, investment and dispositive power with respect to these securities. Terrance McGuire, a member of our Board, and Jonathan Flint are the managing members of PVMC V and may be deemed to have shared voting, investment and dispositive power with respect to these securities. The principal business address of each of the persons and entities referenced in this footnote is c/o Polaris Partners, One Marina Park Drive, 8th Floor, Boston, MA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PVMC V is the general partner of Polaris Venture Partners V, L.P. and may be deemed to have shared voting, investment and dispositive power with respect to these securities. Terrance McGuire, a member of our Board, and Jonathan Flint are the managing members of PVMC V and may be deemed to have shared voting, investment and dispositive power with respect to these securities. The principal business address of each of the persons and entities referenced in this footnote is c/o Polaris Partners, One Marina Park Drive, 8th Floor, Boston, MA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PVMC V is the general partner of Polaris Venture Partners Entrepreneurs Fund V, L.P. and may be deemed to have shared voting, investment and dispositive power with respect to these securities. Terrance McGuire, a member of our Board, and Jonathan Flint are the managing members of PVMC V and may be deemed to have shared voting, investment and dispositive power with respect to these securities. The principal business address of each of the persons and entities referenced in this footnote is c/o Polaris Partners, One Marina Park Drive, 8th Floor, Boston, MA 02210.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PVMC V is the general partner of Polaris Venture Partners Special Founders Fund V, L.P. and may be deemed to have shared voting, investment and dispositive power with respect to these securities. Terrance McGuire, a member of our Board, and Jonathan Flint are the managing members of PVMC V and may be deemed to have shared voting, investment and dispositive power with respect to these securities. The principal business address of each of the persons and entities referenced in this footnote is c/o Polaris Partners, One Marina Park Drive, 8th Floor, Boston, MA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Polaris Healthcare Technology Opportunities Fund GP, L.L.C. (PHCT GP) is the general partner of Polaris Healthcare Technology Opportunities Fund, L.P. and may be deemed to have shared voting, investment and dispositive power with respect to these securities. Terrance McGuire, an interest holder in PHCT GP and a member of our Board, and David Barrett, Brian Chee, Amir Nashat and Amy Schulman, the managing members of PHCT GP, may be deemed to have shared voting, investment and dispositive power with respect to these securities. The principal business address of each of the persons and entities referenced in this footnote is c/o Polaris Partners, One Marina Park Drive, 8th Floor, Boston, MA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PHEP III GP is the general partner of PHEP III. Clive Meanwell, M.D., a member of our Board, and Chris Cox are the managing members of PHEP III GP and may be deemed to have shared voting, investment and dispositive power with respect to these securities. The principal business address of the entities and persons referenced in this footnote is c/o Christopher Cox, Population Health Partners, L.P., 1200 Morris Turnpike, Suite 3005, Short Hills, NJ 07078.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PHEP VII GP is the general partner of PHEP VII. Clive Meanwell, M.D., a member of our Board, and Chris Cox are the managing members of PHEP VII GP and may be deemed to have shared voting, investment and dispositive power with respect to these securities. The principal business address of the entities and persons referenced in this footnote is c/o Christopher Cox, Population Health Partners, L.P., 1200 Morris Turnpike, Suite 3005, Short Hills, NJ 07078.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Clive Meanwell, M.D., a member of our Board and a managing partner of Population Health Partners, L.P., Whit Bernard and Chris Cox may be deemed to have shared voting, investment and dispositive power with respect to these securities. Tamsin Berry, a member of our Board, is a limited partner of Population Health Partners, L.P. The principal business address of the entities and persons referenced in this footnote is c/o Christopher Cox, Population Health Partners, L.P., 1200 Morris Turnpike, Suite 3005, Short Hills, NJ 07078.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6,824,712 shares of our common stock issuable upon exercise of the Common Stock Warrant are not reflected in the beneficial ownership of Population Health Partners, L.P. prior to this offering. The Common Stock Warrant vests in three separate tranches based on our market capitalization, none of which had been met as of the date of this prospectus. As this registration statement covers the resale of all such shares of our common stock, the beneficial ownership of this selling stockholder after giving effect to this offering assumes the vesting, exercise and subsequent resale of all such shares of common stock. The Common Stock Warrant is subject to a beneficial ownership limitation of 4.99%, which such limitation restricts the holder from exercising that portion of the Common Stock Warrant that would result in it owning, after exercise, a number of shares of our common stock in excess of the beneficial ownership limitation. Population Health Partners, L.P. may increase or decrease such beneficial ownership limitation, but it no event may such beneficial ownership limitation exceed 19.99%.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than the transactions referred to herein, identified above and in documents filed by us with the SEC pursuant to Section 13(a), 13(c), 14 or 15(d) of the Exchange Act, the selling stockholders have not within the past three years had any position, office or other material relationship with us or any of our subsidiaries other than as a holder of our securities. To our knowledge, none of the selling stockholders are affiliates of broker-dealers.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oc753127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including their transferees, donees, pledgees, assignees and successors-in-interest, may, from time to time, sell, transfer or otherwise dispose of any or all of the shares of our common stock offered by this prospectus from time to time on the Nasdaq stock exchange or any other stock exchange, market or trading facility on which the stock is traded or in private transactions. These dispositions may be at fixed prices, at market prices prevailing at the time of sale, at prices related to prevailing market price or at negotiated prices. The selling stockholders may use any one or more of the following methods when disposing of the stock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stock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market or through market makers or into an existing market for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stock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also sell stock under Rule 144 under the Securities Act of 1933, as amended, or the Securities Act, if available, or pursuant to other available exemptions from registration requirements under the Securities Act, rather than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 selling stockholder that is an entity may elect to make an in-kind distribution of the common stock to its members, partners, stockholders or other equityholders pursuant to the registration statement of which this prospectus forms a part by delivering a prospectus. To the extent that such members, partners, stockholders or other equityholders are not affiliates of ours, such members, partners, stockholders or other equityholders would thereby receive freely tradable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Broker-dealers engaged by the selling stockholders may arrange for other brokers-dealers to participate in sales. Broker-dealers may receive commissions or discounts from the selling stockholders or, if any broker-dealer acts as agent for the purchaser of stock, from the purchaser in amounts to be negotiated. The selling stockholders do not expect these commissions and discounts relating to its sales of stock to exceed what is customary in the types of transactions involved.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selling stockholders may enter into hedging transactions with broker-dealers or other financial institutions, which may in turn engage in short sales of the common stock in the course of hedging the positions they assume. The selling stockholders may also sell our common stock short and deliver these securities to close out its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stock offered by this prospectus, which stock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broker-dealers or agents that are involved in selling the stock may be deemed to be underwriters within the meaning of the Securities Act in connection with such sales. In such event, any commissions received by such broker-dealers or agents and any profit on the resale of the stock purchased by them may be deemed to be underwriting commissions or discounts under the Securities Act. The selling stockholders have advised us that, at the time of receipt of its shares of common stock, they had not entered into any agreements or understandings, directly or indirectly, with any person to distribute such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common stock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 Because the selling stockholders may each be deemed to be an underwriter within the meaning of the Securities Act, they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stock will be sold only through registered or licensed brokers or dealers if required under applicable state securities laws. In addition, in certain states, the stock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rules and regulations under the Exchange Act, any person engaged in the distribution of the resale stock may not simultaneously engage in market making activities with respect to our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common stock by the selling stockholders or any other person. We will make copies of this prospectus available to the selling stockholders and have informed the selling stockholders of the need to deliver a copy of this prospectus to each purchaser at or prior to the time of the sale (including by compliance with Rule 172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certain losses, claims, damages and liabilities, including liabilities under the Securities Act. We may be indemnified by the selling stockholders against certain losses, claims, damages and liabilities, including liabilities under the Securities Act that may arise from any written information furnished to us by the selling stockholders specifically for use in the Registration Statement, or we may be entitled to contribution.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the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IVVD.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oc753127_9"/>
      <w:bookmarkEnd w:id="1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an Internet website at www.sec.gov that contains reports, proxy and information statements, and other information regarding issuers that file electronically with the SEC. Our reports on Forms 10-K, 10-Q and 8-K, and amendments to those reports, are also available for download, free of charge, as soon as reasonably practicable after these reports are filed with, or furnished to, the SEC, at our website at www.invivyd.com. Information contained on or accessible through our website is not a part of this prospectus or any prospectus supplement, and the inclusion of our website address in this prospectus is an inactive textual reference only. </w:t>
      </w:r>
    </w:p>
    <w:p>
      <w:pPr>
        <w:pStyle w:val="TextBody"/>
        <w:bidi w:val="0"/>
        <w:spacing w:before="480" w:after="0"/>
        <w:jc w:val="center"/>
        <w:rPr>
          <w:rFonts w:ascii="Times New Roman" w:hAnsi="Times New Roman"/>
          <w:b/>
          <w:sz w:val="20"/>
        </w:rPr>
      </w:pPr>
      <w:bookmarkStart w:id="12" w:name="toc753127_10"/>
      <w:bookmarkEnd w:id="12"/>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in other documents that we file with it. This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 We incorporate by reference in this prospectus (i) the documents listed below, (ii) all documents that we file with the SEC under Section 13(a), 13(c), 14 or 15(d) of the Exchange Act after the date of the initial filing of the registration statement of which this prospectus is included and prior to the effectiveness of such registration statement, and (iii) and any future filings that we may make with the SEC under Sections 13(a), 13(c), 14, or 15(d) of the Exchange Act prior to the termination of the offering under this prospectus; provided, however, that we are not incorporating, in each case, any documents or information deemed to have been furnished and not filed, including any information that we disclose under Items 2.02 or 7.01 of any Current Report on Form 8-K,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2022, filed with the SEC on March 23, 2023, with respect to which the consolidated financial statements for the fiscal year ended December 31, 2022 contained therein have been superseded by the consolidated financial statements filed as </w:t>
            </w:r>
            <w:hyperlink r:id="rId4">
              <w:r>
                <w:rPr>
                  <w:rStyle w:val="InternetLink"/>
                  <w:rFonts w:ascii="Times New Roman" w:hAnsi="Times New Roman"/>
                  <w:sz w:val="20"/>
                </w:rPr>
                <w:t>Exhibit 99.1</w:t>
              </w:r>
            </w:hyperlink>
            <w:r>
              <w:rPr>
                <w:rFonts w:ascii="Times New Roman" w:hAnsi="Times New Roman"/>
                <w:sz w:val="20"/>
              </w:rPr>
              <w:t xml:space="preserve"> to our Current Report on </w:t>
            </w:r>
            <w:hyperlink r:id="rId5">
              <w:r>
                <w:rPr>
                  <w:rStyle w:val="InternetLink"/>
                  <w:rFonts w:ascii="Times New Roman" w:hAnsi="Times New Roman"/>
                  <w:sz w:val="20"/>
                </w:rPr>
                <w:t>Form 8-K</w:t>
              </w:r>
            </w:hyperlink>
            <w:r>
              <w:rPr>
                <w:rFonts w:ascii="Times New Roman" w:hAnsi="Times New Roman"/>
                <w:sz w:val="20"/>
              </w:rPr>
              <w:t xml:space="preserve"> filed with the SEC on February 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portions of our </w:t>
            </w:r>
            <w:hyperlink r:id="rId6">
              <w:r>
                <w:rPr>
                  <w:rStyle w:val="InternetLink"/>
                  <w:rFonts w:ascii="Times New Roman" w:hAnsi="Times New Roman"/>
                  <w:sz w:val="20"/>
                </w:rPr>
                <w:t>Definitive Proxy Statement</w:t>
              </w:r>
            </w:hyperlink>
            <w:r>
              <w:rPr>
                <w:rFonts w:ascii="Times New Roman" w:hAnsi="Times New Roman"/>
                <w:sz w:val="20"/>
              </w:rPr>
              <w:t xml:space="preserve"> on Schedule 14A, filed with the SEC on April 10, 2023, that are incorporated by reference into Part III of our Annual Report on </w:t>
            </w:r>
            <w:hyperlink r:id="rId7">
              <w:r>
                <w:rPr>
                  <w:rStyle w:val="InternetLink"/>
                  <w:rFonts w:ascii="Times New Roman" w:hAnsi="Times New Roman"/>
                  <w:sz w:val="20"/>
                </w:rPr>
                <w:t xml:space="preserve">Form 10-K </w:t>
              </w:r>
            </w:hyperlink>
            <w:r>
              <w:rPr>
                <w:rFonts w:ascii="Times New Roman" w:hAnsi="Times New Roman"/>
                <w:sz w:val="20"/>
              </w:rPr>
              <w:t xml:space="preserve">for the fiscal year ended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2023, June 30, 2023 and September 30, 2023, filed with the SEC on </w:t>
            </w:r>
            <w:hyperlink r:id="rId8">
              <w:r>
                <w:rPr>
                  <w:rStyle w:val="InternetLink"/>
                  <w:rFonts w:ascii="Times New Roman" w:hAnsi="Times New Roman"/>
                  <w:sz w:val="20"/>
                </w:rPr>
                <w:t>May  11, 2023</w:t>
              </w:r>
            </w:hyperlink>
            <w:r>
              <w:rPr>
                <w:rFonts w:ascii="Times New Roman" w:hAnsi="Times New Roman"/>
                <w:sz w:val="20"/>
              </w:rPr>
              <w:t xml:space="preserve">, </w:t>
            </w:r>
            <w:hyperlink r:id="rId9">
              <w:r>
                <w:rPr>
                  <w:rStyle w:val="InternetLink"/>
                  <w:rFonts w:ascii="Times New Roman" w:hAnsi="Times New Roman"/>
                  <w:sz w:val="20"/>
                </w:rPr>
                <w:t>August  10, 2023</w:t>
              </w:r>
            </w:hyperlink>
            <w:r>
              <w:rPr>
                <w:rFonts w:ascii="Times New Roman" w:hAnsi="Times New Roman"/>
                <w:sz w:val="20"/>
              </w:rPr>
              <w:t xml:space="preserve">, and </w:t>
            </w:r>
            <w:hyperlink r:id="rId10">
              <w:r>
                <w:rPr>
                  <w:rStyle w:val="InternetLink"/>
                  <w:rFonts w:ascii="Times New Roman" w:hAnsi="Times New Roman"/>
                  <w:sz w:val="20"/>
                </w:rPr>
                <w:t>November 9, 2023</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our Current Reports on Form 8-K (other than the portions thereof that are furnished and not filed) filed with the SEC on </w:t>
            </w:r>
            <w:hyperlink r:id="rId11">
              <w:r>
                <w:rPr>
                  <w:rStyle w:val="InternetLink"/>
                  <w:rFonts w:ascii="Times New Roman" w:hAnsi="Times New Roman"/>
                  <w:sz w:val="20"/>
                </w:rPr>
                <w:t>January 9,  2023</w:t>
              </w:r>
            </w:hyperlink>
            <w:r>
              <w:rPr>
                <w:rFonts w:ascii="Times New Roman" w:hAnsi="Times New Roman"/>
                <w:sz w:val="20"/>
              </w:rPr>
              <w:t xml:space="preserve">, </w:t>
            </w:r>
            <w:hyperlink r:id="rId12">
              <w:r>
                <w:rPr>
                  <w:rStyle w:val="InternetLink"/>
                  <w:rFonts w:ascii="Times New Roman" w:hAnsi="Times New Roman"/>
                  <w:sz w:val="20"/>
                </w:rPr>
                <w:t>March  6, 2023</w:t>
              </w:r>
            </w:hyperlink>
            <w:r>
              <w:rPr>
                <w:rFonts w:ascii="Times New Roman" w:hAnsi="Times New Roman"/>
                <w:sz w:val="20"/>
              </w:rPr>
              <w:t xml:space="preserve">, </w:t>
            </w:r>
            <w:hyperlink r:id="rId13">
              <w:r>
                <w:rPr>
                  <w:rStyle w:val="InternetLink"/>
                  <w:rFonts w:ascii="Times New Roman" w:hAnsi="Times New Roman"/>
                  <w:sz w:val="20"/>
                </w:rPr>
                <w:t>May  2, 2023</w:t>
              </w:r>
            </w:hyperlink>
            <w:r>
              <w:rPr>
                <w:rFonts w:ascii="Times New Roman" w:hAnsi="Times New Roman"/>
                <w:sz w:val="20"/>
              </w:rPr>
              <w:t xml:space="preserve">, </w:t>
            </w:r>
            <w:hyperlink r:id="rId14">
              <w:r>
                <w:rPr>
                  <w:rStyle w:val="InternetLink"/>
                  <w:rFonts w:ascii="Times New Roman" w:hAnsi="Times New Roman"/>
                  <w:sz w:val="20"/>
                </w:rPr>
                <w:t>May  25, 2023</w:t>
              </w:r>
            </w:hyperlink>
            <w:r>
              <w:rPr>
                <w:rFonts w:ascii="Times New Roman" w:hAnsi="Times New Roman"/>
                <w:sz w:val="20"/>
              </w:rPr>
              <w:t xml:space="preserve">, </w:t>
            </w:r>
            <w:hyperlink r:id="rId15">
              <w:r>
                <w:rPr>
                  <w:rStyle w:val="InternetLink"/>
                  <w:rFonts w:ascii="Times New Roman" w:hAnsi="Times New Roman"/>
                  <w:sz w:val="20"/>
                </w:rPr>
                <w:t>June  29, 2023</w:t>
              </w:r>
            </w:hyperlink>
            <w:r>
              <w:rPr>
                <w:rFonts w:ascii="Times New Roman" w:hAnsi="Times New Roman"/>
                <w:sz w:val="20"/>
              </w:rPr>
              <w:t xml:space="preserve">, </w:t>
            </w:r>
            <w:hyperlink r:id="rId16">
              <w:r>
                <w:rPr>
                  <w:rStyle w:val="InternetLink"/>
                  <w:rFonts w:ascii="Times New Roman" w:hAnsi="Times New Roman"/>
                  <w:sz w:val="20"/>
                </w:rPr>
                <w:t>July  27, 2023</w:t>
              </w:r>
            </w:hyperlink>
            <w:r>
              <w:rPr>
                <w:rFonts w:ascii="Times New Roman" w:hAnsi="Times New Roman"/>
                <w:sz w:val="20"/>
              </w:rPr>
              <w:t xml:space="preserve">, </w:t>
            </w:r>
            <w:hyperlink r:id="rId17">
              <w:r>
                <w:rPr>
                  <w:rStyle w:val="InternetLink"/>
                  <w:rFonts w:ascii="Times New Roman" w:hAnsi="Times New Roman"/>
                  <w:sz w:val="20"/>
                </w:rPr>
                <w:t>September  5, 2023</w:t>
              </w:r>
            </w:hyperlink>
            <w:r>
              <w:rPr>
                <w:rFonts w:ascii="Times New Roman" w:hAnsi="Times New Roman"/>
                <w:sz w:val="20"/>
              </w:rPr>
              <w:t xml:space="preserve">, </w:t>
            </w:r>
            <w:hyperlink r:id="rId18">
              <w:r>
                <w:rPr>
                  <w:rStyle w:val="InternetLink"/>
                  <w:rFonts w:ascii="Times New Roman" w:hAnsi="Times New Roman"/>
                  <w:sz w:val="20"/>
                </w:rPr>
                <w:t>September  11, 2023</w:t>
              </w:r>
            </w:hyperlink>
            <w:r>
              <w:rPr>
                <w:rFonts w:ascii="Times New Roman" w:hAnsi="Times New Roman"/>
                <w:sz w:val="20"/>
              </w:rPr>
              <w:t xml:space="preserve">, </w:t>
            </w:r>
            <w:hyperlink r:id="rId19">
              <w:r>
                <w:rPr>
                  <w:rStyle w:val="InternetLink"/>
                  <w:rFonts w:ascii="Times New Roman" w:hAnsi="Times New Roman"/>
                  <w:sz w:val="20"/>
                </w:rPr>
                <w:t>November 9,  2023</w:t>
              </w:r>
            </w:hyperlink>
            <w:r>
              <w:rPr>
                <w:rFonts w:ascii="Times New Roman" w:hAnsi="Times New Roman"/>
                <w:sz w:val="20"/>
              </w:rPr>
              <w:t xml:space="preserve">, </w:t>
            </w:r>
            <w:hyperlink r:id="rId20">
              <w:r>
                <w:rPr>
                  <w:rStyle w:val="InternetLink"/>
                  <w:rFonts w:ascii="Times New Roman" w:hAnsi="Times New Roman"/>
                  <w:sz w:val="20"/>
                </w:rPr>
                <w:t>December  18, 2023</w:t>
              </w:r>
            </w:hyperlink>
            <w:r>
              <w:rPr>
                <w:rFonts w:ascii="Times New Roman" w:hAnsi="Times New Roman"/>
                <w:sz w:val="20"/>
              </w:rPr>
              <w:t xml:space="preserve">, </w:t>
            </w:r>
            <w:hyperlink r:id="rId21">
              <w:r>
                <w:rPr>
                  <w:rStyle w:val="InternetLink"/>
                  <w:rFonts w:ascii="Times New Roman" w:hAnsi="Times New Roman"/>
                  <w:sz w:val="20"/>
                </w:rPr>
                <w:t>December  22, 2023</w:t>
              </w:r>
            </w:hyperlink>
            <w:r>
              <w:rPr>
                <w:rFonts w:ascii="Times New Roman" w:hAnsi="Times New Roman"/>
                <w:sz w:val="20"/>
              </w:rPr>
              <w:t xml:space="preserve">, </w:t>
            </w:r>
            <w:hyperlink r:id="rId22">
              <w:r>
                <w:rPr>
                  <w:rStyle w:val="InternetLink"/>
                  <w:rFonts w:ascii="Times New Roman" w:hAnsi="Times New Roman"/>
                  <w:sz w:val="20"/>
                </w:rPr>
                <w:t>January  3, 2024</w:t>
              </w:r>
            </w:hyperlink>
            <w:r>
              <w:rPr>
                <w:rFonts w:ascii="Times New Roman" w:hAnsi="Times New Roman"/>
                <w:sz w:val="20"/>
              </w:rPr>
              <w:t xml:space="preserve">, </w:t>
            </w:r>
            <w:hyperlink r:id="rId23">
              <w:r>
                <w:rPr>
                  <w:rStyle w:val="InternetLink"/>
                  <w:rFonts w:ascii="Times New Roman" w:hAnsi="Times New Roman"/>
                  <w:sz w:val="20"/>
                </w:rPr>
                <w:t>January  8, 2024</w:t>
              </w:r>
            </w:hyperlink>
            <w:r>
              <w:rPr>
                <w:rFonts w:ascii="Times New Roman" w:hAnsi="Times New Roman"/>
                <w:sz w:val="20"/>
              </w:rPr>
              <w:t xml:space="preserve"> and </w:t>
            </w:r>
            <w:hyperlink r:id="rId24">
              <w:r>
                <w:rPr>
                  <w:rStyle w:val="InternetLink"/>
                  <w:rFonts w:ascii="Times New Roman" w:hAnsi="Times New Roman"/>
                  <w:sz w:val="20"/>
                </w:rPr>
                <w:t>February 9,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5">
              <w:r>
                <w:rPr>
                  <w:rStyle w:val="InternetLink"/>
                  <w:rFonts w:ascii="Times New Roman" w:hAnsi="Times New Roman"/>
                  <w:sz w:val="20"/>
                </w:rPr>
                <w:t>Form 8-A</w:t>
              </w:r>
            </w:hyperlink>
            <w:r>
              <w:rPr>
                <w:rFonts w:ascii="Times New Roman" w:hAnsi="Times New Roman"/>
                <w:sz w:val="20"/>
              </w:rPr>
              <w:t xml:space="preserve"> filed on August 3, 2021, as updated by </w:t>
            </w:r>
            <w:hyperlink r:id="rId26">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2022,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orally or in writing, a copy of any or all of the documents incorporated herein by reference. These documents will be provided to you at no cost, by contacting: Invivyd, Inc., Corporate Secretary, at 1601 Trapelo Road, Suite 178, Waltham, MA 02451 or (781) 819-0080. In addition, copies of any or all of the documents incorporated herein by reference may be accessed at our website at www.invivyd.com. The information on such website is not incorporated by reference and is not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oc753127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hereby is being passed upon for us by Hogan Lovells US LLP, Philadelphia, Pennsylvania. </w:t>
      </w:r>
    </w:p>
    <w:p>
      <w:pPr>
        <w:pStyle w:val="TextBody"/>
        <w:bidi w:val="0"/>
        <w:spacing w:before="480" w:after="0"/>
        <w:jc w:val="center"/>
        <w:rPr>
          <w:rFonts w:ascii="Times New Roman" w:hAnsi="Times New Roman"/>
          <w:b/>
          <w:sz w:val="20"/>
        </w:rPr>
      </w:pPr>
      <w:bookmarkStart w:id="14" w:name="toc753127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Invivyd, Inc.s Current Report on Form 8-K dated February 9, 2024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58800" cy="850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7"/>
                    <a:stretch>
                      <a:fillRect/>
                    </a:stretch>
                  </pic:blipFill>
                  <pic:spPr bwMode="auto">
                    <a:xfrm>
                      <a:off x="0" y="0"/>
                      <a:ext cx="558800" cy="85090"/>
                    </a:xfrm>
                    <a:prstGeom prst="rect">
                      <a:avLst/>
                    </a:prstGeom>
                  </pic:spPr>
                </pic:pic>
              </a:graphicData>
            </a:graphic>
          </wp:inline>
        </w:drawing>
      </w:r>
      <w:r>
        <w:rPr/>
        <w:t xml:space="preserve"> </w:t>
      </w:r>
    </w:p>
    <w:p>
      <w:pPr>
        <w:pStyle w:val="TextBody"/>
        <w:bidi w:val="0"/>
        <w:spacing w:before="2400" w:after="0"/>
        <w:jc w:val="center"/>
        <w:rPr>
          <w:rFonts w:ascii="Times New Roman" w:hAnsi="Times New Roman"/>
          <w:b/>
          <w:sz w:val="28"/>
        </w:rPr>
      </w:pPr>
      <w:r>
        <w:rPr>
          <w:rFonts w:ascii="Times New Roman" w:hAnsi="Times New Roman"/>
          <w:b/>
          <w:sz w:val="28"/>
        </w:rPr>
        <w:t xml:space="preserve">37,745,998 Shares of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0" w:after="0"/>
        <w:jc w:val="center"/>
        <w:rPr/>
      </w:pPr>
      <w:r>
        <w:rPr/>
        <w:t>     </w:t>
      </w:r>
      <w:r>
        <w:rPr>
          <w:rFonts w:ascii="Times New Roman" w:hAnsi="Times New Roman"/>
          <w:b/>
          <w:sz w:val="20"/>
        </w:rPr>
        <w:t xml:space="preserve">,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expenses to be incurred in connection with the offering described in this Registration Statement, all of which will be paid by us. All amounts are estimates except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01"/>
        <w:gridCol w:w="399"/>
        <w:gridCol w:w="141"/>
        <w:gridCol w:w="1336"/>
        <w:gridCol w:w="62"/>
      </w:tblGrid>
      <w:tr>
        <w:trPr/>
        <w:tc>
          <w:tcPr>
            <w:tcW w:w="5001"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001"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pPr>
            <w:r>
              <w:rPr/>
              <w:t>Amount to</w:t>
              <w:br/>
              <w:t>be paid</w:t>
            </w:r>
          </w:p>
        </w:tc>
        <w:tc>
          <w:tcPr>
            <w:tcW w:w="62" w:type="dxa"/>
            <w:tcBorders/>
            <w:vAlign w:val="bottom"/>
          </w:tcPr>
          <w:p>
            <w:pPr>
              <w:pStyle w:val="TableContents"/>
              <w:bidi w:val="0"/>
              <w:spacing w:before="0" w:after="283"/>
              <w:jc w:val="left"/>
              <w:rPr/>
            </w:pPr>
            <w:r>
              <w:rPr/>
              <w:t> </w:t>
            </w:r>
          </w:p>
        </w:tc>
      </w:tr>
      <w:tr>
        <w:trPr/>
        <w:tc>
          <w:tcPr>
            <w:tcW w:w="5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9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6" w:type="dxa"/>
            <w:tcBorders/>
            <w:shd w:fill="CCEEFF" w:val="clear"/>
            <w:vAlign w:val="bottom"/>
          </w:tcPr>
          <w:p>
            <w:pPr>
              <w:pStyle w:val="TableContents"/>
              <w:bidi w:val="0"/>
              <w:spacing w:before="0" w:after="283"/>
              <w:jc w:val="right"/>
              <w:rPr/>
            </w:pPr>
            <w:r>
              <w:rPr/>
              <w:t>27,132.28</w:t>
            </w:r>
          </w:p>
        </w:tc>
        <w:tc>
          <w:tcPr>
            <w:tcW w:w="62" w:type="dxa"/>
            <w:tcBorders/>
            <w:shd w:fill="CCEEFF" w:val="clear"/>
            <w:vAlign w:val="bottom"/>
          </w:tcPr>
          <w:p>
            <w:pPr>
              <w:pStyle w:val="TableContents"/>
              <w:bidi w:val="0"/>
              <w:spacing w:before="0" w:after="283"/>
              <w:jc w:val="left"/>
              <w:rPr/>
            </w:pPr>
            <w:r>
              <w:rPr/>
              <w:t> </w:t>
            </w:r>
          </w:p>
        </w:tc>
      </w:tr>
      <w:tr>
        <w:trPr/>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9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36" w:type="dxa"/>
            <w:tcBorders/>
            <w:vAlign w:val="bottom"/>
          </w:tcPr>
          <w:p>
            <w:pPr>
              <w:pStyle w:val="TableContents"/>
              <w:bidi w:val="0"/>
              <w:spacing w:before="0" w:after="283"/>
              <w:jc w:val="right"/>
              <w:rPr/>
            </w:pPr>
            <w:r>
              <w:rPr/>
              <w:t>30,000.00</w:t>
            </w:r>
          </w:p>
        </w:tc>
        <w:tc>
          <w:tcPr>
            <w:tcW w:w="62" w:type="dxa"/>
            <w:tcBorders/>
            <w:vAlign w:val="bottom"/>
          </w:tcPr>
          <w:p>
            <w:pPr>
              <w:pStyle w:val="TableContents"/>
              <w:bidi w:val="0"/>
              <w:spacing w:before="0" w:after="283"/>
              <w:jc w:val="left"/>
              <w:rPr/>
            </w:pPr>
            <w:r>
              <w:rPr/>
              <w:t> </w:t>
            </w:r>
          </w:p>
        </w:tc>
      </w:tr>
      <w:tr>
        <w:trPr/>
        <w:tc>
          <w:tcPr>
            <w:tcW w:w="5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9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6" w:type="dxa"/>
            <w:tcBorders/>
            <w:shd w:fill="CCEEFF" w:val="clear"/>
            <w:vAlign w:val="bottom"/>
          </w:tcPr>
          <w:p>
            <w:pPr>
              <w:pStyle w:val="TableContents"/>
              <w:bidi w:val="0"/>
              <w:spacing w:before="0" w:after="283"/>
              <w:jc w:val="right"/>
              <w:rPr/>
            </w:pPr>
            <w:r>
              <w:rPr/>
              <w:t>75,000.00</w:t>
            </w:r>
          </w:p>
        </w:tc>
        <w:tc>
          <w:tcPr>
            <w:tcW w:w="62" w:type="dxa"/>
            <w:tcBorders/>
            <w:shd w:fill="CCEEFF" w:val="clear"/>
            <w:vAlign w:val="bottom"/>
          </w:tcPr>
          <w:p>
            <w:pPr>
              <w:pStyle w:val="TableContents"/>
              <w:bidi w:val="0"/>
              <w:spacing w:before="0" w:after="283"/>
              <w:jc w:val="left"/>
              <w:rPr/>
            </w:pPr>
            <w:r>
              <w:rPr/>
              <w:t> </w:t>
            </w:r>
          </w:p>
        </w:tc>
      </w:tr>
      <w:tr>
        <w:trPr/>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miscellaneous expenses</w:t>
            </w:r>
          </w:p>
        </w:tc>
        <w:tc>
          <w:tcPr>
            <w:tcW w:w="39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36" w:type="dxa"/>
            <w:tcBorders/>
            <w:vAlign w:val="bottom"/>
          </w:tcPr>
          <w:p>
            <w:pPr>
              <w:pStyle w:val="TableContents"/>
              <w:bidi w:val="0"/>
              <w:spacing w:before="0" w:after="283"/>
              <w:jc w:val="right"/>
              <w:rPr/>
            </w:pPr>
            <w:r>
              <w:rPr/>
              <w:t>10,000.00</w:t>
            </w:r>
          </w:p>
        </w:tc>
        <w:tc>
          <w:tcPr>
            <w:tcW w:w="62" w:type="dxa"/>
            <w:tcBorders/>
            <w:vAlign w:val="bottom"/>
          </w:tcPr>
          <w:p>
            <w:pPr>
              <w:pStyle w:val="TableContents"/>
              <w:bidi w:val="0"/>
              <w:spacing w:before="0" w:after="283"/>
              <w:jc w:val="left"/>
              <w:rPr/>
            </w:pPr>
            <w:r>
              <w:rPr/>
              <w:t> </w:t>
            </w:r>
          </w:p>
        </w:tc>
      </w:tr>
      <w:tr>
        <w:trPr/>
        <w:tc>
          <w:tcPr>
            <w:tcW w:w="5001"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6" w:type="dxa"/>
            <w:tcBorders/>
            <w:shd w:fill="CCEEFF" w:val="clear"/>
            <w:vAlign w:val="bottom"/>
          </w:tcPr>
          <w:p>
            <w:pPr>
              <w:pStyle w:val="TableContents"/>
              <w:bidi w:val="0"/>
              <w:spacing w:before="0" w:after="283"/>
              <w:jc w:val="right"/>
              <w:rPr/>
            </w:pPr>
            <w:r>
              <w:rPr/>
              <w:t>142,132.28</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the State of Delaware. Section 102(b)(7) of the General Corporation Law of the State of Delaware (the DGCL), generally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for (i) with respect to directors and officers, any breach of the directors or officers duty of loyalty to the corporation or its stockholders; (ii) with respect to directors and officers, acts or omissions not in good faith or which involve intentional misconduct or a knowing violation of law; (iii) with respect to directors, payments of unlawful dividends or unlawful stock repurchases or redemptions under Section 174 of the DGCL; (iv) with respect to directors and officers, any transaction from which the director or officer derived an improper personal benefit; or (v) with respect to officers, any action by or in the right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such person is threatened to be made a party by reason of such position, if such person acted in good faith and in a manner such person reasonably believed to be in or not opposed to the best interests of the corporation, and, in any criminal action or proceeding, had no reasonable cause to believe such persons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DGCL, our amended and restated certificate of incorporation and amended and restated bylaws provide that: (i) we are required to indemnify our directors to the fullest extent permitted by the DGCL; (ii) we may, in our discretion, indemnify our officers, employees and agents as set forth in the DGCL;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which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person is or was a director or officer of us or any of our affiliates, provided such person acted in good faith and in a manner such person reasonably believed to be in, or not opposed to, our best interests. The indemnification agreements also set forth certain procedures that will apply in the event of a claim for indemnification thereunder. </w:t>
      </w:r>
    </w:p>
    <w:p>
      <w:pPr>
        <w:pStyle w:val="TextBody"/>
        <w:bidi w:val="0"/>
        <w:spacing w:before="240" w:after="0"/>
        <w:jc w:val="left"/>
        <w:rPr>
          <w:rFonts w:ascii="Times New Roman" w:hAnsi="Times New Roman"/>
          <w:sz w:val="20"/>
        </w:rPr>
      </w:pPr>
      <w:r>
        <w:rPr>
          <w:rFonts w:ascii="Times New Roman" w:hAnsi="Times New Roman"/>
          <w:sz w:val="20"/>
        </w:rPr>
        <w:t xml:space="preserve">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0"/>
        <w:gridCol w:w="722"/>
        <w:gridCol w:w="8623"/>
      </w:tblGrid>
      <w:tr>
        <w:trPr/>
        <w:tc>
          <w:tcPr>
            <w:tcW w:w="860" w:type="dxa"/>
            <w:tcBorders/>
            <w:vAlign w:val="center"/>
          </w:tcPr>
          <w:p>
            <w:pPr>
              <w:pStyle w:val="TableContents"/>
              <w:bidi w:val="0"/>
              <w:spacing w:before="0" w:after="283"/>
              <w:jc w:val="left"/>
              <w:rPr>
                <w:sz w:val="4"/>
                <w:szCs w:val="4"/>
              </w:rPr>
            </w:pPr>
            <w:r>
              <w:rPr>
                <w:sz w:val="4"/>
                <w:szCs w:val="4"/>
              </w:rPr>
            </w:r>
          </w:p>
        </w:tc>
        <w:tc>
          <w:tcPr>
            <w:tcW w:w="722" w:type="dxa"/>
            <w:tcBorders/>
            <w:vAlign w:val="bottom"/>
          </w:tcPr>
          <w:p>
            <w:pPr>
              <w:pStyle w:val="TableContents"/>
              <w:bidi w:val="0"/>
              <w:spacing w:before="0" w:after="283"/>
              <w:jc w:val="left"/>
              <w:rPr>
                <w:sz w:val="4"/>
                <w:szCs w:val="4"/>
              </w:rPr>
            </w:pPr>
            <w:r>
              <w:rPr>
                <w:sz w:val="4"/>
                <w:szCs w:val="4"/>
              </w:rPr>
            </w:r>
          </w:p>
        </w:tc>
        <w:tc>
          <w:tcPr>
            <w:tcW w:w="8623"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722" w:type="dxa"/>
            <w:tcBorders/>
            <w:vAlign w:val="bottom"/>
          </w:tcPr>
          <w:p>
            <w:pPr>
              <w:pStyle w:val="TableContents"/>
              <w:bidi w:val="0"/>
              <w:spacing w:before="0" w:after="283"/>
              <w:jc w:val="left"/>
              <w:rPr/>
            </w:pPr>
            <w:r>
              <w:rPr/>
              <w:t>  </w:t>
            </w:r>
          </w:p>
        </w:tc>
        <w:tc>
          <w:tcPr>
            <w:tcW w:w="862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 </w:t>
            </w:r>
            <w:r>
              <w:rPr/>
              <w:t>3.1</w:t>
            </w:r>
          </w:p>
        </w:tc>
        <w:tc>
          <w:tcPr>
            <w:tcW w:w="722" w:type="dxa"/>
            <w:tcBorders/>
            <w:vAlign w:val="bottom"/>
          </w:tcPr>
          <w:p>
            <w:pPr>
              <w:pStyle w:val="TableContents"/>
              <w:bidi w:val="0"/>
              <w:spacing w:before="0" w:after="283"/>
              <w:jc w:val="left"/>
              <w:rPr/>
            </w:pPr>
            <w:r>
              <w:rPr/>
              <w:t>  </w:t>
            </w:r>
          </w:p>
        </w:tc>
        <w:tc>
          <w:tcPr>
            <w:tcW w:w="8623" w:type="dxa"/>
            <w:tcBorders/>
          </w:tcPr>
          <w:p>
            <w:pPr>
              <w:pStyle w:val="TableContents"/>
              <w:bidi w:val="0"/>
              <w:spacing w:before="0" w:after="283"/>
              <w:jc w:val="left"/>
              <w:rPr/>
            </w:pPr>
            <w:hyperlink r:id="rId28">
              <w:r>
                <w:rPr>
                  <w:rStyle w:val="InternetLink"/>
                </w:rPr>
                <w:t xml:space="preserve">Amended and Restated Certificate of Incorporation (incorporated by reference to Exhibit 3.1 of the Companys Current Report on Form 8-K (File No. 001-40703), filed with the Securities and Exchange Commission on August 10, 2021).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 </w:t>
            </w:r>
            <w:r>
              <w:rPr/>
              <w:t>3.2</w:t>
            </w:r>
          </w:p>
        </w:tc>
        <w:tc>
          <w:tcPr>
            <w:tcW w:w="722" w:type="dxa"/>
            <w:tcBorders/>
            <w:vAlign w:val="bottom"/>
          </w:tcPr>
          <w:p>
            <w:pPr>
              <w:pStyle w:val="TableContents"/>
              <w:bidi w:val="0"/>
              <w:spacing w:before="0" w:after="283"/>
              <w:jc w:val="left"/>
              <w:rPr/>
            </w:pPr>
            <w:r>
              <w:rPr/>
              <w:t>  </w:t>
            </w:r>
          </w:p>
        </w:tc>
        <w:tc>
          <w:tcPr>
            <w:tcW w:w="8623" w:type="dxa"/>
            <w:tcBorders/>
          </w:tcPr>
          <w:p>
            <w:pPr>
              <w:pStyle w:val="TableContents"/>
              <w:bidi w:val="0"/>
              <w:spacing w:before="0" w:after="283"/>
              <w:jc w:val="left"/>
              <w:rPr/>
            </w:pPr>
            <w:hyperlink r:id="rId29">
              <w:r>
                <w:rPr>
                  <w:rStyle w:val="InternetLink"/>
                </w:rPr>
                <w:t xml:space="preserve">Certificate of Amendment to the Amended and Restated Certificate of Incorporation (incorporated by reference to Exhibit 3.1 of the Companys Current Report on Form 8-K (File No. 001-40703), filed with the Securities and Exchange Commission on September 13, 2022).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 </w:t>
            </w:r>
            <w:r>
              <w:rPr/>
              <w:t>3.3</w:t>
            </w:r>
          </w:p>
        </w:tc>
        <w:tc>
          <w:tcPr>
            <w:tcW w:w="722" w:type="dxa"/>
            <w:tcBorders/>
            <w:vAlign w:val="bottom"/>
          </w:tcPr>
          <w:p>
            <w:pPr>
              <w:pStyle w:val="TableContents"/>
              <w:bidi w:val="0"/>
              <w:spacing w:before="0" w:after="283"/>
              <w:jc w:val="left"/>
              <w:rPr/>
            </w:pPr>
            <w:r>
              <w:rPr/>
              <w:t>  </w:t>
            </w:r>
          </w:p>
        </w:tc>
        <w:tc>
          <w:tcPr>
            <w:tcW w:w="8623" w:type="dxa"/>
            <w:tcBorders/>
          </w:tcPr>
          <w:p>
            <w:pPr>
              <w:pStyle w:val="TableContents"/>
              <w:bidi w:val="0"/>
              <w:spacing w:before="0" w:after="283"/>
              <w:jc w:val="left"/>
              <w:rPr/>
            </w:pPr>
            <w:hyperlink r:id="rId30">
              <w:r>
                <w:rPr>
                  <w:rStyle w:val="InternetLink"/>
                </w:rPr>
                <w:t xml:space="preserve">Certificate of Amendment to the Amended and Restated Certificate of Incorporation (incorporated by reference to Exhibit 3.1 of the Companys Current Report on Form 8-K (File No. 001-40703), filed with the Securities and Exchange Commission on May 25, 2023).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 </w:t>
            </w:r>
            <w:r>
              <w:rPr/>
              <w:t>3.4</w:t>
            </w:r>
          </w:p>
        </w:tc>
        <w:tc>
          <w:tcPr>
            <w:tcW w:w="722" w:type="dxa"/>
            <w:tcBorders/>
            <w:vAlign w:val="bottom"/>
          </w:tcPr>
          <w:p>
            <w:pPr>
              <w:pStyle w:val="TableContents"/>
              <w:bidi w:val="0"/>
              <w:spacing w:before="0" w:after="283"/>
              <w:jc w:val="left"/>
              <w:rPr/>
            </w:pPr>
            <w:r>
              <w:rPr/>
              <w:t>  </w:t>
            </w:r>
          </w:p>
        </w:tc>
        <w:tc>
          <w:tcPr>
            <w:tcW w:w="8623" w:type="dxa"/>
            <w:tcBorders/>
          </w:tcPr>
          <w:p>
            <w:pPr>
              <w:pStyle w:val="TableContents"/>
              <w:bidi w:val="0"/>
              <w:spacing w:before="0" w:after="283"/>
              <w:jc w:val="left"/>
              <w:rPr/>
            </w:pPr>
            <w:hyperlink r:id="rId31">
              <w:r>
                <w:rPr>
                  <w:rStyle w:val="InternetLink"/>
                </w:rPr>
                <w:t xml:space="preserve">Delaware Certificate of Change of Registered Agent (incorporated by reference to Exhibit 3.3 of the Companys Registration Statement on Form S-3 (File No. 333-267643), filed with the Securities and Exchange Commission on September 28, 2022).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 </w:t>
            </w:r>
            <w:r>
              <w:rPr/>
              <w:t>3.5</w:t>
            </w:r>
          </w:p>
        </w:tc>
        <w:tc>
          <w:tcPr>
            <w:tcW w:w="722" w:type="dxa"/>
            <w:tcBorders/>
            <w:vAlign w:val="bottom"/>
          </w:tcPr>
          <w:p>
            <w:pPr>
              <w:pStyle w:val="TableContents"/>
              <w:bidi w:val="0"/>
              <w:spacing w:before="0" w:after="283"/>
              <w:jc w:val="left"/>
              <w:rPr/>
            </w:pPr>
            <w:r>
              <w:rPr/>
              <w:t>  </w:t>
            </w:r>
          </w:p>
        </w:tc>
        <w:tc>
          <w:tcPr>
            <w:tcW w:w="8623" w:type="dxa"/>
            <w:tcBorders/>
          </w:tcPr>
          <w:p>
            <w:pPr>
              <w:pStyle w:val="TableContents"/>
              <w:bidi w:val="0"/>
              <w:spacing w:before="0" w:after="283"/>
              <w:jc w:val="left"/>
              <w:rPr/>
            </w:pPr>
            <w:hyperlink r:id="rId32">
              <w:r>
                <w:rPr>
                  <w:rStyle w:val="InternetLink"/>
                </w:rPr>
                <w:t xml:space="preserve">Amended and Restated Bylaws (incorporated by reference to Exhibit 3.2 of the Companys Current Report on Form 8-K (File No. 001-40703), filed with the Securities and Exchange Commission on September 13, 2022).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 </w:t>
            </w:r>
            <w:r>
              <w:rPr/>
              <w:t>3.6</w:t>
            </w:r>
          </w:p>
        </w:tc>
        <w:tc>
          <w:tcPr>
            <w:tcW w:w="722" w:type="dxa"/>
            <w:tcBorders/>
            <w:vAlign w:val="bottom"/>
          </w:tcPr>
          <w:p>
            <w:pPr>
              <w:pStyle w:val="TableContents"/>
              <w:bidi w:val="0"/>
              <w:spacing w:before="0" w:after="283"/>
              <w:jc w:val="left"/>
              <w:rPr/>
            </w:pPr>
            <w:r>
              <w:rPr/>
              <w:t>  </w:t>
            </w:r>
          </w:p>
        </w:tc>
        <w:tc>
          <w:tcPr>
            <w:tcW w:w="8623" w:type="dxa"/>
            <w:tcBorders/>
          </w:tcPr>
          <w:p>
            <w:pPr>
              <w:pStyle w:val="TableContents"/>
              <w:bidi w:val="0"/>
              <w:spacing w:before="0" w:after="283"/>
              <w:jc w:val="left"/>
              <w:rPr/>
            </w:pPr>
            <w:hyperlink r:id="rId33">
              <w:r>
                <w:rPr>
                  <w:rStyle w:val="InternetLink"/>
                </w:rPr>
                <w:t xml:space="preserve">Amendment No.  1 to the Amended and Restated Bylaws (incorporated by reference to Exhibit 3.2 of the Companys Current Report on Form 8-K (File No.  001-40703), filed with the Securities and Exchange Commission on May 25, 2023).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 </w:t>
            </w:r>
            <w:r>
              <w:rPr/>
              <w:t>4.1</w:t>
            </w:r>
          </w:p>
        </w:tc>
        <w:tc>
          <w:tcPr>
            <w:tcW w:w="722" w:type="dxa"/>
            <w:tcBorders/>
            <w:vAlign w:val="bottom"/>
          </w:tcPr>
          <w:p>
            <w:pPr>
              <w:pStyle w:val="TableContents"/>
              <w:bidi w:val="0"/>
              <w:spacing w:before="0" w:after="283"/>
              <w:jc w:val="left"/>
              <w:rPr/>
            </w:pPr>
            <w:r>
              <w:rPr/>
              <w:t>  </w:t>
            </w:r>
          </w:p>
        </w:tc>
        <w:tc>
          <w:tcPr>
            <w:tcW w:w="8623" w:type="dxa"/>
            <w:tcBorders/>
          </w:tcPr>
          <w:p>
            <w:pPr>
              <w:pStyle w:val="TableContents"/>
              <w:bidi w:val="0"/>
              <w:spacing w:before="0" w:after="283"/>
              <w:jc w:val="left"/>
              <w:rPr/>
            </w:pPr>
            <w:hyperlink r:id="rId34">
              <w:r>
                <w:rPr>
                  <w:rStyle w:val="InternetLink"/>
                </w:rPr>
                <w:t xml:space="preserve">Second Amended and Restated Investors Rights Agreement, by and among the Company and certain of its stockholders, dated April  16, 2021 (incorporated by reference to Exhibit 4.1 of the Companys Registration Statement on Form S-1 (File No.  333-257975), filed with the Securities and Exchange Commission on July 16, 2021).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 </w:t>
            </w:r>
            <w:r>
              <w:rPr/>
              <w:t>4.2</w:t>
            </w:r>
          </w:p>
        </w:tc>
        <w:tc>
          <w:tcPr>
            <w:tcW w:w="722" w:type="dxa"/>
            <w:tcBorders/>
            <w:vAlign w:val="bottom"/>
          </w:tcPr>
          <w:p>
            <w:pPr>
              <w:pStyle w:val="TableContents"/>
              <w:bidi w:val="0"/>
              <w:spacing w:before="0" w:after="283"/>
              <w:jc w:val="left"/>
              <w:rPr/>
            </w:pPr>
            <w:r>
              <w:rPr/>
              <w:t>  </w:t>
            </w:r>
          </w:p>
        </w:tc>
        <w:tc>
          <w:tcPr>
            <w:tcW w:w="8623" w:type="dxa"/>
            <w:tcBorders/>
          </w:tcPr>
          <w:p>
            <w:pPr>
              <w:pStyle w:val="TableContents"/>
              <w:bidi w:val="0"/>
              <w:spacing w:before="0" w:after="283"/>
              <w:jc w:val="left"/>
              <w:rPr/>
            </w:pPr>
            <w:hyperlink r:id="rId35">
              <w:r>
                <w:rPr>
                  <w:rStyle w:val="InternetLink"/>
                </w:rPr>
                <w:t xml:space="preserve">Common Stock Purchase Warrant (incorporated by reference to Exhibit 4.3 of the Companys Annual Report on Form 10-K for the fiscal year ended December 31, 2022 (File No. 001-40703, filed with the SEC on March 23, 2023).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 </w:t>
            </w:r>
            <w:r>
              <w:rPr/>
              <w:t>5.1</w:t>
            </w:r>
          </w:p>
        </w:tc>
        <w:tc>
          <w:tcPr>
            <w:tcW w:w="722" w:type="dxa"/>
            <w:tcBorders/>
            <w:vAlign w:val="bottom"/>
          </w:tcPr>
          <w:p>
            <w:pPr>
              <w:pStyle w:val="TableContents"/>
              <w:bidi w:val="0"/>
              <w:spacing w:before="0" w:after="283"/>
              <w:jc w:val="left"/>
              <w:rPr/>
            </w:pPr>
            <w:r>
              <w:rPr/>
              <w:t>  </w:t>
            </w:r>
          </w:p>
        </w:tc>
        <w:tc>
          <w:tcPr>
            <w:tcW w:w="8623" w:type="dxa"/>
            <w:tcBorders/>
          </w:tcPr>
          <w:p>
            <w:pPr>
              <w:pStyle w:val="TableContents"/>
              <w:bidi w:val="0"/>
              <w:spacing w:before="0" w:after="283"/>
              <w:jc w:val="left"/>
              <w:rPr/>
            </w:pPr>
            <w:hyperlink w:anchor="d753127dex51.htm">
              <w:r>
                <w:rPr>
                  <w:rStyle w:val="InternetLink"/>
                </w:rPr>
                <w:t xml:space="preserve">Opinion of Hogan Lovells US LLP (filed herewith).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23.1</w:t>
            </w:r>
          </w:p>
        </w:tc>
        <w:tc>
          <w:tcPr>
            <w:tcW w:w="722" w:type="dxa"/>
            <w:tcBorders/>
            <w:vAlign w:val="bottom"/>
          </w:tcPr>
          <w:p>
            <w:pPr>
              <w:pStyle w:val="TableContents"/>
              <w:bidi w:val="0"/>
              <w:spacing w:before="0" w:after="283"/>
              <w:jc w:val="left"/>
              <w:rPr/>
            </w:pPr>
            <w:r>
              <w:rPr/>
              <w:t>  </w:t>
            </w:r>
          </w:p>
        </w:tc>
        <w:tc>
          <w:tcPr>
            <w:tcW w:w="8623" w:type="dxa"/>
            <w:tcBorders/>
          </w:tcPr>
          <w:p>
            <w:pPr>
              <w:pStyle w:val="TableContents"/>
              <w:bidi w:val="0"/>
              <w:spacing w:before="0" w:after="283"/>
              <w:jc w:val="left"/>
              <w:rPr/>
            </w:pPr>
            <w:hyperlink w:anchor="d753127dex231.htm">
              <w:r>
                <w:rPr>
                  <w:rStyle w:val="InternetLink"/>
                </w:rPr>
                <w:t xml:space="preserve">Consent of PricewaterhouseCoopers LLP, independent registered public accounting firm (filed herewith).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23.2</w:t>
            </w:r>
          </w:p>
        </w:tc>
        <w:tc>
          <w:tcPr>
            <w:tcW w:w="722" w:type="dxa"/>
            <w:tcBorders/>
            <w:vAlign w:val="bottom"/>
          </w:tcPr>
          <w:p>
            <w:pPr>
              <w:pStyle w:val="TableContents"/>
              <w:bidi w:val="0"/>
              <w:spacing w:before="0" w:after="283"/>
              <w:jc w:val="left"/>
              <w:rPr/>
            </w:pPr>
            <w:r>
              <w:rPr/>
              <w:t>  </w:t>
            </w:r>
          </w:p>
        </w:tc>
        <w:tc>
          <w:tcPr>
            <w:tcW w:w="8623" w:type="dxa"/>
            <w:tcBorders/>
          </w:tcPr>
          <w:p>
            <w:pPr>
              <w:pStyle w:val="TableContents"/>
              <w:bidi w:val="0"/>
              <w:spacing w:before="0" w:after="283"/>
              <w:jc w:val="left"/>
              <w:rPr/>
            </w:pPr>
            <w:hyperlink w:anchor="d753127dex51.htm">
              <w:r>
                <w:rPr>
                  <w:rStyle w:val="InternetLink"/>
                </w:rPr>
                <w:t xml:space="preserve">Consent of Hogan Lovells US LLP (included in Exhibit 5.1).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24.1</w:t>
            </w:r>
          </w:p>
        </w:tc>
        <w:tc>
          <w:tcPr>
            <w:tcW w:w="722" w:type="dxa"/>
            <w:tcBorders/>
            <w:vAlign w:val="bottom"/>
          </w:tcPr>
          <w:p>
            <w:pPr>
              <w:pStyle w:val="TableContents"/>
              <w:bidi w:val="0"/>
              <w:spacing w:before="0" w:after="283"/>
              <w:jc w:val="left"/>
              <w:rPr/>
            </w:pPr>
            <w:r>
              <w:rPr/>
              <w:t>  </w:t>
            </w:r>
          </w:p>
        </w:tc>
        <w:tc>
          <w:tcPr>
            <w:tcW w:w="8623" w:type="dxa"/>
            <w:tcBorders/>
          </w:tcPr>
          <w:p>
            <w:pPr>
              <w:pStyle w:val="TableContents"/>
              <w:bidi w:val="0"/>
              <w:spacing w:before="0" w:after="283"/>
              <w:jc w:val="left"/>
              <w:rPr/>
            </w:pPr>
            <w:hyperlink w:anchor="sig">
              <w:r>
                <w:rPr>
                  <w:rStyle w:val="InternetLink"/>
                </w:rPr>
                <w:t xml:space="preserve">Power of Attorney (included on signature page hereto).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107</w:t>
            </w:r>
          </w:p>
        </w:tc>
        <w:tc>
          <w:tcPr>
            <w:tcW w:w="722" w:type="dxa"/>
            <w:tcBorders/>
            <w:vAlign w:val="bottom"/>
          </w:tcPr>
          <w:p>
            <w:pPr>
              <w:pStyle w:val="TableContents"/>
              <w:bidi w:val="0"/>
              <w:spacing w:before="0" w:after="283"/>
              <w:jc w:val="left"/>
              <w:rPr/>
            </w:pPr>
            <w:r>
              <w:rPr/>
              <w:t>  </w:t>
            </w:r>
          </w:p>
        </w:tc>
        <w:tc>
          <w:tcPr>
            <w:tcW w:w="8623" w:type="dxa"/>
            <w:tcBorders/>
          </w:tcPr>
          <w:p>
            <w:pPr>
              <w:pStyle w:val="TableContents"/>
              <w:bidi w:val="0"/>
              <w:spacing w:before="0" w:after="283"/>
              <w:jc w:val="left"/>
              <w:rPr/>
            </w:pPr>
            <w:hyperlink w:anchor="d753127dexfilingfees.htm">
              <w:r>
                <w:rPr>
                  <w:rStyle w:val="InternetLink"/>
                </w:rPr>
                <w:t xml:space="preserve">Filing Fee Table (filed herewith).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283"/>
              <w:jc w:val="left"/>
              <w:rPr/>
            </w:pPr>
            <w:r>
              <w:rPr/>
              <w:t xml:space="preserve">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sig"/>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Invivyd, Inc., certifies that it has reasonable grounds to believe that it meets all of the requirements for filing on Form S-3 and has duly caused this registration statement to be signed on its behalf by the undersigned, thereunto duly authorized, in the City of Waltham, Commonwealth of Massachusetts, on this 9th day of February,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Invivyd,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David Hering, M.B.A.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 </w:t>
            </w:r>
            <w:r>
              <w:rPr/>
              <w:t>David Hering, M.B.A.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 </w:t>
            </w: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PRESENTS, that each person whose signature appears below constitutes and appoints David Hering and William Duke, Jr. as his or her true and lawful attorney-in-fact and agent, with the full power of substitution, for him or her and in his or her name, place or stead, in any and all capacities, to sign any and all amendments to this registration statement (including post-effective amendments), and any other registration statements for the same offering pursuant to Rule 462(b) of the Securities Act of 1933, as amended,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8"/>
        <w:gridCol w:w="101"/>
        <w:gridCol w:w="4695"/>
        <w:gridCol w:w="102"/>
        <w:gridCol w:w="1939"/>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336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01" w:type="dxa"/>
            <w:tcBorders/>
            <w:vAlign w:val="bottom"/>
          </w:tcPr>
          <w:p>
            <w:pPr>
              <w:pStyle w:val="TableContents"/>
              <w:bidi w:val="0"/>
              <w:spacing w:before="0" w:after="283"/>
              <w:jc w:val="left"/>
              <w:rPr/>
            </w:pPr>
            <w:r>
              <w:rPr/>
              <w:t> </w:t>
            </w:r>
          </w:p>
        </w:tc>
        <w:tc>
          <w:tcPr>
            <w:tcW w:w="469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David Hering, M.B.A.</w:t>
            </w:r>
          </w:p>
          <w:p>
            <w:pPr>
              <w:pStyle w:val="TableContents"/>
              <w:bidi w:val="0"/>
              <w:spacing w:before="0" w:after="20"/>
              <w:jc w:val="center"/>
              <w:rPr>
                <w:rFonts w:ascii="Times New Roman" w:hAnsi="Times New Roman"/>
                <w:b/>
                <w:sz w:val="20"/>
              </w:rPr>
            </w:pPr>
            <w:r>
              <w:rPr>
                <w:rFonts w:ascii="Times New Roman" w:hAnsi="Times New Roman"/>
                <w:b/>
                <w:sz w:val="20"/>
              </w:rPr>
              <w:t>David Hering, M.B.A.</w:t>
            </w:r>
          </w:p>
        </w:tc>
        <w:tc>
          <w:tcPr>
            <w:tcW w:w="101"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&amp; Director</w:t>
            </w:r>
          </w:p>
          <w:p>
            <w:pPr>
              <w:pStyle w:val="TableContents"/>
              <w:bidi w:val="0"/>
              <w:spacing w:before="0" w:after="20"/>
              <w:jc w:val="center"/>
              <w:rPr>
                <w:rFonts w:ascii="Times New Roman" w:hAnsi="Times New Roman"/>
                <w:i/>
                <w:sz w:val="20"/>
              </w:rPr>
            </w:pPr>
            <w:r>
              <w:rPr>
                <w:rFonts w:ascii="Times New Roman" w:hAnsi="Times New Roman"/>
                <w:i/>
                <w:sz w:val="20"/>
              </w:rPr>
              <w:t>(Principal Executive Officer)</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center"/>
              <w:rPr/>
            </w:pPr>
            <w:r>
              <w:rPr/>
              <w:t>February 9, 2024</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William Duke, Jr.</w:t>
            </w:r>
          </w:p>
          <w:p>
            <w:pPr>
              <w:pStyle w:val="TableContents"/>
              <w:bidi w:val="0"/>
              <w:spacing w:before="0" w:after="20"/>
              <w:jc w:val="center"/>
              <w:rPr>
                <w:rFonts w:ascii="Times New Roman" w:hAnsi="Times New Roman"/>
                <w:b/>
                <w:sz w:val="20"/>
              </w:rPr>
            </w:pPr>
            <w:r>
              <w:rPr>
                <w:rFonts w:ascii="Times New Roman" w:hAnsi="Times New Roman"/>
                <w:b/>
                <w:sz w:val="20"/>
              </w:rPr>
              <w:t>William Duke, Jr.</w:t>
            </w:r>
          </w:p>
        </w:tc>
        <w:tc>
          <w:tcPr>
            <w:tcW w:w="101"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i/>
                <w:sz w:val="20"/>
              </w:rPr>
            </w:pPr>
            <w:r>
              <w:rPr>
                <w:rFonts w:ascii="Times New Roman" w:hAnsi="Times New Roman"/>
                <w:i/>
                <w:sz w:val="20"/>
              </w:rPr>
              <w:t>(Principal Financial and Principal Accounting Officer)</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center"/>
              <w:rPr/>
            </w:pPr>
            <w:r>
              <w:rPr/>
              <w:t>February 9, 2024</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Marc Elia</w:t>
            </w:r>
          </w:p>
          <w:p>
            <w:pPr>
              <w:pStyle w:val="TableContents"/>
              <w:bidi w:val="0"/>
              <w:spacing w:before="0" w:after="20"/>
              <w:jc w:val="center"/>
              <w:rPr>
                <w:rFonts w:ascii="Times New Roman" w:hAnsi="Times New Roman"/>
                <w:b/>
                <w:sz w:val="20"/>
              </w:rPr>
            </w:pPr>
            <w:r>
              <w:rPr>
                <w:rFonts w:ascii="Times New Roman" w:hAnsi="Times New Roman"/>
                <w:b/>
                <w:sz w:val="20"/>
              </w:rPr>
              <w:t>Marc Elia</w:t>
            </w:r>
          </w:p>
        </w:tc>
        <w:tc>
          <w:tcPr>
            <w:tcW w:w="101"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center"/>
              <w:rPr/>
            </w:pPr>
            <w:r>
              <w:rPr/>
              <w:t>Chairperson of the Board of Directors</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center"/>
              <w:rPr/>
            </w:pPr>
            <w:r>
              <w:rPr/>
              <w:t>February 9, 2024</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Tamsin Berry</w:t>
            </w:r>
          </w:p>
          <w:p>
            <w:pPr>
              <w:pStyle w:val="TableContents"/>
              <w:bidi w:val="0"/>
              <w:spacing w:before="0" w:after="20"/>
              <w:jc w:val="center"/>
              <w:rPr>
                <w:rFonts w:ascii="Times New Roman" w:hAnsi="Times New Roman"/>
                <w:b/>
                <w:sz w:val="20"/>
              </w:rPr>
            </w:pPr>
            <w:r>
              <w:rPr>
                <w:rFonts w:ascii="Times New Roman" w:hAnsi="Times New Roman"/>
                <w:b/>
                <w:sz w:val="20"/>
              </w:rPr>
              <w:t>Tamsin Berry</w:t>
            </w:r>
          </w:p>
        </w:tc>
        <w:tc>
          <w:tcPr>
            <w:tcW w:w="101"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center"/>
              <w:rPr/>
            </w:pPr>
            <w:r>
              <w:rPr/>
              <w:t>February 9, 2024</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Sara Cotter</w:t>
            </w:r>
          </w:p>
          <w:p>
            <w:pPr>
              <w:pStyle w:val="TableContents"/>
              <w:bidi w:val="0"/>
              <w:spacing w:before="0" w:after="20"/>
              <w:jc w:val="center"/>
              <w:rPr>
                <w:rFonts w:ascii="Times New Roman" w:hAnsi="Times New Roman"/>
                <w:b/>
                <w:sz w:val="20"/>
              </w:rPr>
            </w:pPr>
            <w:r>
              <w:rPr>
                <w:rFonts w:ascii="Times New Roman" w:hAnsi="Times New Roman"/>
                <w:b/>
                <w:sz w:val="20"/>
              </w:rPr>
              <w:t>Sara Cotter</w:t>
            </w:r>
          </w:p>
        </w:tc>
        <w:tc>
          <w:tcPr>
            <w:tcW w:w="101"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center"/>
              <w:rPr/>
            </w:pPr>
            <w:r>
              <w:rPr/>
              <w:t>February 9, 2024</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Tomas Heyman</w:t>
            </w:r>
          </w:p>
          <w:p>
            <w:pPr>
              <w:pStyle w:val="TableContents"/>
              <w:bidi w:val="0"/>
              <w:spacing w:before="0" w:after="20"/>
              <w:jc w:val="center"/>
              <w:rPr>
                <w:rFonts w:ascii="Times New Roman" w:hAnsi="Times New Roman"/>
                <w:b/>
                <w:sz w:val="20"/>
              </w:rPr>
            </w:pPr>
            <w:r>
              <w:rPr>
                <w:rFonts w:ascii="Times New Roman" w:hAnsi="Times New Roman"/>
                <w:b/>
                <w:sz w:val="20"/>
              </w:rPr>
              <w:t>Tomas Heyman</w:t>
            </w:r>
          </w:p>
        </w:tc>
        <w:tc>
          <w:tcPr>
            <w:tcW w:w="101"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center"/>
              <w:rPr/>
            </w:pPr>
            <w:r>
              <w:rPr/>
              <w:t>February 9, 2024</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Christine Lindenboom</w:t>
            </w:r>
          </w:p>
          <w:p>
            <w:pPr>
              <w:pStyle w:val="TableContents"/>
              <w:bidi w:val="0"/>
              <w:spacing w:before="0" w:after="20"/>
              <w:jc w:val="center"/>
              <w:rPr>
                <w:rFonts w:ascii="Times New Roman" w:hAnsi="Times New Roman"/>
                <w:b/>
                <w:sz w:val="20"/>
              </w:rPr>
            </w:pPr>
            <w:r>
              <w:rPr>
                <w:rFonts w:ascii="Times New Roman" w:hAnsi="Times New Roman"/>
                <w:b/>
                <w:sz w:val="20"/>
              </w:rPr>
              <w:t>Christine Lindenboom</w:t>
            </w:r>
          </w:p>
        </w:tc>
        <w:tc>
          <w:tcPr>
            <w:tcW w:w="101"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center"/>
              <w:rPr/>
            </w:pPr>
            <w:r>
              <w:rPr/>
              <w:t>February 9, 2024</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Terrance McGuire</w:t>
            </w:r>
          </w:p>
          <w:p>
            <w:pPr>
              <w:pStyle w:val="TableContents"/>
              <w:bidi w:val="0"/>
              <w:spacing w:before="0" w:after="20"/>
              <w:jc w:val="center"/>
              <w:rPr>
                <w:rFonts w:ascii="Times New Roman" w:hAnsi="Times New Roman"/>
                <w:b/>
                <w:sz w:val="20"/>
              </w:rPr>
            </w:pPr>
            <w:r>
              <w:rPr>
                <w:rFonts w:ascii="Times New Roman" w:hAnsi="Times New Roman"/>
                <w:b/>
                <w:sz w:val="20"/>
              </w:rPr>
              <w:t>Terrance McGuire</w:t>
            </w:r>
          </w:p>
        </w:tc>
        <w:tc>
          <w:tcPr>
            <w:tcW w:w="101"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center"/>
              <w:rPr/>
            </w:pPr>
            <w:r>
              <w:rPr/>
              <w:t>February 9, 2024</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Clive A. Meanwell, M.D.</w:t>
            </w:r>
          </w:p>
          <w:p>
            <w:pPr>
              <w:pStyle w:val="TableContents"/>
              <w:bidi w:val="0"/>
              <w:spacing w:before="0" w:after="20"/>
              <w:jc w:val="center"/>
              <w:rPr>
                <w:rFonts w:ascii="Times New Roman" w:hAnsi="Times New Roman"/>
                <w:b/>
                <w:sz w:val="20"/>
              </w:rPr>
            </w:pPr>
            <w:r>
              <w:rPr>
                <w:rFonts w:ascii="Times New Roman" w:hAnsi="Times New Roman"/>
                <w:b/>
                <w:sz w:val="20"/>
              </w:rPr>
              <w:t>Clive A. Meanwell, M.D.</w:t>
            </w:r>
          </w:p>
        </w:tc>
        <w:tc>
          <w:tcPr>
            <w:tcW w:w="101"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center"/>
              <w:rPr/>
            </w:pPr>
            <w:r>
              <w:rPr/>
              <w:t>February 9, 2024</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S. Wyzga</w:t>
            </w:r>
          </w:p>
          <w:p>
            <w:pPr>
              <w:pStyle w:val="TableContents"/>
              <w:bidi w:val="0"/>
              <w:spacing w:before="0" w:after="20"/>
              <w:jc w:val="center"/>
              <w:rPr>
                <w:rFonts w:ascii="Times New Roman" w:hAnsi="Times New Roman"/>
                <w:b/>
                <w:sz w:val="20"/>
              </w:rPr>
            </w:pPr>
            <w:r>
              <w:rPr>
                <w:rFonts w:ascii="Times New Roman" w:hAnsi="Times New Roman"/>
                <w:b/>
                <w:sz w:val="20"/>
              </w:rPr>
              <w:t>Michael S. Wyzga</w:t>
            </w:r>
          </w:p>
        </w:tc>
        <w:tc>
          <w:tcPr>
            <w:tcW w:w="101"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center"/>
              <w:rPr/>
            </w:pPr>
            <w:r>
              <w:rPr/>
              <w:t>Director</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center"/>
              <w:rPr/>
            </w:pPr>
            <w:r>
              <w:rPr/>
              <w:t>February 9, 2024</w:t>
            </w:r>
          </w:p>
        </w:tc>
      </w:tr>
    </w:tbl>
    <w:p>
      <w:pPr>
        <w:pStyle w:val="TextBody"/>
        <w:bidi w:val="0"/>
        <w:spacing w:before="0" w:after="0"/>
        <w:jc w:val="right"/>
        <w:rPr>
          <w:rFonts w:ascii="Times New Roman" w:hAnsi="Times New Roman"/>
          <w:b/>
          <w:sz w:val="20"/>
        </w:rPr>
      </w:pPr>
      <w:bookmarkStart w:id="16" w:name="d753127dex51.htm"/>
      <w:bookmarkStart w:id="17" w:name="ksd753127dex51"/>
      <w:bookmarkEnd w:id="16"/>
      <w:bookmarkEnd w:id="1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6"/>
        <w:gridCol w:w="120"/>
        <w:gridCol w:w="4929"/>
      </w:tblGrid>
      <w:tr>
        <w:trPr/>
        <w:tc>
          <w:tcPr>
            <w:tcW w:w="51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29" w:type="dxa"/>
            <w:tcBorders/>
            <w:vAlign w:val="center"/>
          </w:tcPr>
          <w:p>
            <w:pPr>
              <w:pStyle w:val="TableContents"/>
              <w:bidi w:val="0"/>
              <w:spacing w:before="0" w:after="283"/>
              <w:jc w:val="left"/>
              <w:rPr>
                <w:sz w:val="4"/>
                <w:szCs w:val="4"/>
              </w:rPr>
            </w:pPr>
            <w:r>
              <w:rPr>
                <w:sz w:val="4"/>
                <w:szCs w:val="4"/>
              </w:rPr>
            </w:r>
          </w:p>
        </w:tc>
      </w:tr>
      <w:tr>
        <w:trPr/>
        <w:tc>
          <w:tcPr>
            <w:tcW w:w="5156" w:type="dxa"/>
            <w:tcBorders/>
          </w:tcPr>
          <w:p>
            <w:pPr>
              <w:pStyle w:val="TableContents"/>
              <w:bidi w:val="0"/>
              <w:spacing w:before="0" w:after="283"/>
              <w:jc w:val="left"/>
              <w:rPr/>
            </w:pPr>
            <w:r>
              <w:rPr/>
              <w:drawing>
                <wp:inline distT="0" distB="0" distL="0" distR="0">
                  <wp:extent cx="1076325" cy="1085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6"/>
                          <a:stretch>
                            <a:fillRect/>
                          </a:stretch>
                        </pic:blipFill>
                        <pic:spPr bwMode="auto">
                          <a:xfrm>
                            <a:off x="0" y="0"/>
                            <a:ext cx="1076325" cy="10858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Hogan Lovells US LLP</w:t>
            </w:r>
          </w:p>
          <w:p>
            <w:pPr>
              <w:pStyle w:val="TableContents"/>
              <w:bidi w:val="0"/>
              <w:spacing w:before="0" w:after="0"/>
              <w:jc w:val="left"/>
              <w:rPr>
                <w:rFonts w:ascii="Times New Roman" w:hAnsi="Times New Roman"/>
                <w:sz w:val="20"/>
              </w:rPr>
            </w:pPr>
            <w:r>
              <w:rPr>
                <w:rFonts w:ascii="Times New Roman" w:hAnsi="Times New Roman"/>
                <w:sz w:val="20"/>
              </w:rPr>
              <w:t>1735 Market Street, Floor 23</w:t>
            </w:r>
          </w:p>
          <w:p>
            <w:pPr>
              <w:pStyle w:val="TableContents"/>
              <w:bidi w:val="0"/>
              <w:spacing w:before="0" w:after="0"/>
              <w:jc w:val="left"/>
              <w:rPr>
                <w:rFonts w:ascii="Times New Roman" w:hAnsi="Times New Roman"/>
                <w:sz w:val="20"/>
              </w:rPr>
            </w:pPr>
            <w:r>
              <w:rPr>
                <w:rFonts w:ascii="Times New Roman" w:hAnsi="Times New Roman"/>
                <w:sz w:val="20"/>
              </w:rPr>
              <w:t>Philadelphia, PA 19103</w:t>
            </w:r>
          </w:p>
          <w:p>
            <w:pPr>
              <w:pStyle w:val="TableContents"/>
              <w:bidi w:val="0"/>
              <w:spacing w:before="0" w:after="0"/>
              <w:jc w:val="left"/>
              <w:rPr>
                <w:rFonts w:ascii="Times New Roman" w:hAnsi="Times New Roman"/>
                <w:sz w:val="20"/>
              </w:rPr>
            </w:pPr>
            <w:r>
              <w:rPr>
                <w:rFonts w:ascii="Times New Roman" w:hAnsi="Times New Roman"/>
                <w:sz w:val="20"/>
              </w:rPr>
              <w:t>T +1 267 675 4600</w:t>
            </w:r>
          </w:p>
          <w:p>
            <w:pPr>
              <w:pStyle w:val="TableContents"/>
              <w:bidi w:val="0"/>
              <w:spacing w:before="0" w:after="0"/>
              <w:jc w:val="left"/>
              <w:rPr>
                <w:rFonts w:ascii="Times New Roman" w:hAnsi="Times New Roman"/>
                <w:sz w:val="20"/>
              </w:rPr>
            </w:pPr>
            <w:r>
              <w:rPr>
                <w:rFonts w:ascii="Times New Roman" w:hAnsi="Times New Roman"/>
                <w:sz w:val="20"/>
              </w:rPr>
              <w:t>F +1 267 675 4601</w:t>
            </w:r>
          </w:p>
          <w:p>
            <w:pPr>
              <w:pStyle w:val="TableContents"/>
              <w:bidi w:val="0"/>
              <w:spacing w:before="0" w:after="20"/>
              <w:jc w:val="left"/>
              <w:rPr>
                <w:rFonts w:ascii="Times New Roman" w:hAnsi="Times New Roman"/>
                <w:sz w:val="20"/>
              </w:rPr>
            </w:pPr>
            <w:r>
              <w:rPr>
                <w:rFonts w:ascii="Times New Roman" w:hAnsi="Times New Roman"/>
                <w:sz w:val="20"/>
              </w:rPr>
              <w:t>www.hoganlovells.com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February 9, 2024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Invivyd, Inc. </w:t>
      </w:r>
    </w:p>
    <w:p>
      <w:pPr>
        <w:pStyle w:val="TextBody"/>
        <w:bidi w:val="0"/>
        <w:spacing w:before="0" w:after="0"/>
        <w:jc w:val="left"/>
        <w:rPr>
          <w:rFonts w:ascii="Times New Roman" w:hAnsi="Times New Roman"/>
          <w:sz w:val="20"/>
        </w:rPr>
      </w:pPr>
      <w:r>
        <w:rPr>
          <w:rFonts w:ascii="Times New Roman" w:hAnsi="Times New Roman"/>
          <w:sz w:val="20"/>
        </w:rPr>
        <w:t xml:space="preserve">1601 Trapelo Road, Suite 178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are acting as counsel to Invivyd, Inc., a Delaware corporation (the </w:t>
      </w:r>
      <w:r>
        <w:rPr>
          <w:rFonts w:ascii="Times New Roman" w:hAnsi="Times New Roman"/>
          <w:b/>
          <w:sz w:val="20"/>
        </w:rPr>
        <w:t>Company</w:t>
      </w:r>
      <w:r>
        <w:rPr>
          <w:rFonts w:ascii="Times New Roman" w:hAnsi="Times New Roman"/>
          <w:sz w:val="20"/>
        </w:rPr>
        <w:t>), in connection with its registration statement on Form S-3 (as may be amended from time to time, the </w:t>
      </w:r>
      <w:r>
        <w:rPr>
          <w:rFonts w:ascii="Times New Roman" w:hAnsi="Times New Roman"/>
          <w:b/>
          <w:sz w:val="20"/>
        </w:rPr>
        <w:t>Registration Statement</w:t>
      </w:r>
      <w:r>
        <w:rPr>
          <w:rFonts w:ascii="Times New Roman" w:hAnsi="Times New Roman"/>
          <w:sz w:val="20"/>
        </w:rPr>
        <w:t>), filed with the Securities and Exchange Commission under the Securities Act of 1933, as amended (the </w:t>
      </w:r>
      <w:r>
        <w:rPr>
          <w:rFonts w:ascii="Times New Roman" w:hAnsi="Times New Roman"/>
          <w:b/>
          <w:sz w:val="20"/>
        </w:rPr>
        <w:t>Act</w:t>
      </w:r>
      <w:r>
        <w:rPr>
          <w:rFonts w:ascii="Times New Roman" w:hAnsi="Times New Roman"/>
          <w:sz w:val="20"/>
        </w:rPr>
        <w:t>), relating to the resale or other disposition, from time to time, by the selling stockholders listed in the Registration Statement (the </w:t>
      </w:r>
      <w:r>
        <w:rPr>
          <w:rFonts w:ascii="Times New Roman" w:hAnsi="Times New Roman"/>
          <w:b/>
          <w:sz w:val="20"/>
        </w:rPr>
        <w:t>Selling Stockholders</w:t>
      </w:r>
      <w:r>
        <w:rPr>
          <w:rFonts w:ascii="Times New Roman" w:hAnsi="Times New Roman"/>
          <w:sz w:val="20"/>
        </w:rPr>
        <w:t>), including their transferees, pledgees, donees or successors, of up to (i) 30,921,286 issued and outstanding shares (the </w:t>
      </w:r>
      <w:r>
        <w:rPr>
          <w:rFonts w:ascii="Times New Roman" w:hAnsi="Times New Roman"/>
          <w:b/>
          <w:sz w:val="20"/>
        </w:rPr>
        <w:t>Shares</w:t>
      </w:r>
      <w:r>
        <w:rPr>
          <w:rFonts w:ascii="Times New Roman" w:hAnsi="Times New Roman"/>
          <w:sz w:val="20"/>
        </w:rPr>
        <w:t>) of common stock, par value $0.0001 per share of the Company (the </w:t>
      </w:r>
      <w:r>
        <w:rPr>
          <w:rFonts w:ascii="Times New Roman" w:hAnsi="Times New Roman"/>
          <w:b/>
          <w:sz w:val="20"/>
        </w:rPr>
        <w:t>Common Stock</w:t>
      </w:r>
      <w:r>
        <w:rPr>
          <w:rFonts w:ascii="Times New Roman" w:hAnsi="Times New Roman"/>
          <w:sz w:val="20"/>
        </w:rPr>
        <w:t>) and (ii) 6,824,712 shares of Common Stock (the </w:t>
      </w:r>
      <w:r>
        <w:rPr>
          <w:rFonts w:ascii="Times New Roman" w:hAnsi="Times New Roman"/>
          <w:b/>
          <w:sz w:val="20"/>
        </w:rPr>
        <w:t>Warrant Shares</w:t>
      </w:r>
      <w:r>
        <w:rPr>
          <w:rFonts w:ascii="Times New Roman" w:hAnsi="Times New Roman"/>
          <w:sz w:val="20"/>
        </w:rPr>
        <w:t>), issuable upon exercise of a warrant (the </w:t>
      </w:r>
      <w:r>
        <w:rPr>
          <w:rFonts w:ascii="Times New Roman" w:hAnsi="Times New Roman"/>
          <w:b/>
          <w:sz w:val="20"/>
        </w:rPr>
        <w:t>Warrant</w:t>
      </w:r>
      <w:r>
        <w:rPr>
          <w:rFonts w:ascii="Times New Roman" w:hAnsi="Times New Roman"/>
          <w:sz w:val="20"/>
        </w:rPr>
        <w:t>), issued by the Company to certain of the Selling Stockholders, as described in the prospectus that forms a part of the Registration Statement (the </w:t>
      </w:r>
      <w:r>
        <w:rPr>
          <w:rFonts w:ascii="Times New Roman" w:hAnsi="Times New Roman"/>
          <w:b/>
          <w:sz w:val="20"/>
        </w:rPr>
        <w:t>Prospectus</w:t>
      </w:r>
      <w:r>
        <w:rPr>
          <w:rFonts w:ascii="Times New Roman" w:hAnsi="Times New Roman"/>
          <w:sz w:val="20"/>
        </w:rPr>
        <w:t xml:space="preserve">). This opinion letter is furnished to you at your request to enable you to fulfill the requirements of Item 601(b)(5) of Regulation S-K, 17 C.F.R. § 229.601(b)(5), in connection with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based as to matters of law solely on the Delaware General Corporation Law, as amended. We express no opinion herein as to any other statutes, rules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Based upon, subject to and limited by the foregoing, we are of the opinion that, as of the date 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have been validly issued and are fully paid and non-assessable. </w:t>
            </w:r>
          </w:p>
        </w:tc>
      </w:tr>
    </w:tbl>
    <w:p>
      <w:pPr>
        <w:pStyle w:val="TextBody"/>
        <w:bidi w:val="0"/>
        <w:spacing w:before="240" w:after="0"/>
        <w:jc w:val="left"/>
        <w:rPr>
          <w:rFonts w:ascii="Times New Roman" w:hAnsi="Times New Roman"/>
          <w:sz w:val="16"/>
        </w:rPr>
      </w:pPr>
      <w:r>
        <w:rPr>
          <w:rFonts w:ascii="Times New Roman" w:hAnsi="Times New Roman"/>
          <w:sz w:val="16"/>
        </w:rPr>
        <w:t xml:space="preserve">Hogan Lovells US LLP is a limited liability partnership registered in the State of Delaware. Hogan Lovells is an international legal practice that includes Hogan Lovells US LLP and Hogan Lovells International LLP, with offices in: Alicante Amsterdam Baltimore Beijing Birmingham Boston Brussels Colorado Springs Denver Dubai Dusseldorf Frankfurt Hamburg Hanoi Ho Chi Minh City Hong Kong Houston Johannesburg London Los Angeles Luxembourg Madrid Mexico City Miami Milan Minneapolis Monterrey Moscow Munich New York Northern Virginia Paris Perth Philadelphia Rome San Francisco São Paulo Shanghai Silicon Valley Singapore Sydney Tokyo Warsaw Washington, D.C. Associated Offices: Budapest Jakarta Riyadh Shanghai FTZ Ulaanbaatar Zagreb. Business Service Centers: Johannesburg Louisville. Legal Services Center: Berlin. For more information see www.hoganlovells.com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555"/>
        <w:gridCol w:w="120"/>
        <w:gridCol w:w="3156"/>
        <w:gridCol w:w="120"/>
        <w:gridCol w:w="3254"/>
      </w:tblGrid>
      <w:tr>
        <w:trPr/>
        <w:tc>
          <w:tcPr>
            <w:tcW w:w="35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4" w:type="dxa"/>
            <w:tcBorders/>
            <w:vAlign w:val="center"/>
          </w:tcPr>
          <w:p>
            <w:pPr>
              <w:pStyle w:val="TableContents"/>
              <w:bidi w:val="0"/>
              <w:spacing w:before="0" w:after="283"/>
              <w:jc w:val="left"/>
              <w:rPr>
                <w:sz w:val="4"/>
                <w:szCs w:val="4"/>
              </w:rPr>
            </w:pPr>
            <w:r>
              <w:rPr>
                <w:sz w:val="4"/>
                <w:szCs w:val="4"/>
              </w:rPr>
            </w:r>
          </w:p>
        </w:tc>
      </w:tr>
      <w:tr>
        <w:trPr/>
        <w:tc>
          <w:tcPr>
            <w:tcW w:w="3555" w:type="dxa"/>
            <w:tcBorders/>
            <w:vAlign w:val="bottom"/>
          </w:tcPr>
          <w:p>
            <w:pPr>
              <w:pStyle w:val="TableContents"/>
              <w:bidi w:val="0"/>
              <w:spacing w:before="0" w:after="283"/>
              <w:jc w:val="left"/>
              <w:rPr/>
            </w:pPr>
            <w:r>
              <w:rPr/>
              <w:t>Invivyd, Inc.</w:t>
            </w:r>
          </w:p>
        </w:tc>
        <w:tc>
          <w:tcPr>
            <w:tcW w:w="120" w:type="dxa"/>
            <w:tcBorders/>
            <w:vAlign w:val="bottom"/>
          </w:tcPr>
          <w:p>
            <w:pPr>
              <w:pStyle w:val="TableContents"/>
              <w:bidi w:val="0"/>
              <w:spacing w:before="0" w:after="283"/>
              <w:jc w:val="left"/>
              <w:rPr/>
            </w:pPr>
            <w:r>
              <w:rPr/>
              <w:t>  </w:t>
            </w:r>
          </w:p>
        </w:tc>
        <w:tc>
          <w:tcPr>
            <w:tcW w:w="3156" w:type="dxa"/>
            <w:tcBorders/>
            <w:vAlign w:val="bottom"/>
          </w:tcPr>
          <w:p>
            <w:pPr>
              <w:pStyle w:val="TableContents"/>
              <w:bidi w:val="0"/>
              <w:spacing w:before="0" w:after="283"/>
              <w:jc w:val="center"/>
              <w:rPr/>
            </w:pPr>
            <w:r>
              <w:rPr/>
              <w:t>- 2 -</w:t>
            </w:r>
          </w:p>
        </w:tc>
        <w:tc>
          <w:tcPr>
            <w:tcW w:w="120" w:type="dxa"/>
            <w:tcBorders/>
            <w:vAlign w:val="bottom"/>
          </w:tcPr>
          <w:p>
            <w:pPr>
              <w:pStyle w:val="TableContents"/>
              <w:bidi w:val="0"/>
              <w:spacing w:before="0" w:after="283"/>
              <w:jc w:val="left"/>
              <w:rPr/>
            </w:pPr>
            <w:r>
              <w:rPr/>
              <w:t>  </w:t>
            </w:r>
          </w:p>
        </w:tc>
        <w:tc>
          <w:tcPr>
            <w:tcW w:w="3254" w:type="dxa"/>
            <w:tcBorders/>
            <w:vAlign w:val="bottom"/>
          </w:tcPr>
          <w:p>
            <w:pPr>
              <w:pStyle w:val="TableContents"/>
              <w:bidi w:val="0"/>
              <w:spacing w:before="0" w:after="0"/>
              <w:jc w:val="left"/>
              <w:rPr/>
            </w:pPr>
            <w:r>
              <w:rPr/>
              <w:t>     </w:t>
            </w:r>
            <w:r>
              <w:rPr>
                <w:rFonts w:ascii="Times New Roman" w:hAnsi="Times New Roman"/>
                <w:sz w:val="20"/>
              </w:rPr>
              <w:t>February 9, 2024</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 Shares have been duly authorized by all necessary corporate action on the part of the Company and, following (i) the exercise of the Warrant in accordance with its terms and (ii) receipt by the Company of the consideration for the Warrant Shares specified in the Warrant, the Warrant Shares will be validly issued, fully paid and nonassessable.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opinion letter has been prepared for use in connection with the Registration Statement. We assume no obligation to advise of any changes in the foregoing subsequent to the effective date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5.1 to the Registration Statement and to the reference to this firm under the caption Legal Matters in the Prospectus. In giving this consent, we do not thereby admit that we are an expert within the meaning of the Act.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HOGAN LOVELLS US LLP </w:t>
      </w:r>
    </w:p>
    <w:p>
      <w:pPr>
        <w:pStyle w:val="TextBody"/>
        <w:bidi w:val="0"/>
        <w:spacing w:before="240" w:after="0"/>
        <w:jc w:val="left"/>
        <w:rPr>
          <w:rFonts w:ascii="Times New Roman" w:hAnsi="Times New Roman"/>
          <w:sz w:val="20"/>
        </w:rPr>
      </w:pPr>
      <w:r>
        <w:rPr>
          <w:rFonts w:ascii="Times New Roman" w:hAnsi="Times New Roman"/>
          <w:sz w:val="20"/>
        </w:rPr>
        <w:t xml:space="preserve">HOGAN LOVELLS US LLP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18" w:name="d753127dex231.htm"/>
      <w:bookmarkStart w:id="19" w:name="ksd753127dex231"/>
      <w:bookmarkEnd w:id="18"/>
      <w:bookmarkEnd w:id="19"/>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Invivyd, Inc. of our report dated March 23, 2023, except with respect to the matters that raise substantial doubt about the Companys ability to continue as a going concern discussed in Note 1, as to which the date is February 9, 2024, relating to the financial statements, which appears in Invivid, Inc.s Current Report on Form 8-K dated February 9, 2024.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February 9, 2024 </w:t>
      </w:r>
    </w:p>
    <w:p>
      <w:pPr>
        <w:pStyle w:val="TextBody"/>
        <w:bidi w:val="0"/>
        <w:spacing w:before="0" w:after="0"/>
        <w:jc w:val="right"/>
        <w:rPr>
          <w:rFonts w:ascii="Times New Roman" w:hAnsi="Times New Roman"/>
          <w:b/>
          <w:sz w:val="20"/>
        </w:rPr>
      </w:pPr>
      <w:bookmarkStart w:id="20" w:name="d753127dexfilingfees.htm"/>
      <w:bookmarkStart w:id="21" w:name="ksd753127dexfilingfees"/>
      <w:bookmarkEnd w:id="20"/>
      <w:bookmarkEnd w:id="21"/>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sz w:val="20"/>
        </w:rPr>
      </w:pPr>
      <w:r>
        <w:rPr>
          <w:rFonts w:ascii="Times New Roman" w:hAnsi="Times New Roman"/>
          <w:sz w:val="20"/>
        </w:rPr>
        <w:t xml:space="preserve">Form S-3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Invivyd,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rPr>
      </w:pPr>
      <w:r>
        <w:rPr>
          <w:rFonts w:ascii="Times New Roman" w:hAnsi="Times New Roman"/>
          <w:sz w:val="20"/>
        </w:rPr>
        <w:t xml:space="preserve">Table 1: Newly Registered and Carry Forward Securities </w:t>
      </w:r>
    </w:p>
    <w:p>
      <w:pPr>
        <w:pStyle w:val="TextBody"/>
        <w:bidi w:val="0"/>
        <w:spacing w:before="0" w:after="0"/>
        <w:jc w:val="left"/>
        <w:rPr/>
      </w:pPr>
      <w:r>
        <w:rPr/>
        <w:t> </w:t>
      </w:r>
    </w:p>
    <w:tbl>
      <w:tblPr>
        <w:tblW w:w="15585" w:type="dxa"/>
        <w:jc w:val="center"/>
        <w:tblInd w:w="0" w:type="dxa"/>
        <w:tblLayout w:type="fixed"/>
        <w:tblCellMar>
          <w:top w:w="0" w:type="dxa"/>
          <w:left w:w="0" w:type="dxa"/>
          <w:bottom w:w="0" w:type="dxa"/>
          <w:right w:w="0" w:type="dxa"/>
        </w:tblCellMar>
      </w:tblPr>
      <w:tblGrid>
        <w:gridCol w:w="770"/>
        <w:gridCol w:w="60"/>
        <w:gridCol w:w="1475"/>
        <w:gridCol w:w="60"/>
        <w:gridCol w:w="1985"/>
        <w:gridCol w:w="60"/>
        <w:gridCol w:w="1880"/>
        <w:gridCol w:w="60"/>
        <w:gridCol w:w="1475"/>
        <w:gridCol w:w="60"/>
        <w:gridCol w:w="2225"/>
        <w:gridCol w:w="60"/>
        <w:gridCol w:w="2285"/>
        <w:gridCol w:w="60"/>
        <w:gridCol w:w="1205"/>
        <w:gridCol w:w="60"/>
        <w:gridCol w:w="1805"/>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770"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75" w:type="dxa"/>
            <w:tcBorders>
              <w:top w:val="single" w:sz="2" w:space="0" w:color="000000"/>
              <w:bottom w:val="single" w:sz="2" w:space="0" w:color="000000"/>
              <w:right w:val="single" w:sz="2" w:space="0" w:color="000000"/>
            </w:tcBorders>
            <w:tcMar>
              <w:top w:w="28" w:type="dxa"/>
              <w:bottom w:w="40" w:type="dxa"/>
              <w:right w:w="28" w:type="dxa"/>
            </w:tcMar>
            <w:vAlign w:val="bottom"/>
          </w:tcPr>
          <w:p>
            <w:pPr>
              <w:pStyle w:val="TableContents"/>
              <w:bidi w:val="0"/>
              <w:spacing w:before="0" w:after="283"/>
              <w:jc w:val="center"/>
              <w:rPr/>
            </w:pPr>
            <w:r>
              <w:rPr/>
              <w:t> </w:t>
            </w:r>
            <w:r>
              <w:rPr/>
              <w:t>Security Type 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985" w:type="dxa"/>
            <w:tcBorders>
              <w:top w:val="single" w:sz="2" w:space="0" w:color="000000"/>
              <w:bottom w:val="single" w:sz="2" w:space="0" w:color="000000"/>
            </w:tcBorders>
            <w:tcMar>
              <w:top w:w="28" w:type="dxa"/>
              <w:bottom w:w="40" w:type="dxa"/>
            </w:tcMar>
            <w:vAlign w:val="bottom"/>
          </w:tcPr>
          <w:p>
            <w:pPr>
              <w:pStyle w:val="TableContents"/>
              <w:bidi w:val="0"/>
              <w:spacing w:before="0" w:after="283"/>
              <w:jc w:val="center"/>
              <w:rPr/>
            </w:pPr>
            <w:r>
              <w:rPr/>
              <w:t> </w:t>
            </w:r>
            <w:r>
              <w:rPr/>
              <w:t>Security Class Title 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80" w:type="dxa"/>
            <w:tcBorders>
              <w:top w:val="single" w:sz="2" w:space="0" w:color="000000"/>
              <w:bottom w:val="single" w:sz="2" w:space="0" w:color="000000"/>
              <w:right w:val="single" w:sz="2" w:space="0" w:color="000000"/>
            </w:tcBorders>
            <w:tcMar>
              <w:top w:w="28" w:type="dxa"/>
              <w:bottom w:w="40" w:type="dxa"/>
              <w:right w:w="28" w:type="dxa"/>
            </w:tcMar>
            <w:vAlign w:val="bottom"/>
          </w:tcPr>
          <w:p>
            <w:pPr>
              <w:pStyle w:val="TableContents"/>
              <w:bidi w:val="0"/>
              <w:spacing w:before="0" w:after="283"/>
              <w:jc w:val="center"/>
              <w:rPr/>
            </w:pPr>
            <w:r>
              <w:rPr/>
              <w:t>Fee Calculation or </w:t>
              <w:br/>
              <w:t>Carry Forward</w:t>
              <w:br/>
              <w:t>Rule</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475" w:type="dxa"/>
            <w:tcBorders>
              <w:top w:val="single" w:sz="2" w:space="0" w:color="000000"/>
              <w:bottom w:val="single" w:sz="2" w:space="0" w:color="000000"/>
            </w:tcBorders>
            <w:tcMar>
              <w:top w:w="28" w:type="dxa"/>
              <w:bottom w:w="40" w:type="dxa"/>
            </w:tcMar>
            <w:vAlign w:val="bottom"/>
          </w:tcPr>
          <w:p>
            <w:pPr>
              <w:pStyle w:val="TableContents"/>
              <w:bidi w:val="0"/>
              <w:spacing w:before="0" w:after="283"/>
              <w:jc w:val="center"/>
              <w:rPr/>
            </w:pPr>
            <w:r>
              <w:rPr/>
              <w:t>Amount</w:t>
              <w:br/>
              <w:t>Registered (1) 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25" w:type="dxa"/>
            <w:tcBorders>
              <w:top w:val="single" w:sz="2" w:space="0" w:color="000000"/>
              <w:bottom w:val="single" w:sz="2" w:space="0" w:color="000000"/>
              <w:right w:val="single" w:sz="2" w:space="0" w:color="000000"/>
            </w:tcBorders>
            <w:tcMar>
              <w:top w:w="28" w:type="dxa"/>
              <w:bottom w:w="40" w:type="dxa"/>
              <w:right w:w="28" w:type="dxa"/>
            </w:tcMar>
            <w:vAlign w:val="bottom"/>
          </w:tcPr>
          <w:p>
            <w:pPr>
              <w:pStyle w:val="TableContents"/>
              <w:bidi w:val="0"/>
              <w:spacing w:before="0" w:after="283"/>
              <w:jc w:val="center"/>
              <w:rPr/>
            </w:pPr>
            <w:r>
              <w:rPr/>
              <w:t>Proposed Maximum</w:t>
              <w:br/>
              <w:t>Offering Price Per Unit 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285" w:type="dxa"/>
            <w:tcBorders>
              <w:top w:val="single" w:sz="2" w:space="0" w:color="000000"/>
              <w:bottom w:val="single" w:sz="2" w:space="0" w:color="000000"/>
            </w:tcBorders>
            <w:tcMar>
              <w:top w:w="28" w:type="dxa"/>
              <w:bottom w:w="40" w:type="dxa"/>
            </w:tcMar>
            <w:vAlign w:val="bottom"/>
          </w:tcPr>
          <w:p>
            <w:pPr>
              <w:pStyle w:val="TableContents"/>
              <w:bidi w:val="0"/>
              <w:spacing w:before="0" w:after="283"/>
              <w:jc w:val="center"/>
              <w:rPr/>
            </w:pPr>
            <w:r>
              <w:rPr/>
              <w:t> </w:t>
            </w:r>
            <w:r>
              <w:rPr/>
              <w:t>Maximum Aggregate </w:t>
              <w:br/>
              <w:t>Offering Price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05" w:type="dxa"/>
            <w:tcBorders>
              <w:top w:val="single" w:sz="2" w:space="0" w:color="000000"/>
              <w:bottom w:val="single" w:sz="2" w:space="0" w:color="000000"/>
              <w:right w:val="single" w:sz="2" w:space="0" w:color="000000"/>
            </w:tcBorders>
            <w:tcMar>
              <w:top w:w="28" w:type="dxa"/>
              <w:bottom w:w="40" w:type="dxa"/>
              <w:right w:w="28" w:type="dxa"/>
            </w:tcMar>
            <w:vAlign w:val="bottom"/>
          </w:tcPr>
          <w:p>
            <w:pPr>
              <w:pStyle w:val="TableContents"/>
              <w:bidi w:val="0"/>
              <w:spacing w:before="0" w:after="283"/>
              <w:jc w:val="center"/>
              <w:rPr/>
            </w:pPr>
            <w:r>
              <w:rPr/>
              <w:t> </w:t>
            </w:r>
            <w:r>
              <w:rPr/>
              <w:t>Fee Rate 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805" w:type="dxa"/>
            <w:tcBorders>
              <w:top w:val="single" w:sz="2" w:space="0" w:color="000000"/>
              <w:bottom w:val="single" w:sz="2" w:space="0" w:color="000000"/>
              <w:right w:val="single" w:sz="2" w:space="0" w:color="000000"/>
            </w:tcBorders>
            <w:tcMar>
              <w:top w:w="28" w:type="dxa"/>
              <w:bottom w:w="40" w:type="dxa"/>
              <w:right w:w="40" w:type="dxa"/>
            </w:tcMar>
            <w:vAlign w:val="bottom"/>
          </w:tcPr>
          <w:p>
            <w:pPr>
              <w:pStyle w:val="TableContents"/>
              <w:bidi w:val="0"/>
              <w:spacing w:before="0" w:after="283"/>
              <w:jc w:val="center"/>
              <w:rPr/>
            </w:pPr>
            <w:r>
              <w:rPr/>
              <w:t>Amount of</w:t>
              <w:br/>
              <w:t> Registration Fee </w:t>
            </w:r>
          </w:p>
        </w:tc>
      </w:tr>
      <w:tr>
        <w:trPr>
          <w:trHeight w:val="30" w:hRule="atLeast"/>
        </w:trPr>
        <w:tc>
          <w:tcPr>
            <w:tcW w:w="770" w:type="dxa"/>
            <w:tcBorders>
              <w:left w:val="single" w:sz="2" w:space="0" w:color="000000"/>
            </w:tcBorders>
            <w:tcMar>
              <w:left w:w="160" w:type="dxa"/>
            </w:tcMar>
            <w:vAlign w:val="center"/>
          </w:tcPr>
          <w:p>
            <w:pPr>
              <w:pStyle w:val="TableContents"/>
              <w:bidi w:val="0"/>
              <w:spacing w:before="0" w:after="283"/>
              <w:jc w:val="left"/>
              <w:rPr/>
            </w:pPr>
            <w:r>
              <w:rPr/>
              <w:t> </w:t>
            </w:r>
          </w:p>
        </w:tc>
        <w:tc>
          <w:tcPr>
            <w:tcW w:w="153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2345"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86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40" w:type="dxa"/>
            </w:tcMar>
            <w:vAlign w:val="center"/>
          </w:tcPr>
          <w:p>
            <w:pPr>
              <w:pStyle w:val="TableContents"/>
              <w:bidi w:val="0"/>
              <w:spacing w:before="0" w:after="0"/>
              <w:jc w:val="center"/>
              <w:rPr/>
            </w:pPr>
            <w:r>
              <w:rPr/>
              <w:t> </w:t>
            </w:r>
            <w:r>
              <w:rPr>
                <w:rFonts w:ascii="Times New Roman" w:hAnsi="Times New Roman"/>
                <w:sz w:val="18"/>
              </w:rPr>
              <w:t>Fees to Be </w:t>
            </w:r>
          </w:p>
          <w:p>
            <w:pPr>
              <w:pStyle w:val="TableContents"/>
              <w:bidi w:val="0"/>
              <w:spacing w:before="0" w:after="20"/>
              <w:jc w:val="center"/>
              <w:rPr>
                <w:rFonts w:ascii="Times New Roman" w:hAnsi="Times New Roman"/>
                <w:sz w:val="18"/>
              </w:rPr>
            </w:pPr>
            <w:r>
              <w:rPr>
                <w:rFonts w:ascii="Times New Roman" w:hAnsi="Times New Roman"/>
                <w:sz w:val="18"/>
              </w:rPr>
              <w:t>Paid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7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Equity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85" w:type="dxa"/>
            <w:tcBorders>
              <w:bottom w:val="single" w:sz="2" w:space="0" w:color="000000"/>
            </w:tcBorders>
            <w:tcMar>
              <w:bottom w:w="40" w:type="dxa"/>
            </w:tcMar>
            <w:vAlign w:val="center"/>
          </w:tcPr>
          <w:p>
            <w:pPr>
              <w:pStyle w:val="TableContents"/>
              <w:bidi w:val="0"/>
              <w:spacing w:before="0" w:after="283"/>
              <w:jc w:val="center"/>
              <w:rPr/>
            </w:pPr>
            <w:r>
              <w:rPr/>
              <w:t>Common Stock,</w:t>
              <w:br/>
              <w:t>$0.0001 par value</w:t>
              <w:br/>
              <w:t>per share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880"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Other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75" w:type="dxa"/>
            <w:tcBorders>
              <w:bottom w:val="single" w:sz="2" w:space="0" w:color="000000"/>
            </w:tcBorders>
            <w:tcMar>
              <w:bottom w:w="40" w:type="dxa"/>
            </w:tcMar>
            <w:vAlign w:val="center"/>
          </w:tcPr>
          <w:p>
            <w:pPr>
              <w:pStyle w:val="TableContents"/>
              <w:bidi w:val="0"/>
              <w:spacing w:before="0" w:after="283"/>
              <w:jc w:val="center"/>
              <w:rPr/>
            </w:pPr>
            <w:r>
              <w:rPr/>
              <w:t>37,745,998 (2)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2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$4.87 (3)</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85" w:type="dxa"/>
            <w:tcBorders>
              <w:bottom w:val="single" w:sz="2" w:space="0" w:color="000000"/>
            </w:tcBorders>
            <w:tcMar>
              <w:bottom w:w="40" w:type="dxa"/>
            </w:tcMar>
            <w:vAlign w:val="center"/>
          </w:tcPr>
          <w:p>
            <w:pPr>
              <w:pStyle w:val="TableContents"/>
              <w:bidi w:val="0"/>
              <w:spacing w:before="0" w:after="283"/>
              <w:jc w:val="center"/>
              <w:rPr/>
            </w:pPr>
            <w:r>
              <w:rPr/>
              <w:t>$183,823,010.26</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0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$0.0001476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0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$27,132.28</w:t>
            </w:r>
          </w:p>
        </w:tc>
      </w:tr>
      <w:tr>
        <w:trPr>
          <w:trHeight w:val="30" w:hRule="atLeast"/>
        </w:trPr>
        <w:tc>
          <w:tcPr>
            <w:tcW w:w="770" w:type="dxa"/>
            <w:tcBorders>
              <w:left w:val="single" w:sz="2" w:space="0" w:color="000000"/>
            </w:tcBorders>
            <w:tcMar>
              <w:left w:w="160" w:type="dxa"/>
            </w:tcMar>
            <w:vAlign w:val="center"/>
          </w:tcPr>
          <w:p>
            <w:pPr>
              <w:pStyle w:val="TableContents"/>
              <w:bidi w:val="0"/>
              <w:spacing w:before="0" w:after="283"/>
              <w:jc w:val="left"/>
              <w:rPr/>
            </w:pPr>
            <w:r>
              <w:rPr/>
              <w:t> </w:t>
            </w:r>
          </w:p>
        </w:tc>
        <w:tc>
          <w:tcPr>
            <w:tcW w:w="7055" w:type="dxa"/>
            <w:gridSpan w:val="8"/>
            <w:tcBorders>
              <w:left w:val="single" w:sz="2" w:space="0" w:color="000000"/>
            </w:tcBorders>
            <w:tcMar>
              <w:left w:w="28" w:type="dxa"/>
            </w:tcMar>
            <w:vAlign w:val="center"/>
          </w:tcPr>
          <w:p>
            <w:pPr>
              <w:pStyle w:val="TableContents"/>
              <w:bidi w:val="0"/>
              <w:spacing w:before="0" w:after="283"/>
              <w:jc w:val="left"/>
              <w:rPr/>
            </w:pPr>
            <w:r>
              <w:rPr/>
              <w:t> </w:t>
            </w:r>
          </w:p>
        </w:tc>
        <w:tc>
          <w:tcPr>
            <w:tcW w:w="228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2345"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86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5" w:type="dxa"/>
            <w:gridSpan w:val="7"/>
            <w:tcBorders>
              <w:bottom w:val="single" w:sz="2" w:space="0" w:color="000000"/>
            </w:tcBorders>
            <w:tcMar>
              <w:bottom w:w="40" w:type="dxa"/>
            </w:tcMar>
            <w:vAlign w:val="bottom"/>
          </w:tcPr>
          <w:p>
            <w:pPr>
              <w:pStyle w:val="TableContents"/>
              <w:bidi w:val="0"/>
              <w:spacing w:before="0" w:after="283"/>
              <w:jc w:val="left"/>
              <w:rPr/>
            </w:pPr>
            <w:r>
              <w:rPr/>
              <w:t>    </w:t>
            </w:r>
            <w:r>
              <w:rPr/>
              <w:t>Total Offering Amounts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2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85" w:type="dxa"/>
            <w:tcBorders>
              <w:bottom w:val="single" w:sz="2" w:space="0" w:color="000000"/>
            </w:tcBorders>
            <w:tcMar>
              <w:bottom w:w="40" w:type="dxa"/>
            </w:tcMar>
            <w:vAlign w:val="bottom"/>
          </w:tcPr>
          <w:p>
            <w:pPr>
              <w:pStyle w:val="TableContents"/>
              <w:bidi w:val="0"/>
              <w:spacing w:before="0" w:after="283"/>
              <w:jc w:val="center"/>
              <w:rPr/>
            </w:pPr>
            <w:r>
              <w:rPr/>
              <w:t>$183,823,010.26</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0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05"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$27,132.28</w:t>
            </w:r>
          </w:p>
        </w:tc>
      </w:tr>
      <w:tr>
        <w:trPr>
          <w:trHeight w:val="30" w:hRule="atLeast"/>
        </w:trPr>
        <w:tc>
          <w:tcPr>
            <w:tcW w:w="770" w:type="dxa"/>
            <w:tcBorders>
              <w:left w:val="single" w:sz="2" w:space="0" w:color="000000"/>
            </w:tcBorders>
            <w:tcMar>
              <w:left w:w="160" w:type="dxa"/>
            </w:tcMar>
            <w:vAlign w:val="center"/>
          </w:tcPr>
          <w:p>
            <w:pPr>
              <w:pStyle w:val="TableContents"/>
              <w:bidi w:val="0"/>
              <w:spacing w:before="0" w:after="283"/>
              <w:jc w:val="left"/>
              <w:rPr/>
            </w:pPr>
            <w:r>
              <w:rPr/>
              <w:t> </w:t>
            </w:r>
          </w:p>
        </w:tc>
        <w:tc>
          <w:tcPr>
            <w:tcW w:w="7055" w:type="dxa"/>
            <w:gridSpan w:val="8"/>
            <w:tcBorders>
              <w:left w:val="single" w:sz="2" w:space="0" w:color="000000"/>
            </w:tcBorders>
            <w:tcMar>
              <w:left w:w="28" w:type="dxa"/>
            </w:tcMar>
            <w:vAlign w:val="center"/>
          </w:tcPr>
          <w:p>
            <w:pPr>
              <w:pStyle w:val="TableContents"/>
              <w:bidi w:val="0"/>
              <w:spacing w:before="0" w:after="283"/>
              <w:jc w:val="left"/>
              <w:rPr/>
            </w:pPr>
            <w:r>
              <w:rPr/>
              <w:t> </w:t>
            </w:r>
          </w:p>
        </w:tc>
        <w:tc>
          <w:tcPr>
            <w:tcW w:w="228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2345"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86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5" w:type="dxa"/>
            <w:gridSpan w:val="7"/>
            <w:tcBorders>
              <w:bottom w:val="single" w:sz="2" w:space="0" w:color="000000"/>
            </w:tcBorders>
            <w:tcMar>
              <w:bottom w:w="40" w:type="dxa"/>
            </w:tcMar>
            <w:vAlign w:val="bottom"/>
          </w:tcPr>
          <w:p>
            <w:pPr>
              <w:pStyle w:val="TableContents"/>
              <w:bidi w:val="0"/>
              <w:spacing w:before="0" w:after="283"/>
              <w:jc w:val="left"/>
              <w:rPr/>
            </w:pPr>
            <w:r>
              <w:rPr/>
              <w:t>    </w:t>
            </w:r>
            <w:r>
              <w:rPr/>
              <w:t>Total Fees Previously Paid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2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8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0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05"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rHeight w:val="30" w:hRule="atLeast"/>
        </w:trPr>
        <w:tc>
          <w:tcPr>
            <w:tcW w:w="770" w:type="dxa"/>
            <w:tcBorders>
              <w:left w:val="single" w:sz="2" w:space="0" w:color="000000"/>
            </w:tcBorders>
            <w:tcMar>
              <w:left w:w="160" w:type="dxa"/>
            </w:tcMar>
            <w:vAlign w:val="center"/>
          </w:tcPr>
          <w:p>
            <w:pPr>
              <w:pStyle w:val="TableContents"/>
              <w:bidi w:val="0"/>
              <w:spacing w:before="0" w:after="283"/>
              <w:jc w:val="left"/>
              <w:rPr/>
            </w:pPr>
            <w:r>
              <w:rPr/>
              <w:t> </w:t>
            </w:r>
          </w:p>
        </w:tc>
        <w:tc>
          <w:tcPr>
            <w:tcW w:w="7055" w:type="dxa"/>
            <w:gridSpan w:val="8"/>
            <w:tcBorders>
              <w:left w:val="single" w:sz="2" w:space="0" w:color="000000"/>
            </w:tcBorders>
            <w:tcMar>
              <w:left w:w="28" w:type="dxa"/>
            </w:tcMar>
            <w:vAlign w:val="center"/>
          </w:tcPr>
          <w:p>
            <w:pPr>
              <w:pStyle w:val="TableContents"/>
              <w:bidi w:val="0"/>
              <w:spacing w:before="0" w:after="283"/>
              <w:jc w:val="left"/>
              <w:rPr/>
            </w:pPr>
            <w:r>
              <w:rPr/>
              <w:t> </w:t>
            </w:r>
          </w:p>
        </w:tc>
        <w:tc>
          <w:tcPr>
            <w:tcW w:w="228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2345"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86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5" w:type="dxa"/>
            <w:gridSpan w:val="7"/>
            <w:tcBorders>
              <w:bottom w:val="single" w:sz="2" w:space="0" w:color="000000"/>
            </w:tcBorders>
            <w:tcMar>
              <w:bottom w:w="40" w:type="dxa"/>
            </w:tcMar>
            <w:vAlign w:val="bottom"/>
          </w:tcPr>
          <w:p>
            <w:pPr>
              <w:pStyle w:val="TableContents"/>
              <w:bidi w:val="0"/>
              <w:spacing w:before="0" w:after="283"/>
              <w:jc w:val="left"/>
              <w:rPr/>
            </w:pPr>
            <w:r>
              <w:rPr/>
              <w:t>    </w:t>
            </w:r>
            <w:r>
              <w:rPr/>
              <w:t>Total Fee Offsets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2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8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0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05"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77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5" w:type="dxa"/>
            <w:gridSpan w:val="7"/>
            <w:tcBorders>
              <w:bottom w:val="single" w:sz="2" w:space="0" w:color="000000"/>
            </w:tcBorders>
            <w:tcMar>
              <w:bottom w:w="40" w:type="dxa"/>
            </w:tcMar>
            <w:vAlign w:val="bottom"/>
          </w:tcPr>
          <w:p>
            <w:pPr>
              <w:pStyle w:val="TableContents"/>
              <w:bidi w:val="0"/>
              <w:spacing w:before="0" w:after="283"/>
              <w:jc w:val="left"/>
              <w:rPr/>
            </w:pPr>
            <w:r>
              <w:rPr/>
              <w:t>      </w:t>
            </w: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2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8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0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05"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$27,132.28</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416(a) under the Securities Act of 1933, as amended (the Securities Act), there is also being registered hereby an indeterminate number of additional shares of common stock, par value $0.0001 per share, of the registrant (the Common Stock) as may be issued or issuable resulting from stock splits, stock dividends or similar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30,921,286 outstanding shares of the registrants common stock and (ii) 6,824,712 shares of the registrants common stock issuable upon exercise of a common stock purchase warrant, to be offered and sold, in each case, by the selling stockholders identified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amount of the registration fee pursuant to Rule 457(c) of the Securities Act, on the basis of the average of the high and low prices for a share of the common stock as reported on the Nasdaq Global Market on February 6, 2024, which date is a date within five business days of the filing of the registration statement.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32038/000095017023009516/ivvd-20221231.htm" TargetMode="External"/><Relationship Id="rId4" Type="http://schemas.openxmlformats.org/officeDocument/2006/relationships/hyperlink" Target="http://www.sec.gov/Archives/edgar/data/../../../ix?doc=/Archives/edgar/data/1832038/000095017024013243/ivvd-ex99_1.htm" TargetMode="External"/><Relationship Id="rId5" Type="http://schemas.openxmlformats.org/officeDocument/2006/relationships/hyperlink" Target="http://www.sec.gov/Archives/edgar/data/../../../ix?doc=/Archives/edgar/data/1832038/000095017024013243/ivvd-20240205.htm" TargetMode="External"/><Relationship Id="rId6" Type="http://schemas.openxmlformats.org/officeDocument/2006/relationships/hyperlink" Target="http://www.sec.gov/Archives/edgar/data/1832038/000119312523096524/d419064ddef14a.htm" TargetMode="External"/><Relationship Id="rId7" Type="http://schemas.openxmlformats.org/officeDocument/2006/relationships/hyperlink" Target="http://www.sec.gov/Archives/edgar/data/1832038/000095017023009516/ivvd-20221231.htm" TargetMode="External"/><Relationship Id="rId8" Type="http://schemas.openxmlformats.org/officeDocument/2006/relationships/hyperlink" Target="http://www.sec.gov/Archives/edgar/data/../../../ix?doc=/Archives/edgar/data/1832038/000095017023021235/ivvd-20230331.htm" TargetMode="External"/><Relationship Id="rId9" Type="http://schemas.openxmlformats.org/officeDocument/2006/relationships/hyperlink" Target="http://www.sec.gov/Archives/edgar/data/../../../ix?doc=/Archives/edgar/data/1832038/000095017023041352/ivvd-20230630.htm" TargetMode="External"/><Relationship Id="rId10" Type="http://schemas.openxmlformats.org/officeDocument/2006/relationships/hyperlink" Target="http://www.sec.gov/Archives/edgar/data/../../../ix?doc=/Archives/edgar/data/1832038/000095017023062043/ivvd-20230930.htm" TargetMode="External"/><Relationship Id="rId11" Type="http://schemas.openxmlformats.org/officeDocument/2006/relationships/hyperlink" Target="http://www.sec.gov/Archives/edgar/data/../../../ix?doc=/Archives/edgar/data/1832038/000119312523004133/d416902d8k.htm" TargetMode="External"/><Relationship Id="rId12" Type="http://schemas.openxmlformats.org/officeDocument/2006/relationships/hyperlink" Target="http://www.sec.gov/Archives/edgar/data/../../../ix?doc=/Archives/edgar/data/1832038/000119312523060699/d442726d8k.htm" TargetMode="External"/><Relationship Id="rId13" Type="http://schemas.openxmlformats.org/officeDocument/2006/relationships/hyperlink" Target="http://www.sec.gov/Archives/edgar/data/../../../ix?doc=/Archives/edgar/data/1832038/000119312523131287/d476176d8k.htm" TargetMode="External"/><Relationship Id="rId14" Type="http://schemas.openxmlformats.org/officeDocument/2006/relationships/hyperlink" Target="http://www.sec.gov/Archives/edgar/data/../../../ix?doc=/Archives/edgar/data/1832038/000119312523154233/d473409d8k.htm" TargetMode="External"/><Relationship Id="rId15" Type="http://schemas.openxmlformats.org/officeDocument/2006/relationships/hyperlink" Target="http://www.sec.gov/Archives/edgar/data/../../../ix?doc=/Archives/edgar/data/1832038/000119312523177996/d519470d8k.htm" TargetMode="External"/><Relationship Id="rId16" Type="http://schemas.openxmlformats.org/officeDocument/2006/relationships/hyperlink" Target="http://www.sec.gov/Archives/edgar/data/../../../ix?doc=/Archives/edgar/data/1832038/000119312523196086/d875161d8k.htm" TargetMode="External"/><Relationship Id="rId17" Type="http://schemas.openxmlformats.org/officeDocument/2006/relationships/hyperlink" Target="http://www.sec.gov/Archives/edgar/data/../../../ix?doc=/Archives/edgar/data/1832038/000119312523228074/d539466d8k.htm" TargetMode="External"/><Relationship Id="rId18" Type="http://schemas.openxmlformats.org/officeDocument/2006/relationships/hyperlink" Target="http://www.sec.gov/Archives/edgar/data/../../../ix?doc=/Archives/edgar/data/1832038/000119312523231961/d464729d8k.htm" TargetMode="External"/><Relationship Id="rId19" Type="http://schemas.openxmlformats.org/officeDocument/2006/relationships/hyperlink" Target="http://www.sec.gov/Archives/edgar/data/../../../ix?doc=/Archives/edgar/data/1832038/000119312523274506/d295277d8k.htm" TargetMode="External"/><Relationship Id="rId20" Type="http://schemas.openxmlformats.org/officeDocument/2006/relationships/hyperlink" Target="http://www.sec.gov/Archives/edgar/data/../../../ix?doc=/Archives/edgar/data/1832038/000119312523297099/d418337d8k.htm" TargetMode="External"/><Relationship Id="rId21" Type="http://schemas.openxmlformats.org/officeDocument/2006/relationships/hyperlink" Target="http://www.sec.gov/Archives/edgar/data/../../../ix?doc=/Archives/edgar/data/1832038/000119312523302195/d547148d8k.htm" TargetMode="External"/><Relationship Id="rId22" Type="http://schemas.openxmlformats.org/officeDocument/2006/relationships/hyperlink" Target="http://www.sec.gov/Archives/edgar/data/../../../ix?doc=/Archives/edgar/data/1832038/000119312524001013/d277393d8k.htm" TargetMode="External"/><Relationship Id="rId23" Type="http://schemas.openxmlformats.org/officeDocument/2006/relationships/hyperlink" Target="http://www.sec.gov/Archives/edgar/data/../../../ix?doc=/Archives/edgar/data/1832038/000119312524003875/d104237d8k.htm" TargetMode="External"/><Relationship Id="rId24" Type="http://schemas.openxmlformats.org/officeDocument/2006/relationships/hyperlink" Target="http://www.sec.gov/Archives/edgar/data/../../../ix?doc=/Archives/edgar/data/1832038/000095017024013243/ivvd-20240205.htm" TargetMode="External"/><Relationship Id="rId25" Type="http://schemas.openxmlformats.org/officeDocument/2006/relationships/hyperlink" Target="http://www.sec.gov/Archives/edgar/data/1832038/000119312521233921/d109461d8a12b.htm" TargetMode="External"/><Relationship Id="rId26" Type="http://schemas.openxmlformats.org/officeDocument/2006/relationships/hyperlink" Target="http://www.sec.gov/Archives/edgar/data/1832038/000095017023009516/ivvd-ex4_2.htm" TargetMode="External"/><Relationship Id="rId27" Type="http://schemas.openxmlformats.org/officeDocument/2006/relationships/image" Target="media/image2.jpeg"/><Relationship Id="rId28" Type="http://schemas.openxmlformats.org/officeDocument/2006/relationships/hyperlink" Target="http://www.sec.gov/Archives/edgar/data/0001832038/000119312521242044/d211424dex31.htm" TargetMode="External"/><Relationship Id="rId29" Type="http://schemas.openxmlformats.org/officeDocument/2006/relationships/hyperlink" Target="http://www.sec.gov/Archives/edgar/data/1832038/000119312522243285/d388436dex31.htm" TargetMode="External"/><Relationship Id="rId30" Type="http://schemas.openxmlformats.org/officeDocument/2006/relationships/hyperlink" Target="http://www.sec.gov/Archives/edgar/data/1832038/000119312523154233/d473409dex31.htm" TargetMode="External"/><Relationship Id="rId31" Type="http://schemas.openxmlformats.org/officeDocument/2006/relationships/hyperlink" Target="http://www.sec.gov/Archives/edgar/data/1832038/000119312522253372/d392092dex33.htm" TargetMode="External"/><Relationship Id="rId32" Type="http://schemas.openxmlformats.org/officeDocument/2006/relationships/hyperlink" Target="http://www.sec.gov/Archives/edgar/data/1832038/000119312522243285/d388436dex32.htm" TargetMode="External"/><Relationship Id="rId33" Type="http://schemas.openxmlformats.org/officeDocument/2006/relationships/hyperlink" Target="http://www.sec.gov/Archives/edgar/data/1832038/000119312523154233/d473409dex32.htm" TargetMode="External"/><Relationship Id="rId34" Type="http://schemas.openxmlformats.org/officeDocument/2006/relationships/hyperlink" Target="http://www.sec.gov/Archives/edgar/data/0001832038/000119312521217506/d549501dex41.htm" TargetMode="External"/><Relationship Id="rId35" Type="http://schemas.openxmlformats.org/officeDocument/2006/relationships/hyperlink" Target="http://www.sec.gov/Archives/edgar/data/1832038/000095017023009516/ivvd-ex4_3.htm" TargetMode="External"/><Relationship Id="rId36" Type="http://schemas.openxmlformats.org/officeDocument/2006/relationships/image" Target="media/image3.pn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14322</Words>
  <Characters>74760</Characters>
  <CharactersWithSpaces>89190</CharactersWithSpaces>
  <Paragraphs>1211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