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Cox Christopher T</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00" w:type="dxa"/>
            <w:vAlign w:val="bottom"/>
            <w:tcBorders>
              <w:top w:val="single" w:sz="8" w:color="0000EE"/>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03/28/2022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Adagio Therapeutics,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ADGI</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18"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POPULATION HEALTH</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PARTNERS, L.P.</w:t>
      </w:r>
    </w:p>
    <w:p>
      <w:pPr>
        <w:spacing w:after="0" w:line="5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1200 MORRIS TURNPIKE,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3005</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SHORT</w:t>
            </w: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0000FF"/>
              </w:rPr>
              <w:t>NJ</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07078</w:t>
            </w:r>
          </w:p>
        </w:tc>
        <w:tc>
          <w:tcPr>
            <w:tcW w:w="0" w:type="dxa"/>
            <w:vAlign w:val="bottom"/>
          </w:tcPr>
          <w:p>
            <w:pPr>
              <w:spacing w:after="0"/>
              <w:rPr>
                <w:sz w:val="1"/>
                <w:szCs w:val="1"/>
                <w:color w:val="auto"/>
              </w:rPr>
            </w:pPr>
          </w:p>
        </w:tc>
      </w:tr>
      <w:tr>
        <w:trPr>
          <w:trHeight w:val="134"/>
        </w:trPr>
        <w:tc>
          <w:tcPr>
            <w:tcW w:w="86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HILLS</w:t>
            </w:r>
          </w:p>
        </w:tc>
        <w:tc>
          <w:tcPr>
            <w:tcW w:w="8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jc w:val="right"/>
        <w:spacing w:after="0"/>
        <w:tabs>
          <w:tab w:leader="none" w:pos="1240" w:val="left"/>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Times New Roman" w:cs="Times New Roman" w:eastAsia="Times New Roman" w:hAnsi="Times New Roman"/>
          <w:sz w:val="26"/>
          <w:szCs w:val="26"/>
          <w:color w:val="0000FF"/>
          <w:vertAlign w:val="subscript"/>
        </w:rPr>
        <w:t>X</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383"/>
        <w:spacing w:after="0"/>
        <w:rPr>
          <w:sz w:val="20"/>
          <w:szCs w:val="20"/>
          <w:color w:val="auto"/>
        </w:rPr>
      </w:pPr>
      <w:r>
        <w:rPr>
          <w:rFonts w:ascii="Times New Roman" w:cs="Times New Roman" w:eastAsia="Times New Roman" w:hAnsi="Times New Roman"/>
          <w:sz w:val="20"/>
          <w:szCs w:val="20"/>
          <w:color w:val="0000FF"/>
        </w:rPr>
        <w:t>See Explanation of Responses</w:t>
      </w:r>
    </w:p>
    <w:p>
      <w:pPr>
        <w:spacing w:after="0" w:line="20" w:lineRule="exact"/>
        <w:rPr>
          <w:sz w:val="24"/>
          <w:szCs w:val="24"/>
          <w:color w:val="auto"/>
        </w:rPr>
      </w:pPr>
      <w:r>
        <w:rPr>
          <w:sz w:val="24"/>
          <w:szCs w:val="24"/>
          <w:color w:val="auto"/>
        </w:rPr>
        <w:br w:type="column"/>
      </w:r>
    </w:p>
    <w:p>
      <w:pPr>
        <w:ind w:right="440" w:firstLine="9"/>
        <w:spacing w:after="0" w:line="244" w:lineRule="auto"/>
        <w:tabs>
          <w:tab w:leader="none" w:pos="167"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rPr>
          <w:sz w:val="20"/>
          <w:szCs w:val="20"/>
          <w:color w:val="auto"/>
        </w:rPr>
      </w:pPr>
      <w:r>
        <w:rPr>
          <w:rFonts w:ascii="Times New Roman" w:cs="Times New Roman" w:eastAsia="Times New Roman" w:hAnsi="Times New Roman"/>
          <w:sz w:val="20"/>
          <w:szCs w:val="20"/>
          <w:color w:val="0000FF"/>
        </w:rPr>
        <w:t>03/30/2022</w:t>
      </w:r>
    </w:p>
    <w:p>
      <w:pPr>
        <w:spacing w:after="0" w:line="200" w:lineRule="exact"/>
        <w:rPr>
          <w:sz w:val="24"/>
          <w:szCs w:val="24"/>
          <w:color w:val="auto"/>
        </w:rPr>
      </w:pPr>
    </w:p>
    <w:p>
      <w:pPr>
        <w:spacing w:after="0" w:line="299" w:lineRule="exact"/>
        <w:rPr>
          <w:sz w:val="24"/>
          <w:szCs w:val="24"/>
          <w:color w:val="auto"/>
        </w:rPr>
      </w:pPr>
    </w:p>
    <w:p>
      <w:pPr>
        <w:ind w:right="480" w:firstLine="9"/>
        <w:spacing w:after="0" w:line="261" w:lineRule="auto"/>
        <w:tabs>
          <w:tab w:leader="none" w:pos="167"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60" w:right="340"/>
        <w:spacing w:after="0" w:line="252" w:lineRule="auto"/>
        <w:rPr>
          <w:sz w:val="20"/>
          <w:szCs w:val="20"/>
          <w:color w:val="auto"/>
        </w:rPr>
      </w:pPr>
      <w:r>
        <w:rPr>
          <w:rFonts w:ascii="Arial" w:cs="Arial" w:eastAsia="Arial" w:hAnsi="Arial"/>
          <w:sz w:val="15"/>
          <w:szCs w:val="15"/>
          <w:color w:val="auto"/>
        </w:rPr>
        <w:t>Form filed by One Reporting Person</w:t>
      </w:r>
    </w:p>
    <w:p>
      <w:pPr>
        <w:spacing w:after="0" w:line="28" w:lineRule="exact"/>
        <w:rPr>
          <w:sz w:val="24"/>
          <w:szCs w:val="24"/>
          <w:color w:val="auto"/>
        </w:rPr>
      </w:pPr>
    </w:p>
    <w:p>
      <w:pPr>
        <w:ind w:left="460" w:right="320" w:hanging="304"/>
        <w:spacing w:after="0" w:line="180" w:lineRule="auto"/>
        <w:tabs>
          <w:tab w:leader="none" w:pos="460" w:val="left"/>
        </w:tabs>
        <w:numPr>
          <w:ilvl w:val="0"/>
          <w:numId w:val="4"/>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More than One Reporting Person</w:t>
      </w:r>
    </w:p>
    <w:p>
      <w:pPr>
        <w:spacing w:after="0" w:line="300" w:lineRule="exact"/>
        <w:rPr>
          <w:sz w:val="24"/>
          <w:szCs w:val="24"/>
          <w:color w:val="auto"/>
        </w:rPr>
      </w:pPr>
    </w:p>
    <w:p>
      <w:pPr>
        <w:sectPr>
          <w:pgSz w:w="11900" w:h="16838" w:orient="portrait"/>
          <w:cols w:equalWidth="0" w:num="3">
            <w:col w:w="4277" w:space="720"/>
            <w:col w:w="3003" w:space="260"/>
            <w:col w:w="2680"/>
          </w:cols>
          <w:pgMar w:left="480" w:top="230" w:right="479" w:bottom="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41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w w:val="94"/>
              </w:rPr>
              <w:t>Common Stock</w:t>
            </w:r>
            <w:r>
              <w:rPr>
                <w:rFonts w:ascii="Times New Roman" w:cs="Times New Roman" w:eastAsia="Times New Roman" w:hAnsi="Times New Roman"/>
                <w:sz w:val="25"/>
                <w:szCs w:val="25"/>
                <w:color w:val="008000"/>
                <w:w w:val="94"/>
                <w:vertAlign w:val="superscript"/>
              </w:rPr>
              <w:t>(1)</w:t>
            </w:r>
          </w:p>
        </w:tc>
        <w:tc>
          <w:tcPr>
            <w:tcW w:w="4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20"/>
                <w:szCs w:val="20"/>
                <w:color w:val="0000FF"/>
              </w:rPr>
              <w:t>679,822</w:t>
            </w:r>
            <w:r>
              <w:rPr>
                <w:rFonts w:ascii="Times New Roman" w:cs="Times New Roman" w:eastAsia="Times New Roman" w:hAnsi="Times New Roman"/>
                <w:sz w:val="25"/>
                <w:szCs w:val="25"/>
                <w:color w:val="008000"/>
                <w:vertAlign w:val="superscript"/>
              </w:rPr>
              <w:t>(2)</w:t>
            </w:r>
          </w:p>
        </w:tc>
        <w:tc>
          <w:tcPr>
            <w:tcW w:w="1600" w:type="dxa"/>
            <w:vAlign w:val="bottom"/>
            <w:tcBorders>
              <w:bottom w:val="single" w:sz="8" w:color="2C2C2C"/>
            </w:tcBorders>
            <w:gridSpan w:val="2"/>
          </w:tcPr>
          <w:p>
            <w:pPr>
              <w:ind w:left="760"/>
              <w:spacing w:after="0" w:line="359" w:lineRule="exact"/>
              <w:rPr>
                <w:sz w:val="20"/>
                <w:szCs w:val="20"/>
                <w:color w:val="auto"/>
              </w:rPr>
            </w:pPr>
            <w:r>
              <w:rPr>
                <w:rFonts w:ascii="Times New Roman" w:cs="Times New Roman" w:eastAsia="Times New Roman" w:hAnsi="Times New Roman"/>
                <w:sz w:val="39"/>
                <w:szCs w:val="39"/>
                <w:color w:val="0000FF"/>
                <w:vertAlign w:val="subscript"/>
              </w:rPr>
              <w:t>I</w:t>
            </w:r>
            <w:r>
              <w:rPr>
                <w:rFonts w:ascii="Times New Roman" w:cs="Times New Roman" w:eastAsia="Times New Roman" w:hAnsi="Times New Roman"/>
                <w:sz w:val="13"/>
                <w:szCs w:val="13"/>
                <w:color w:val="008000"/>
              </w:rPr>
              <w:t>(3)(4)</w:t>
            </w:r>
          </w:p>
        </w:tc>
        <w:tc>
          <w:tcPr>
            <w:tcW w:w="128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See footnotes</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02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380" w:type="dxa"/>
            <w:vAlign w:val="bottom"/>
            <w:gridSpan w:val="8"/>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gridSpan w:val="5"/>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4"/>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6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84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960" w:type="dxa"/>
            <w:vAlign w:val="bottom"/>
            <w:vMerge w:val="restart"/>
          </w:tcPr>
          <w:p>
            <w:pPr>
              <w:ind w:left="320"/>
              <w:spacing w:after="0"/>
              <w:rPr>
                <w:sz w:val="20"/>
                <w:szCs w:val="20"/>
                <w:color w:val="auto"/>
              </w:rPr>
            </w:pPr>
            <w:r>
              <w:rPr>
                <w:rFonts w:ascii="Arial" w:cs="Arial" w:eastAsia="Arial" w:hAnsi="Arial"/>
                <w:sz w:val="15"/>
                <w:szCs w:val="15"/>
                <w:b w:val="1"/>
                <w:bCs w:val="1"/>
                <w:color w:val="auto"/>
              </w:rPr>
              <w:t>Amount</w:t>
            </w:r>
          </w:p>
        </w:tc>
        <w:tc>
          <w:tcPr>
            <w:tcW w:w="6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6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6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Number</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96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60" w:type="dxa"/>
            <w:vAlign w:val="bottom"/>
          </w:tcPr>
          <w:p>
            <w:pPr>
              <w:ind w:left="320"/>
              <w:spacing w:after="0"/>
              <w:rPr>
                <w:sz w:val="20"/>
                <w:szCs w:val="20"/>
                <w:color w:val="auto"/>
              </w:rPr>
            </w:pPr>
            <w:r>
              <w:rPr>
                <w:rFonts w:ascii="Arial" w:cs="Arial" w:eastAsia="Arial" w:hAnsi="Arial"/>
                <w:sz w:val="15"/>
                <w:szCs w:val="15"/>
                <w:b w:val="1"/>
                <w:bCs w:val="1"/>
                <w:color w:val="auto"/>
              </w:rPr>
              <w:t>Shares</w:t>
            </w: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gridSpan w:val="2"/>
          </w:tcPr>
          <w:p>
            <w:pPr>
              <w:spacing w:after="0"/>
              <w:rPr>
                <w:sz w:val="7"/>
                <w:szCs w:val="7"/>
                <w:color w:val="auto"/>
              </w:rPr>
            </w:pPr>
          </w:p>
        </w:tc>
        <w:tc>
          <w:tcPr>
            <w:tcW w:w="1200" w:type="dxa"/>
            <w:vAlign w:val="bottom"/>
            <w:tcBorders>
              <w:bottom w:val="single" w:sz="8" w:color="2C2C2C"/>
            </w:tcBorders>
            <w:gridSpan w:val="2"/>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4100" w:type="dxa"/>
            <w:vAlign w:val="bottom"/>
            <w:tcBorders>
              <w:top w:val="single" w:sz="8" w:color="2C2C2C"/>
            </w:tcBorders>
            <w:gridSpan w:val="7"/>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6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40" w:type="dxa"/>
            <w:vAlign w:val="bottom"/>
            <w:gridSpan w:val="3"/>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Cox Christopher T</w:t>
              </w:r>
            </w:hyperlink>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40" w:type="dxa"/>
            <w:vAlign w:val="bottom"/>
            <w:tcBorders>
              <w:top w:val="single" w:sz="8" w:color="0000EE"/>
              <w:bottom w:val="single" w:sz="8" w:color="9A9A9A"/>
            </w:tcBorders>
          </w:tcPr>
          <w:p>
            <w:pPr>
              <w:spacing w:after="0"/>
              <w:rPr>
                <w:sz w:val="17"/>
                <w:szCs w:val="17"/>
                <w:color w:val="auto"/>
              </w:rPr>
            </w:pPr>
          </w:p>
        </w:tc>
        <w:tc>
          <w:tcPr>
            <w:tcW w:w="460" w:type="dxa"/>
            <w:vAlign w:val="bottom"/>
            <w:tcBorders>
              <w:top w:val="single" w:sz="8" w:color="0000EE"/>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5"/>
                <w:szCs w:val="15"/>
                <w:color w:val="auto"/>
              </w:rPr>
              <w:t>(Last)</w:t>
            </w:r>
          </w:p>
        </w:tc>
        <w:tc>
          <w:tcPr>
            <w:tcW w:w="1300" w:type="dxa"/>
            <w:vAlign w:val="bottom"/>
            <w:gridSpan w:val="2"/>
          </w:tcPr>
          <w:p>
            <w:pPr>
              <w:ind w:left="40"/>
              <w:spacing w:after="0"/>
              <w:rPr>
                <w:sz w:val="20"/>
                <w:szCs w:val="20"/>
                <w:color w:val="auto"/>
              </w:rPr>
            </w:pPr>
            <w:r>
              <w:rPr>
                <w:rFonts w:ascii="Arial" w:cs="Arial" w:eastAsia="Arial" w:hAnsi="Arial"/>
                <w:sz w:val="15"/>
                <w:szCs w:val="15"/>
                <w:color w:val="auto"/>
              </w:rPr>
              <w:t>(First)</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5"/>
          </w:tcPr>
          <w:p>
            <w:pPr>
              <w:spacing w:after="0"/>
              <w:rPr>
                <w:sz w:val="20"/>
                <w:szCs w:val="20"/>
                <w:color w:val="auto"/>
              </w:rPr>
            </w:pPr>
            <w:r>
              <w:rPr>
                <w:rFonts w:ascii="Times New Roman" w:cs="Times New Roman" w:eastAsia="Times New Roman" w:hAnsi="Times New Roman"/>
                <w:sz w:val="20"/>
                <w:szCs w:val="20"/>
                <w:color w:val="0000FF"/>
                <w:w w:val="99"/>
              </w:rPr>
              <w:t>C/O POPULATION HEALTH PARTNERS, L.P.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1200 MORRIS TURNPIKE, SUITE 3005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6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20"/>
                <w:szCs w:val="20"/>
                <w:color w:val="0000FF"/>
              </w:rPr>
              <w:t>SHORT HILLS</w:t>
            </w: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NJ</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0000FF"/>
              </w:rPr>
              <w:t>07078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gridSpan w:val="2"/>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5"/>
                <w:szCs w:val="15"/>
                <w:color w:val="auto"/>
              </w:rPr>
              <w:t>(City)</w:t>
            </w:r>
          </w:p>
        </w:tc>
        <w:tc>
          <w:tcPr>
            <w:tcW w:w="1300" w:type="dxa"/>
            <w:vAlign w:val="bottom"/>
            <w:gridSpan w:val="2"/>
          </w:tcPr>
          <w:p>
            <w:pPr>
              <w:ind w:left="40"/>
              <w:spacing w:after="0"/>
              <w:rPr>
                <w:sz w:val="20"/>
                <w:szCs w:val="20"/>
                <w:color w:val="auto"/>
              </w:rPr>
            </w:pPr>
            <w:r>
              <w:rPr>
                <w:rFonts w:ascii="Arial" w:cs="Arial" w:eastAsia="Arial" w:hAnsi="Arial"/>
                <w:sz w:val="15"/>
                <w:szCs w:val="15"/>
                <w:color w:val="auto"/>
              </w:rPr>
              <w:t>(State)</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1" w:lineRule="exact"/>
        <w:rPr>
          <w:sz w:val="24"/>
          <w:szCs w:val="24"/>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line="234" w:lineRule="auto"/>
        <w:rPr>
          <w:rFonts w:ascii="Times New Roman" w:cs="Times New Roman" w:eastAsia="Times New Roman" w:hAnsi="Times New Roman"/>
          <w:sz w:val="24"/>
          <w:szCs w:val="24"/>
          <w:u w:val="single" w:color="auto"/>
          <w:color w:val="0000EE"/>
        </w:rPr>
      </w:pPr>
      <w:hyperlink r:id="rId12">
        <w:r>
          <w:rPr>
            <w:rFonts w:ascii="Times New Roman" w:cs="Times New Roman" w:eastAsia="Times New Roman" w:hAnsi="Times New Roman"/>
            <w:sz w:val="24"/>
            <w:szCs w:val="24"/>
            <w:u w:val="single" w:color="auto"/>
            <w:color w:val="0000EE"/>
          </w:rPr>
          <w:t>Population Health Equity Partners VII,</w:t>
        </w:r>
      </w:hyperlink>
    </w:p>
    <w:p>
      <w:pPr>
        <w:spacing w:after="0" w:line="1" w:lineRule="exact"/>
        <w:rPr>
          <w:sz w:val="24"/>
          <w:szCs w:val="24"/>
          <w:color w:val="auto"/>
        </w:rPr>
      </w:pPr>
    </w:p>
    <w:p>
      <w:pPr>
        <w:ind w:left="140"/>
        <w:spacing w:after="0"/>
        <w:rPr>
          <w:rFonts w:ascii="Times New Roman" w:cs="Times New Roman" w:eastAsia="Times New Roman" w:hAnsi="Times New Roman"/>
          <w:sz w:val="24"/>
          <w:szCs w:val="24"/>
          <w:u w:val="single" w:color="auto"/>
          <w:color w:val="0000EE"/>
        </w:rPr>
      </w:pPr>
      <w:hyperlink r:id="rId12">
        <w:r>
          <w:rPr>
            <w:rFonts w:ascii="Times New Roman" w:cs="Times New Roman" w:eastAsia="Times New Roman" w:hAnsi="Times New Roman"/>
            <w:sz w:val="24"/>
            <w:szCs w:val="24"/>
            <w:u w:val="single" w:color="auto"/>
            <w:color w:val="0000EE"/>
          </w:rPr>
          <w:t>L.P.</w:t>
        </w:r>
      </w:hyperlink>
    </w:p>
    <w:p>
      <w:pPr>
        <w:spacing w:after="0" w:line="343" w:lineRule="exact"/>
        <w:rPr>
          <w:sz w:val="24"/>
          <w:szCs w:val="24"/>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POPULATION HEALTH PARTNERS, L.P.</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1200 MORRIS TURNPIKE SUITE 3005</w:t>
      </w:r>
    </w:p>
    <w:p>
      <w:pPr>
        <w:spacing w:after="0" w:line="326"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ectPr>
          <w:pgSz w:w="11900" w:h="16838" w:orient="portrait"/>
          <w:cols w:equalWidth="0" w:num="1">
            <w:col w:w="10940"/>
          </w:cols>
          <w:pgMar w:left="480" w:top="230" w:right="479" w:bottom="0" w:gutter="0" w:footer="0" w:header="0"/>
          <w:type w:val="continuous"/>
        </w:sectPr>
      </w:pPr>
    </w:p>
    <w:p>
      <w:pPr>
        <w:spacing w:after="0" w:line="37" w:lineRule="exact"/>
        <w:rPr>
          <w:sz w:val="24"/>
          <w:szCs w:val="24"/>
          <w:color w:val="auto"/>
        </w:rPr>
      </w:pPr>
    </w:p>
    <w:p>
      <w:pPr>
        <w:ind w:left="140"/>
        <w:spacing w:after="0"/>
        <w:tabs>
          <w:tab w:leader="none" w:pos="1500" w:val="left"/>
          <w:tab w:leader="none" w:pos="2880" w:val="left"/>
        </w:tabs>
        <w:rPr>
          <w:sz w:val="20"/>
          <w:szCs w:val="20"/>
          <w:color w:val="auto"/>
        </w:rPr>
      </w:pPr>
      <w:r>
        <w:rPr>
          <w:rFonts w:ascii="Times New Roman" w:cs="Times New Roman" w:eastAsia="Times New Roman" w:hAnsi="Times New Roman"/>
          <w:sz w:val="20"/>
          <w:szCs w:val="20"/>
          <w:color w:val="0000FF"/>
        </w:rPr>
        <w:t>SHORT HILLS</w:t>
        <w:tab/>
        <w:t>NJ</w:t>
      </w:r>
      <w:r>
        <w:rPr>
          <w:sz w:val="20"/>
          <w:szCs w:val="20"/>
          <w:color w:val="auto"/>
        </w:rPr>
        <w:tab/>
      </w:r>
      <w:r>
        <w:rPr>
          <w:rFonts w:ascii="Times New Roman" w:cs="Times New Roman" w:eastAsia="Times New Roman" w:hAnsi="Times New Roman"/>
          <w:sz w:val="18"/>
          <w:szCs w:val="18"/>
          <w:color w:val="0000FF"/>
        </w:rPr>
        <w:t>07078</w:t>
      </w:r>
    </w:p>
    <w:p>
      <w:pPr>
        <w:sectPr>
          <w:pgSz w:w="11900" w:h="16838" w:orient="portrait"/>
          <w:cols w:equalWidth="0" w:num="1">
            <w:col w:w="10940"/>
          </w:cols>
          <w:pgMar w:left="480" w:top="230" w:right="479" w:bottom="0" w:gutter="0" w:footer="0" w:header="0"/>
          <w:type w:val="continuous"/>
        </w:sectPr>
      </w:pPr>
    </w:p>
    <w:bookmarkStart w:id="1" w:name="page2"/>
    <w:bookmarkEnd w:id="1"/>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6607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2798445" cy="6607175"/>
                    </a:xfrm>
                    <a:prstGeom prst="rect">
                      <a:avLst/>
                    </a:prstGeom>
                    <a:noFill/>
                  </pic:spPr>
                </pic:pic>
              </a:graphicData>
            </a:graphic>
          </wp:anchor>
        </w:drawing>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line="234" w:lineRule="auto"/>
        <w:rPr>
          <w:rFonts w:ascii="Times New Roman" w:cs="Times New Roman" w:eastAsia="Times New Roman" w:hAnsi="Times New Roman"/>
          <w:sz w:val="24"/>
          <w:szCs w:val="24"/>
          <w:u w:val="single" w:color="auto"/>
          <w:color w:val="0000EE"/>
        </w:rPr>
      </w:pPr>
      <w:hyperlink r:id="rId14">
        <w:r>
          <w:rPr>
            <w:rFonts w:ascii="Times New Roman" w:cs="Times New Roman" w:eastAsia="Times New Roman" w:hAnsi="Times New Roman"/>
            <w:sz w:val="24"/>
            <w:szCs w:val="24"/>
            <w:u w:val="single" w:color="auto"/>
            <w:color w:val="0000EE"/>
          </w:rPr>
          <w:t>Population Health Equity Partners III GP,</w:t>
        </w:r>
      </w:hyperlink>
    </w:p>
    <w:p>
      <w:pPr>
        <w:spacing w:after="0" w:line="1" w:lineRule="exact"/>
        <w:rPr>
          <w:sz w:val="20"/>
          <w:szCs w:val="20"/>
          <w:color w:val="auto"/>
        </w:rPr>
      </w:pPr>
    </w:p>
    <w:p>
      <w:pPr>
        <w:ind w:left="100"/>
        <w:spacing w:after="0"/>
        <w:rPr>
          <w:rFonts w:ascii="Times New Roman" w:cs="Times New Roman" w:eastAsia="Times New Roman" w:hAnsi="Times New Roman"/>
          <w:sz w:val="24"/>
          <w:szCs w:val="24"/>
          <w:u w:val="single" w:color="auto"/>
          <w:color w:val="0000EE"/>
        </w:rPr>
      </w:pPr>
      <w:hyperlink r:id="rId14">
        <w:r>
          <w:rPr>
            <w:rFonts w:ascii="Times New Roman" w:cs="Times New Roman" w:eastAsia="Times New Roman" w:hAnsi="Times New Roman"/>
            <w:sz w:val="24"/>
            <w:szCs w:val="24"/>
            <w:u w:val="single" w:color="auto"/>
            <w:color w:val="0000EE"/>
          </w:rPr>
          <w:t>LLC</w:t>
        </w:r>
      </w:hyperlink>
    </w:p>
    <w:p>
      <w:pPr>
        <w:spacing w:after="0" w:line="343" w:lineRule="exact"/>
        <w:rPr>
          <w:sz w:val="20"/>
          <w:szCs w:val="20"/>
          <w:color w:val="auto"/>
        </w:rPr>
      </w:pP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C/O POPULATION HEALTH PARTNERS, L.P.</w:t>
      </w:r>
    </w:p>
    <w:p>
      <w:pPr>
        <w:spacing w:after="0" w:line="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1200 MORRIS TURNPIKE, SUITE 3005</w:t>
      </w:r>
    </w:p>
    <w:p>
      <w:pPr>
        <w:spacing w:after="0" w:line="326"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13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SHORT HILLS</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NJ</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07078</w:t>
            </w:r>
          </w:p>
        </w:tc>
      </w:tr>
      <w:tr>
        <w:trPr>
          <w:trHeight w:val="177"/>
        </w:trPr>
        <w:tc>
          <w:tcPr>
            <w:tcW w:w="2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(City)</w:t>
            </w:r>
          </w:p>
        </w:tc>
        <w:tc>
          <w:tcPr>
            <w:tcW w:w="1000" w:type="dxa"/>
            <w:vAlign w:val="bottom"/>
          </w:tcPr>
          <w:p>
            <w:pPr>
              <w:ind w:left="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rPr>
          <w:rFonts w:ascii="Times New Roman" w:cs="Times New Roman" w:eastAsia="Times New Roman" w:hAnsi="Times New Roman"/>
          <w:sz w:val="24"/>
          <w:szCs w:val="24"/>
          <w:u w:val="single" w:color="auto"/>
          <w:color w:val="0000EE"/>
        </w:rPr>
      </w:pPr>
      <w:hyperlink r:id="rId15">
        <w:r>
          <w:rPr>
            <w:rFonts w:ascii="Times New Roman" w:cs="Times New Roman" w:eastAsia="Times New Roman" w:hAnsi="Times New Roman"/>
            <w:sz w:val="24"/>
            <w:szCs w:val="24"/>
            <w:u w:val="single" w:color="auto"/>
            <w:color w:val="0000EE"/>
          </w:rPr>
          <w:t>Population Health Equity Partners III, L.P.</w:t>
        </w:r>
      </w:hyperlink>
    </w:p>
    <w:p>
      <w:pPr>
        <w:spacing w:after="0" w:line="343" w:lineRule="exact"/>
        <w:rPr>
          <w:sz w:val="20"/>
          <w:szCs w:val="20"/>
          <w:color w:val="auto"/>
        </w:rPr>
      </w:pP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C/O POPULATION HEALTH PARTNERS, L.P.</w:t>
      </w:r>
    </w:p>
    <w:p>
      <w:pPr>
        <w:spacing w:after="0" w:line="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1200 MORRIS TURNPIKE, SUITE 3005</w:t>
      </w:r>
    </w:p>
    <w:p>
      <w:pPr>
        <w:spacing w:after="0" w:line="326"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13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SHORT HILLS</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NJ</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07078</w:t>
            </w:r>
          </w:p>
        </w:tc>
      </w:tr>
      <w:tr>
        <w:trPr>
          <w:trHeight w:val="177"/>
        </w:trPr>
        <w:tc>
          <w:tcPr>
            <w:tcW w:w="2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(City)</w:t>
            </w:r>
          </w:p>
        </w:tc>
        <w:tc>
          <w:tcPr>
            <w:tcW w:w="1000" w:type="dxa"/>
            <w:vAlign w:val="bottom"/>
          </w:tcPr>
          <w:p>
            <w:pPr>
              <w:ind w:left="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line="234" w:lineRule="auto"/>
        <w:rPr>
          <w:rFonts w:ascii="Times New Roman" w:cs="Times New Roman" w:eastAsia="Times New Roman" w:hAnsi="Times New Roman"/>
          <w:sz w:val="24"/>
          <w:szCs w:val="24"/>
          <w:u w:val="single" w:color="auto"/>
          <w:color w:val="0000EE"/>
        </w:rPr>
      </w:pPr>
      <w:hyperlink r:id="rId16">
        <w:r>
          <w:rPr>
            <w:rFonts w:ascii="Times New Roman" w:cs="Times New Roman" w:eastAsia="Times New Roman" w:hAnsi="Times New Roman"/>
            <w:sz w:val="24"/>
            <w:szCs w:val="24"/>
            <w:u w:val="single" w:color="auto"/>
            <w:color w:val="0000EE"/>
          </w:rPr>
          <w:t>Population Health Equity Partners VII GP,</w:t>
        </w:r>
      </w:hyperlink>
    </w:p>
    <w:p>
      <w:pPr>
        <w:spacing w:after="0" w:line="1" w:lineRule="exact"/>
        <w:rPr>
          <w:sz w:val="20"/>
          <w:szCs w:val="20"/>
          <w:color w:val="auto"/>
        </w:rPr>
      </w:pPr>
    </w:p>
    <w:p>
      <w:pPr>
        <w:ind w:left="100"/>
        <w:spacing w:after="0"/>
        <w:rPr>
          <w:rFonts w:ascii="Times New Roman" w:cs="Times New Roman" w:eastAsia="Times New Roman" w:hAnsi="Times New Roman"/>
          <w:sz w:val="24"/>
          <w:szCs w:val="24"/>
          <w:u w:val="single" w:color="auto"/>
          <w:color w:val="0000EE"/>
        </w:rPr>
      </w:pPr>
      <w:hyperlink r:id="rId16">
        <w:r>
          <w:rPr>
            <w:rFonts w:ascii="Times New Roman" w:cs="Times New Roman" w:eastAsia="Times New Roman" w:hAnsi="Times New Roman"/>
            <w:sz w:val="24"/>
            <w:szCs w:val="24"/>
            <w:u w:val="single" w:color="auto"/>
            <w:color w:val="0000EE"/>
          </w:rPr>
          <w:t>LLC</w:t>
        </w:r>
      </w:hyperlink>
    </w:p>
    <w:p>
      <w:pPr>
        <w:spacing w:after="0" w:line="343" w:lineRule="exact"/>
        <w:rPr>
          <w:sz w:val="20"/>
          <w:szCs w:val="20"/>
          <w:color w:val="auto"/>
        </w:rPr>
      </w:pP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C/O POPULATION HEALTH PARTNERS, L.P.</w:t>
      </w:r>
    </w:p>
    <w:p>
      <w:pPr>
        <w:spacing w:after="0" w:line="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1200 MORRIS TURNPIKE, SUITE 3005</w:t>
      </w:r>
    </w:p>
    <w:p>
      <w:pPr>
        <w:spacing w:after="0" w:line="326"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13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SHORT HILLS</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NJ</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07078</w:t>
            </w:r>
          </w:p>
        </w:tc>
      </w:tr>
      <w:tr>
        <w:trPr>
          <w:trHeight w:val="177"/>
        </w:trPr>
        <w:tc>
          <w:tcPr>
            <w:tcW w:w="2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(City)</w:t>
            </w:r>
          </w:p>
        </w:tc>
        <w:tc>
          <w:tcPr>
            <w:tcW w:w="1000" w:type="dxa"/>
            <w:vAlign w:val="bottom"/>
          </w:tcPr>
          <w:p>
            <w:pPr>
              <w:ind w:left="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160" w:hanging="155"/>
        <w:spacing w:after="0"/>
        <w:tabs>
          <w:tab w:leader="none" w:pos="16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Form 3 is not being filed in connection with the acquisition or disposition of any securities of the Issuer.</w:t>
      </w:r>
    </w:p>
    <w:p>
      <w:pPr>
        <w:spacing w:after="0" w:line="52" w:lineRule="exact"/>
        <w:rPr>
          <w:rFonts w:ascii="Times New Roman" w:cs="Times New Roman" w:eastAsia="Times New Roman" w:hAnsi="Times New Roman"/>
          <w:sz w:val="15"/>
          <w:szCs w:val="15"/>
          <w:color w:val="008000"/>
        </w:rPr>
      </w:pPr>
    </w:p>
    <w:p>
      <w:pPr>
        <w:ind w:right="20" w:firstLine="5"/>
        <w:spacing w:after="0" w:line="236" w:lineRule="auto"/>
        <w:tabs>
          <w:tab w:leader="none" w:pos="15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359,662 shares of Common Stock are held directly by Population Health Equity Partners III, L.P. ("PH III") and a further 320,160 shares of Common Stock are held directly by Population Health Equity Partners VII, L.P. ("PH VII"). PH III is controlled by Population Health Equity Partners III GP, LLC ("PH III GP"), its general partner, and PH VII is controlled by Population Health Equity Partners VII GP, LLC ("PH VII GP"), its general partner. Clive Meanwell and Christopher Cox are the sole managing members of both PH III GP and PH VII GP and may be deemed to have shared voting and dispositive power with respect to the shares of Common Stock held directly by PH III and PH VII. Clive Meanwell and Christopher Cox disclaim beneficial ownership of the shares held directly by PH III and PH VII, except to the extent of their pecuniary interests therein, if any. Clive Meanwell has filed a separate Form 3 in respect of the Issuer.</w:t>
      </w:r>
    </w:p>
    <w:p>
      <w:pPr>
        <w:spacing w:after="0" w:line="32" w:lineRule="exact"/>
        <w:rPr>
          <w:rFonts w:ascii="Times New Roman" w:cs="Times New Roman" w:eastAsia="Times New Roman" w:hAnsi="Times New Roman"/>
          <w:sz w:val="15"/>
          <w:szCs w:val="15"/>
          <w:color w:val="008000"/>
        </w:rPr>
      </w:pPr>
    </w:p>
    <w:p>
      <w:pPr>
        <w:ind w:firstLine="5"/>
        <w:spacing w:after="0" w:line="237" w:lineRule="auto"/>
        <w:tabs>
          <w:tab w:leader="none" w:pos="15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March 28, 2022, PH III, PH VII and Clive Meanwell ("PH") and (i) Mithril II LP ("Mithril"), (ii) M28 Capital Management LP (together with certain of its affiliates, "M28"), (iii) Polaris Venture Partners V, L.P. and certain affiliates (collectively, "Polaris") and (iv) Adimab, LLC, orally agreed to coordinate and cooperate in certain of their activities with regard to the Issuer, which agreement was subsequently memorialized, also on March 28, 2022, in an email circulated among representatives of such persons. That agreement provides that each such person will vote its shares of Common Stock in favor of the election of certain director nominees at the Issuer's 2022 annual meeting. By virtue of such agreement, the forgoing persons may be deemed to be part of a "group" (within the meaning of Section 13(d)(3) of the Exchange Act) comprised of such persons.</w:t>
      </w:r>
    </w:p>
    <w:p>
      <w:pPr>
        <w:spacing w:after="0" w:line="33" w:lineRule="exact"/>
        <w:rPr>
          <w:rFonts w:ascii="Times New Roman" w:cs="Times New Roman" w:eastAsia="Times New Roman" w:hAnsi="Times New Roman"/>
          <w:sz w:val="15"/>
          <w:szCs w:val="15"/>
          <w:color w:val="008000"/>
        </w:rPr>
      </w:pPr>
    </w:p>
    <w:p>
      <w:pPr>
        <w:ind w:right="20" w:firstLine="5"/>
        <w:spacing w:after="0" w:line="244" w:lineRule="auto"/>
        <w:tabs>
          <w:tab w:leader="none" w:pos="15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Reporting Persons expressly disclaim beneficial ownership over any Common Stock that they may be deemed to beneficially own solely by reason of the agreement reached among Population Health, Mithril, M28, Polaris and Adimab, LLC, and beneficial ownership of any securities of the Issuer other than those reported on this Form 3 in which they have a direct pecuniary interest. This filing shall not be deemed an admission that the Reporting Persons are 10% shareholders for purposes of Section 16 of the Exchange Act.</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5"/>
          <w:szCs w:val="15"/>
          <w:color w:val="008000"/>
        </w:rPr>
        <w:t>This amended Form 3 is being filed (1) to revise the entity name for the Reporting Persons from "Population Health Equity Partners" to "Population Health Partners, L.P." and (2) for the purpose of including the joint filers as signatories, who were omitted in the original filing pending receipt of EDGAR codes.</w:t>
      </w:r>
    </w:p>
    <w:p>
      <w:pPr>
        <w:spacing w:after="0" w:line="28" w:lineRule="exact"/>
        <w:rPr>
          <w:sz w:val="20"/>
          <w:szCs w:val="20"/>
          <w:color w:val="auto"/>
        </w:rPr>
      </w:pPr>
    </w:p>
    <w:tbl>
      <w:tblPr>
        <w:tblLayout w:type="fixed"/>
        <w:tblInd w:w="6540" w:type="dxa"/>
        <w:tblCellMar>
          <w:top w:w="0" w:type="dxa"/>
          <w:left w:w="0" w:type="dxa"/>
          <w:bottom w:w="0" w:type="dxa"/>
          <w:right w:w="0" w:type="dxa"/>
        </w:tblCellMar>
      </w:tblPr>
      <w:tr>
        <w:trPr>
          <w:trHeight w:val="230"/>
        </w:trPr>
        <w:tc>
          <w:tcPr>
            <w:tcW w:w="2180" w:type="dxa"/>
            <w:vAlign w:val="bottom"/>
            <w:gridSpan w:val="9"/>
          </w:tcPr>
          <w:p>
            <w:pPr>
              <w:spacing w:after="0"/>
              <w:rPr>
                <w:sz w:val="20"/>
                <w:szCs w:val="20"/>
                <w:color w:val="auto"/>
              </w:rPr>
            </w:pPr>
            <w:r>
              <w:rPr>
                <w:rFonts w:ascii="Times New Roman" w:cs="Times New Roman" w:eastAsia="Times New Roman" w:hAnsi="Times New Roman"/>
                <w:sz w:val="20"/>
                <w:szCs w:val="20"/>
                <w:color w:val="0000FF"/>
              </w:rPr>
              <w:t>/s/ Christopher Cox</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w w:val="96"/>
              </w:rPr>
              <w:t>04/06/2022</w:t>
            </w:r>
          </w:p>
        </w:tc>
      </w:tr>
      <w:tr>
        <w:trPr>
          <w:trHeight w:val="20"/>
        </w:trPr>
        <w:tc>
          <w:tcPr>
            <w:tcW w:w="1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r>
        <w:trPr>
          <w:trHeight w:val="280"/>
        </w:trPr>
        <w:tc>
          <w:tcPr>
            <w:tcW w:w="2180" w:type="dxa"/>
            <w:vAlign w:val="bottom"/>
            <w:gridSpan w:val="9"/>
          </w:tcPr>
          <w:p>
            <w:pPr>
              <w:spacing w:after="0"/>
              <w:rPr>
                <w:sz w:val="20"/>
                <w:szCs w:val="20"/>
                <w:color w:val="auto"/>
              </w:rPr>
            </w:pPr>
            <w:r>
              <w:rPr>
                <w:rFonts w:ascii="Times New Roman" w:cs="Times New Roman" w:eastAsia="Times New Roman" w:hAnsi="Times New Roman"/>
                <w:sz w:val="20"/>
                <w:szCs w:val="20"/>
                <w:color w:val="0000FF"/>
              </w:rPr>
              <w:t>/s/ Christopher Cox,</w:t>
            </w:r>
          </w:p>
        </w:tc>
        <w:tc>
          <w:tcPr>
            <w:tcW w:w="900" w:type="dxa"/>
            <w:vAlign w:val="bottom"/>
          </w:tcPr>
          <w:p>
            <w:pPr>
              <w:spacing w:after="0"/>
              <w:rPr>
                <w:sz w:val="24"/>
                <w:szCs w:val="24"/>
                <w:color w:val="auto"/>
              </w:rPr>
            </w:pPr>
          </w:p>
        </w:tc>
      </w:tr>
      <w:tr>
        <w:trPr>
          <w:trHeight w:val="220"/>
        </w:trPr>
        <w:tc>
          <w:tcPr>
            <w:tcW w:w="1540" w:type="dxa"/>
            <w:vAlign w:val="bottom"/>
            <w:tcBorders>
              <w:top w:val="single" w:sz="8" w:color="auto"/>
              <w:bottom w:val="single" w:sz="8" w:color="auto"/>
            </w:tcBorders>
            <w:gridSpan w:val="4"/>
          </w:tcPr>
          <w:p>
            <w:pPr>
              <w:spacing w:after="0" w:line="220" w:lineRule="exact"/>
              <w:rPr>
                <w:sz w:val="20"/>
                <w:szCs w:val="20"/>
                <w:color w:val="auto"/>
              </w:rPr>
            </w:pPr>
            <w:r>
              <w:rPr>
                <w:rFonts w:ascii="Times New Roman" w:cs="Times New Roman" w:eastAsia="Times New Roman" w:hAnsi="Times New Roman"/>
                <w:sz w:val="20"/>
                <w:szCs w:val="20"/>
                <w:color w:val="0000FF"/>
                <w:w w:val="95"/>
              </w:rPr>
              <w:t>Managing Member,</w:t>
            </w:r>
          </w:p>
        </w:tc>
        <w:tc>
          <w:tcPr>
            <w:tcW w:w="20" w:type="dxa"/>
            <w:vAlign w:val="bottom"/>
            <w:tcBorders>
              <w:top w:val="single" w:sz="8" w:color="auto"/>
            </w:tcBorders>
          </w:tcPr>
          <w:p>
            <w:pPr>
              <w:spacing w:after="0"/>
              <w:rPr>
                <w:sz w:val="19"/>
                <w:szCs w:val="19"/>
                <w:color w:val="auto"/>
              </w:rPr>
            </w:pPr>
          </w:p>
        </w:tc>
        <w:tc>
          <w:tcPr>
            <w:tcW w:w="620" w:type="dxa"/>
            <w:vAlign w:val="bottom"/>
            <w:gridSpan w:val="4"/>
          </w:tcPr>
          <w:p>
            <w:pPr>
              <w:spacing w:after="0"/>
              <w:rPr>
                <w:sz w:val="19"/>
                <w:szCs w:val="19"/>
                <w:color w:val="auto"/>
              </w:rPr>
            </w:pPr>
          </w:p>
        </w:tc>
        <w:tc>
          <w:tcPr>
            <w:tcW w:w="900" w:type="dxa"/>
            <w:vAlign w:val="bottom"/>
          </w:tcPr>
          <w:p>
            <w:pPr>
              <w:spacing w:after="0"/>
              <w:rPr>
                <w:sz w:val="19"/>
                <w:szCs w:val="19"/>
                <w:color w:val="auto"/>
              </w:rPr>
            </w:pPr>
          </w:p>
        </w:tc>
      </w:tr>
      <w:tr>
        <w:trPr>
          <w:trHeight w:val="220"/>
        </w:trPr>
        <w:tc>
          <w:tcPr>
            <w:tcW w:w="1980" w:type="dxa"/>
            <w:vAlign w:val="bottom"/>
            <w:tcBorders>
              <w:bottom w:val="single" w:sz="8" w:color="auto"/>
            </w:tcBorders>
            <w:gridSpan w:val="8"/>
          </w:tcPr>
          <w:p>
            <w:pPr>
              <w:spacing w:after="0" w:line="220" w:lineRule="exact"/>
              <w:rPr>
                <w:sz w:val="20"/>
                <w:szCs w:val="20"/>
                <w:color w:val="auto"/>
              </w:rPr>
            </w:pPr>
            <w:r>
              <w:rPr>
                <w:rFonts w:ascii="Times New Roman" w:cs="Times New Roman" w:eastAsia="Times New Roman" w:hAnsi="Times New Roman"/>
                <w:sz w:val="20"/>
                <w:szCs w:val="20"/>
                <w:color w:val="0000FF"/>
                <w:w w:val="96"/>
              </w:rPr>
              <w:t>Population Health Equity</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0"/>
        </w:trPr>
        <w:tc>
          <w:tcPr>
            <w:tcW w:w="2180" w:type="dxa"/>
            <w:vAlign w:val="bottom"/>
            <w:gridSpan w:val="9"/>
          </w:tcPr>
          <w:p>
            <w:pPr>
              <w:spacing w:after="0" w:line="220" w:lineRule="exact"/>
              <w:rPr>
                <w:sz w:val="20"/>
                <w:szCs w:val="20"/>
                <w:color w:val="auto"/>
              </w:rPr>
            </w:pPr>
            <w:r>
              <w:rPr>
                <w:rFonts w:ascii="Times New Roman" w:cs="Times New Roman" w:eastAsia="Times New Roman" w:hAnsi="Times New Roman"/>
                <w:sz w:val="20"/>
                <w:szCs w:val="20"/>
                <w:color w:val="0000FF"/>
              </w:rPr>
              <w:t>Partners III GP, LLC,</w:t>
            </w:r>
          </w:p>
        </w:tc>
        <w:tc>
          <w:tcPr>
            <w:tcW w:w="9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0000FF"/>
                <w:w w:val="96"/>
              </w:rPr>
              <w:t>04/06/2022</w:t>
            </w:r>
          </w:p>
        </w:tc>
      </w:tr>
      <w:tr>
        <w:trPr>
          <w:trHeight w:val="220"/>
        </w:trPr>
        <w:tc>
          <w:tcPr>
            <w:tcW w:w="1440" w:type="dxa"/>
            <w:vAlign w:val="bottom"/>
            <w:tcBorders>
              <w:top w:val="single" w:sz="8" w:color="auto"/>
              <w:bottom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w w:val="96"/>
              </w:rPr>
              <w:t>General Partner of</w:t>
            </w:r>
          </w:p>
        </w:tc>
        <w:tc>
          <w:tcPr>
            <w:tcW w:w="220" w:type="dxa"/>
            <w:vAlign w:val="bottom"/>
            <w:tcBorders>
              <w:top w:val="single" w:sz="8" w:color="auto"/>
            </w:tcBorders>
            <w:gridSpan w:val="5"/>
          </w:tcPr>
          <w:p>
            <w:pPr>
              <w:spacing w:after="0"/>
              <w:rPr>
                <w:sz w:val="19"/>
                <w:szCs w:val="19"/>
                <w:color w:val="auto"/>
              </w:rPr>
            </w:pPr>
          </w:p>
        </w:tc>
        <w:tc>
          <w:tcPr>
            <w:tcW w:w="520" w:type="dxa"/>
            <w:vAlign w:val="bottom"/>
            <w:gridSpan w:val="2"/>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220"/>
        </w:trPr>
        <w:tc>
          <w:tcPr>
            <w:tcW w:w="1980" w:type="dxa"/>
            <w:vAlign w:val="bottom"/>
            <w:tcBorders>
              <w:bottom w:val="single" w:sz="8" w:color="auto"/>
            </w:tcBorders>
            <w:gridSpan w:val="8"/>
          </w:tcPr>
          <w:p>
            <w:pPr>
              <w:spacing w:after="0" w:line="220" w:lineRule="exact"/>
              <w:rPr>
                <w:sz w:val="20"/>
                <w:szCs w:val="20"/>
                <w:color w:val="auto"/>
              </w:rPr>
            </w:pPr>
            <w:r>
              <w:rPr>
                <w:rFonts w:ascii="Times New Roman" w:cs="Times New Roman" w:eastAsia="Times New Roman" w:hAnsi="Times New Roman"/>
                <w:sz w:val="20"/>
                <w:szCs w:val="20"/>
                <w:color w:val="0000FF"/>
                <w:w w:val="96"/>
              </w:rPr>
              <w:t>Population Health Equity</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0"/>
        </w:trPr>
        <w:tc>
          <w:tcPr>
            <w:tcW w:w="128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4"/>
              </w:rPr>
              <w:t>Partners III, L.P.</w:t>
            </w:r>
          </w:p>
        </w:tc>
        <w:tc>
          <w:tcPr>
            <w:tcW w:w="900" w:type="dxa"/>
            <w:vAlign w:val="bottom"/>
            <w:gridSpan w:val="8"/>
          </w:tcPr>
          <w:p>
            <w:pPr>
              <w:spacing w:after="0"/>
              <w:rPr>
                <w:sz w:val="19"/>
                <w:szCs w:val="19"/>
                <w:color w:val="auto"/>
              </w:rPr>
            </w:pPr>
          </w:p>
        </w:tc>
        <w:tc>
          <w:tcPr>
            <w:tcW w:w="900" w:type="dxa"/>
            <w:vAlign w:val="bottom"/>
          </w:tcPr>
          <w:p>
            <w:pPr>
              <w:spacing w:after="0"/>
              <w:rPr>
                <w:sz w:val="19"/>
                <w:szCs w:val="19"/>
                <w:color w:val="auto"/>
              </w:rPr>
            </w:pPr>
          </w:p>
        </w:tc>
      </w:tr>
      <w:tr>
        <w:trPr>
          <w:trHeight w:val="280"/>
        </w:trPr>
        <w:tc>
          <w:tcPr>
            <w:tcW w:w="15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20"/>
                <w:szCs w:val="20"/>
                <w:color w:val="0000FF"/>
                <w:w w:val="96"/>
              </w:rPr>
              <w:t>/s/ Christopher Cox,</w:t>
            </w:r>
          </w:p>
        </w:tc>
        <w:tc>
          <w:tcPr>
            <w:tcW w:w="600" w:type="dxa"/>
            <w:vAlign w:val="bottom"/>
            <w:gridSpan w:val="3"/>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0000FF"/>
                <w:w w:val="96"/>
              </w:rPr>
              <w:t>04/06/2022</w:t>
            </w:r>
          </w:p>
        </w:tc>
      </w:tr>
    </w:tbl>
    <w:p>
      <w:pPr>
        <w:sectPr>
          <w:pgSz w:w="11900" w:h="16838" w:orient="portrait"/>
          <w:cols w:equalWidth="0" w:num="1">
            <w:col w:w="10820"/>
          </w:cols>
          <w:pgMar w:left="520" w:top="170" w:right="559" w:bottom="0" w:gutter="0" w:footer="0" w:header="0"/>
        </w:sectPr>
      </w:pPr>
    </w:p>
    <w:bookmarkStart w:id="2" w:name="page3"/>
    <w:bookmarkEnd w:id="2"/>
    <w:p>
      <w:pPr>
        <w:ind w:left="6540"/>
        <w:spacing w:after="0"/>
        <w:rPr>
          <w:sz w:val="20"/>
          <w:szCs w:val="20"/>
          <w:color w:val="auto"/>
        </w:rPr>
      </w:pPr>
      <w:r>
        <w:rPr>
          <w:rFonts w:ascii="Times New Roman" w:cs="Times New Roman" w:eastAsia="Times New Roman" w:hAnsi="Times New Roman"/>
          <w:sz w:val="20"/>
          <w:szCs w:val="20"/>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97853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extLst>
                    </a:blip>
                    <a:srcRect/>
                    <a:stretch>
                      <a:fillRect/>
                    </a:stretch>
                  </pic:blipFill>
                  <pic:spPr bwMode="auto">
                    <a:xfrm>
                      <a:off x="0" y="0"/>
                      <a:ext cx="97853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Population Health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5920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extLst>
                    </a:blip>
                    <a:srcRect/>
                    <a:stretch>
                      <a:fillRect/>
                    </a:stretch>
                  </pic:blipFill>
                  <pic:spPr bwMode="auto">
                    <a:xfrm>
                      <a:off x="0" y="0"/>
                      <a:ext cx="125920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Partners III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3187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103187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 Christopher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00139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00139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7853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97853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Population Health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5920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25920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Partners VII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1125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11125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1503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91503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Population Health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5920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25920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Partners VII,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63600"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86360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 Christopher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00139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00139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78535"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97853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Population Health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5920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5920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Partners VII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8013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08013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04/06/2022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04/06/2022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446" w:lineRule="exact"/>
        <w:rPr>
          <w:sz w:val="20"/>
          <w:szCs w:val="20"/>
          <w:color w:val="auto"/>
        </w:rPr>
      </w:pPr>
    </w:p>
    <w:p>
      <w:pPr>
        <w:sectPr>
          <w:pgSz w:w="11900" w:h="16838" w:orient="portrait"/>
          <w:cols w:equalWidth="0" w:num="2">
            <w:col w:w="8520" w:space="200"/>
            <w:col w:w="2100"/>
          </w:cols>
          <w:pgMar w:left="520" w:top="124" w:right="559" w:bottom="1440" w:gutter="0" w:footer="0" w:header="0"/>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24"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6"/>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10" Type="http://schemas.openxmlformats.org/officeDocument/2006/relationships/hyperlink" Target="http://www.sec.gov/cgi-bin/browse-edgar?action=getcompany&amp;CIK=0001557341" TargetMode="External"/><Relationship Id="rId11" Type="http://schemas.openxmlformats.org/officeDocument/2006/relationships/hyperlink" Target="http://www.sec.gov/cgi-bin/browse-edgar?action=getcompany&amp;CIK=0001832038" TargetMode="External"/><Relationship Id="rId12" Type="http://schemas.openxmlformats.org/officeDocument/2006/relationships/hyperlink" Target="http://www.sec.gov/cgi-bin/browse-edgar?action=getcompany&amp;CIK=0001921593" TargetMode="External"/><Relationship Id="rId14" Type="http://schemas.openxmlformats.org/officeDocument/2006/relationships/hyperlink" Target="http://www.sec.gov/cgi-bin/browse-edgar?action=getcompany&amp;CIK=0001921599" TargetMode="External"/><Relationship Id="rId15" Type="http://schemas.openxmlformats.org/officeDocument/2006/relationships/hyperlink" Target="http://www.sec.gov/cgi-bin/browse-edgar?action=getcompany&amp;CIK=0001921616" TargetMode="External"/><Relationship Id="rId16" Type="http://schemas.openxmlformats.org/officeDocument/2006/relationships/hyperlink" Target="http://www.sec.gov/cgi-bin/browse-edgar?action=getcompany&amp;CIK=00019215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2022-04-06T16:04:33Z</dcterms:created>
  <dcterms:modified xsi:type="dcterms:W3CDTF">2022-04-06T16:04:33Z</dcterms:modified>
</cp:coreProperties>
</file>