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On December 22, 2023, Invivyd, Inc. (the “Company”)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the Company may offer and sell, from time to time, through Cantor, shares of the Company’s common stock, par value $0.0001 per share (the “Shares”). The offering and sale of up to $75.0 million of the Shares pursuant to the Sales Agreement is being registered under the Securities Act of 1933, as amended (the “Securities Act”), pursuant to the Company’s shelf registration statement on Form S-3 (File No. 333-267643), which was declared effective by the Securities and Exchange Commission (“SEC”) on October 5, 2022, which includes a base prospectus, and an accompanying prospectus supplement filed with the SEC on December 22, 2023.</w:t>
      </w:r>
    </w:p>
    <w:p>
      <w:pPr>
        <w:spacing w:after="0" w:line="200" w:lineRule="exact"/>
        <w:rPr>
          <w:sz w:val="20"/>
          <w:szCs w:val="20"/>
          <w:color w:val="auto"/>
        </w:rPr>
      </w:pPr>
    </w:p>
    <w:p>
      <w:pPr>
        <w:jc w:val="both"/>
        <w:ind w:right="34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Sales Agreement, Cantor will use its commercially reasonable efforts to sell the Shares from time to time, based upon the Company’s instructions. The Company provided Cantor with customary indemnification rights, and Cantor will be entitled to a commission of 3.0% of the gross proceeds from each sale of the Shares. In addition, the Company agreed to reimburse certain expenses incurred by Cantor in connection with the Sales Agreement.</w:t>
      </w:r>
    </w:p>
    <w:p>
      <w:pPr>
        <w:spacing w:after="0" w:line="180"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Sales of the Shares, if any, under the Sales Agreement may be made in transactions that are deemed to be “at the market offerings” as defined in Rule 415(a)(4) under the Securities Act. The Company has no obligation to sell any of the Shares and may at any time suspend offers under the Sales Agreement or terminate the Sales Agreement.</w:t>
      </w:r>
    </w:p>
    <w:p>
      <w:pPr>
        <w:spacing w:after="0" w:line="176"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The Sales Agreement contains customary representations, warranties and agreements by the Company, indemnification obligations of the Company and Cantor and other obligations of the parties.</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information set forth herein shall not constitute an offer to sell or the solicitation of any offer to buy the Shares, nor shall there be an offer, solicitation or sale of the Shares in any state in which such offer, solicitation or sale would be unlawful prior to the registration or qualification under the securities laws of such state.</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This description of the Sales Agreement is not complete and is qualified in its entirety by reference to the full text of the Sales Agreement, a copy of which is filed as Exhibit 10.1 to this Current Report on Form 8-K and is incorporated by reference into this Item 1.01. The legal opinion of Hogan Lovells US LLP relating to the Shares being offered pursuant to the Sales Agreement is filed as Exhibit 5.1 to this Current Report on Form 8-K.</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64"/>
        </w:trPr>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Opinion of Hogan Lovells US LLP</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7"/>
              </w:rPr>
              <w:t>Controlled Equity Offering</w:t>
            </w:r>
          </w:p>
        </w:tc>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SM</w:t>
            </w:r>
          </w:p>
        </w:tc>
        <w:tc>
          <w:tcPr>
            <w:tcW w:w="7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0000EE"/>
              </w:rPr>
              <w:t>Sales Agreement by and between the Company and Cantor Fitzgerald &amp; Co., dated December 22,</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22,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05815"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1735 Market Street, Floor 23</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T +1 267 675 4600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 +1 267 675 4601</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Invivyd,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We are acting as counsel to Invivyd, Inc., a Delaware corporation (the “Company”), in connection with the issuance and sale of up to $75,000,000 of shares of common stock, par value $0.0001 per share, of the Company (the “Shares”), from time to time and at various prices in an “at the market” offering pursuant to the terms of the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dated December 22, 2023 (the “Agreement”), by and between the Company and Cantor Fitzgerald &amp; Co., as sales agent (the “Agent”). The offering of the Shares by the Company is being made pursuant to its registration statement on Form S-3, as amended (File No. 333-267643) (the “Registration Statement”), filed with the Securities and Exchange Commission (the “SEC”) under the Securities Act of 1933, as amended (the “Act”), the accompanying prospectus dated October 5, 2022 (the “Base Prospectus”) that forms a part thereof and the prospectus supplement dated December 22, 2023 (the “Prospectus Supplement” and together with the Base Prospectus, the “Prospectus”). This opinion letter is furnished to you at your request to enable you to fulfill the requirements of Item 601(b)(5) of Regulation S-K, 17 C.F.R. § 229.601(b)(5), in connection with the Registration Statement.</w:t>
      </w:r>
    </w:p>
    <w:p>
      <w:pPr>
        <w:spacing w:after="0" w:line="19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opinion letter is based as to matters of law solely on the Delaware General Corporation Law, as amended. We express no opinion herein as to any other statutes, rules or regulations.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following (i) execution and delivery by the Company and the Agent of the Agreement, (ii) issuance of the Shares pursuant to the terms of the Agreement, which issuance shall not exceed the Maximum Amount (as defined in the Agreement) and (iii) receipt by the Company of the consideration for the Shares as specified in the resolutions of the Board of Directors or the Pricing Committee of the Board of Directors, the Shares will be validly issued, fully paid, and nonassessable.</w:t>
      </w:r>
    </w:p>
    <w:p>
      <w:pPr>
        <w:spacing w:after="0" w:line="355"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Hogan Lovells US LLP is a limited liability partnership registered in the state of Delaware. “Hogan Lovells” is an international legal practice that includes Hogan Lovells US LLP and Hogan Lovells International LLP, with offices in: Alicante Amsterdam Baltimore Beijing Birmingham Boston Brussels Colorado Springs Denver Dubai Dusseldorf Frankfurt Hamburg Hanoi Ho Chi Minh City Hong Kong Houston Johannesburg London Los Angeles Luxembourg Madrid Mexico City Miami Milan Minneapolis Monterrey Munich New York Northern Virginia Paris Philadelphia Rome San Francisco São Paulo Shanghai Silicon Valley Singapore Sydney Tokyo Warsaw Washington, D.C. Associated Offices: Budapest Jakarta Riyadh Shanghai FTZ Ulaanbaatar. Business Service Centers: Johannesburg Louisville. Legal Services Center: Berlin. For more information see www.hoganlovells.com</w:t>
      </w:r>
    </w:p>
    <w:p>
      <w:pPr>
        <w:sectPr>
          <w:pgSz w:w="11900" w:h="16838" w:orient="portrait"/>
          <w:cols w:equalWidth="0" w:num="1">
            <w:col w:w="11020"/>
          </w:cols>
          <w:pgMar w:left="440" w:top="117" w:right="439" w:bottom="1440" w:gutter="0" w:footer="0" w:header="0"/>
        </w:sectPr>
      </w:pPr>
    </w:p>
    <w:bookmarkStart w:id="4" w:name="page5"/>
    <w:bookmarkEnd w:id="4"/>
    <w:p>
      <w:pPr>
        <w:spacing w:after="0"/>
        <w:tabs>
          <w:tab w:leader="none" w:pos="5580" w:val="left"/>
          <w:tab w:leader="none" w:pos="95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Invivyd, Inc.</w:t>
      </w:r>
      <w:r>
        <w:rPr>
          <w:sz w:val="20"/>
          <w:szCs w:val="20"/>
          <w:color w:val="auto"/>
        </w:rPr>
        <w:tab/>
      </w:r>
      <w:r>
        <w:rPr>
          <w:rFonts w:ascii="Times New Roman" w:cs="Times New Roman" w:eastAsia="Times New Roman" w:hAnsi="Times New Roman"/>
          <w:sz w:val="18"/>
          <w:szCs w:val="18"/>
          <w:color w:val="auto"/>
        </w:rPr>
        <w:t>- 2 -</w:t>
      </w:r>
      <w:r>
        <w:rPr>
          <w:sz w:val="20"/>
          <w:szCs w:val="20"/>
          <w:color w:val="auto"/>
        </w:rPr>
        <w:tab/>
      </w:r>
      <w:r>
        <w:rPr>
          <w:rFonts w:ascii="Times New Roman" w:cs="Times New Roman" w:eastAsia="Times New Roman" w:hAnsi="Times New Roman"/>
          <w:sz w:val="18"/>
          <w:szCs w:val="18"/>
          <w:color w:val="auto"/>
        </w:rPr>
        <w:t>December 22, 2023</w:t>
      </w:r>
    </w:p>
    <w:p>
      <w:pPr>
        <w:spacing w:after="0" w:line="15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Registration Statement and the Prospectus, and speaks as of the date hereof. We assume no obligation to advise you of any changes in the foregoing subsequent to the date hereof.</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filed with the SEC on the date hereof and to the reference to this firm under the caption “Legal Matters” in the Prospectus. In giving this consent, we do not thereby admit that we are an “expert” within the meaning of the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HOGAN LOVELLS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HOGAN LOVELLS US LLP</w:t>
      </w:r>
    </w:p>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$0.0001 per share)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Controlled Equity Offering</w:t>
      </w:r>
      <w:r>
        <w:rPr>
          <w:rFonts w:ascii="Times New Roman" w:cs="Times New Roman" w:eastAsia="Times New Roman" w:hAnsi="Times New Roman"/>
          <w:sz w:val="26"/>
          <w:szCs w:val="26"/>
          <w:b w:val="1"/>
          <w:bCs w:val="1"/>
          <w:color w:val="auto"/>
          <w:vertAlign w:val="superscript"/>
        </w:rPr>
        <w:t>SM</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05"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December 22,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East 59th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Invivyd,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Cantor Fitzgerald &amp; Co.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51" w:lineRule="exact"/>
        <w:rPr>
          <w:sz w:val="20"/>
          <w:szCs w:val="20"/>
          <w:color w:val="auto"/>
        </w:rPr>
      </w:pPr>
    </w:p>
    <w:p>
      <w:pPr>
        <w:ind w:right="20" w:firstLine="436"/>
        <w:spacing w:after="0" w:line="252" w:lineRule="auto"/>
        <w:tabs>
          <w:tab w:leader="none" w:pos="6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 as sales agent, shares of common stock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of the Company, par value $0.0001 per share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the Company issue or sell through the Agent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filed by the Company and declared effective by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on October 5, 2022, although nothing in this Agreement shall be construed as requiring the Company to use the Registration Statement to issue Common Stock.</w:t>
      </w:r>
    </w:p>
    <w:p>
      <w:pPr>
        <w:spacing w:after="0" w:line="200" w:lineRule="exact"/>
        <w:rPr>
          <w:sz w:val="20"/>
          <w:szCs w:val="20"/>
          <w:color w:val="auto"/>
        </w:rPr>
      </w:pPr>
    </w:p>
    <w:p>
      <w:pPr>
        <w:spacing w:after="0" w:line="209"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thereunder (the “</w:t>
      </w:r>
      <w:r>
        <w:rPr>
          <w:rFonts w:ascii="Times New Roman" w:cs="Times New Roman" w:eastAsia="Times New Roman" w:hAnsi="Times New Roman"/>
          <w:sz w:val="18"/>
          <w:szCs w:val="18"/>
          <w:b w:val="1"/>
          <w:bCs w:val="1"/>
          <w:u w:val="single" w:color="auto"/>
          <w:color w:val="auto"/>
        </w:rPr>
        <w:t>Securities Act Regulations</w:t>
      </w:r>
      <w:r>
        <w:rPr>
          <w:rFonts w:ascii="Times New Roman" w:cs="Times New Roman" w:eastAsia="Times New Roman" w:hAnsi="Times New Roman"/>
          <w:sz w:val="18"/>
          <w:szCs w:val="18"/>
          <w:color w:val="auto"/>
        </w:rPr>
        <w:t>”), with the Commission a registration statement on Form S-3 (File No. 333-267643),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The Company will furnish to the Agent, for use by the Agent, copies of the prospectus included as part of such registration statement, as 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S-3 from time to time that will contain a base prospectus and related prospectus or prospectus supplement, if applicable (which shall be a Prospectus Supplement), with respect to the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6" w:name="page7"/>
    <w:bookmarkEnd w:id="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reference herein to the Registration Statement,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36"/>
        <w:spacing w:after="0" w:line="252" w:lineRule="auto"/>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amended from time to time. The Placement Notice shall be effective unless and until (i) the Agent declines in writing to accept the terms contained therein for any reason, in its sole discretion, which declination must occur within two (2) Business Days of the receipt of the Placement Notice (ii) the entire amount of the Placement Shares thereunder have been sold, (iii) the Company suspends or terminates the Placement Notice or (iv)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ectPr>
          <w:pgSz w:w="11900" w:h="16838" w:orient="portrait"/>
          <w:cols w:equalWidth="0" w:num="1">
            <w:col w:w="10960"/>
          </w:cols>
          <w:pgMar w:left="440" w:top="270" w:right="499" w:bottom="1440" w:gutter="0" w:footer="0" w:header="0"/>
        </w:sectPr>
      </w:pPr>
    </w:p>
    <w:bookmarkStart w:id="7" w:name="page8"/>
    <w:bookmarkEnd w:id="7"/>
    <w:p>
      <w:pPr>
        <w:ind w:left="4" w:firstLine="436"/>
        <w:spacing w:after="0" w:line="253" w:lineRule="auto"/>
        <w:tabs>
          <w:tab w:leader="none" w:pos="6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of Placement Shares by the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Agent, for the period specified in the Placement Notice, will use its commercially reasonable efforts consistent with its normal trading and sales practices and applicable state and federal laws, rules and regulations and the rules of The Nasdaq Stock Market LLC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Subject to the terms of the Placement Notice, the Agent may sell Placement Shares by any method permitted by law deemed to be an “at the market offering” as defined in Rule 415(a)(4) of the Securities Act Regulations, including sales made directly on or through the Exchange or any other existing trading market for the Common Stock, in negotiated transactions at market prices prevailing at the time of sale or at prices related to such prevailing market prices and/or any other method permitted by law.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Common Stock is traded on the Exchange.</w:t>
      </w:r>
    </w:p>
    <w:p>
      <w:pPr>
        <w:spacing w:after="0" w:line="189" w:lineRule="exact"/>
        <w:rPr>
          <w:rFonts w:ascii="Times New Roman" w:cs="Times New Roman" w:eastAsia="Times New Roman" w:hAnsi="Times New Roman"/>
          <w:sz w:val="18"/>
          <w:szCs w:val="18"/>
          <w:b w:val="1"/>
          <w:bCs w:val="1"/>
          <w:color w:val="auto"/>
        </w:rPr>
      </w:pPr>
    </w:p>
    <w:p>
      <w:pPr>
        <w:ind w:left="4" w:right="20" w:firstLine="436"/>
        <w:spacing w:after="0" w:line="267" w:lineRule="auto"/>
        <w:tabs>
          <w:tab w:leader="none" w:pos="624" w:val="left"/>
        </w:tabs>
        <w:numPr>
          <w:ilvl w:val="1"/>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Suspension of Sales</w:t>
      </w:r>
      <w:r>
        <w:rPr>
          <w:rFonts w:ascii="Times New Roman" w:cs="Times New Roman" w:eastAsia="Times New Roman" w:hAnsi="Times New Roman"/>
          <w:sz w:val="17"/>
          <w:szCs w:val="17"/>
          <w:color w:val="auto"/>
        </w:rPr>
        <w:t xml:space="preserve">. 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suspend any sale of Placement Shares (a “</w:t>
      </w:r>
      <w:r>
        <w:rPr>
          <w:rFonts w:ascii="Times New Roman" w:cs="Times New Roman" w:eastAsia="Times New Roman" w:hAnsi="Times New Roman"/>
          <w:sz w:val="17"/>
          <w:szCs w:val="17"/>
          <w:b w:val="1"/>
          <w:bCs w:val="1"/>
          <w:u w:val="single" w:color="auto"/>
          <w:color w:val="auto"/>
        </w:rPr>
        <w:t>Suspension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7"/>
          <w:szCs w:val="17"/>
          <w:u w:val="single" w:color="auto"/>
          <w:color w:val="auto"/>
        </w:rPr>
        <w:t>Sections 7(l)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7(n)</w:t>
      </w:r>
      <w:r>
        <w:rPr>
          <w:rFonts w:ascii="Times New Roman" w:cs="Times New Roman" w:eastAsia="Times New Roman" w:hAnsi="Times New Roman"/>
          <w:sz w:val="17"/>
          <w:szCs w:val="17"/>
          <w:color w:val="auto"/>
        </w:rPr>
        <w:t xml:space="preserve"> with respect to the delivery of certificates, opinions, or comfort letters to the Agent, shall be waived. Each of the parties agrees that no such notice under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be effective against any other party unless it is made to one of the individuals named on </w:t>
      </w:r>
      <w:r>
        <w:rPr>
          <w:rFonts w:ascii="Times New Roman" w:cs="Times New Roman" w:eastAsia="Times New Roman" w:hAnsi="Times New Roman"/>
          <w:sz w:val="17"/>
          <w:szCs w:val="17"/>
          <w:u w:val="single" w:color="auto"/>
          <w:color w:val="auto"/>
        </w:rPr>
        <w:t>Schedule 3</w:t>
      </w:r>
      <w:r>
        <w:rPr>
          <w:rFonts w:ascii="Times New Roman" w:cs="Times New Roman" w:eastAsia="Times New Roman" w:hAnsi="Times New Roman"/>
          <w:sz w:val="17"/>
          <w:szCs w:val="17"/>
          <w:color w:val="auto"/>
        </w:rPr>
        <w:t xml:space="preserve"> hereto, as such Schedule may be amended from time to time. Notwithstanding any other provision of this Agreement, during any period in which the Company is in possession of material non-public information, the Company and the Agent agree that</w:t>
      </w:r>
    </w:p>
    <w:p>
      <w:pPr>
        <w:spacing w:after="0" w:line="5" w:lineRule="exact"/>
        <w:rPr>
          <w:rFonts w:ascii="Times New Roman" w:cs="Times New Roman" w:eastAsia="Times New Roman" w:hAnsi="Times New Roman"/>
          <w:sz w:val="17"/>
          <w:szCs w:val="17"/>
          <w:b w:val="1"/>
          <w:bCs w:val="1"/>
          <w:color w:val="auto"/>
        </w:rPr>
      </w:pPr>
    </w:p>
    <w:p>
      <w:pPr>
        <w:ind w:left="4" w:right="420" w:hanging="4"/>
        <w:spacing w:after="0" w:line="260" w:lineRule="auto"/>
        <w:tabs>
          <w:tab w:leader="none" w:pos="2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sale of Placement Shares will take place, (ii) the Company shall not request the sale of any Placement Shares, and (iii) the Agent shall not be obligated to sell or offer to sell any Placement Shares.</w:t>
      </w:r>
    </w:p>
    <w:p>
      <w:pPr>
        <w:sectPr>
          <w:pgSz w:w="11900" w:h="16838" w:orient="portrait"/>
          <w:cols w:equalWidth="0" w:num="1">
            <w:col w:w="10984"/>
          </w:cols>
          <w:pgMar w:left="436" w:top="270" w:right="479" w:bottom="1440" w:gutter="0" w:footer="0" w:header="0"/>
        </w:sectPr>
      </w:pPr>
    </w:p>
    <w:bookmarkStart w:id="8" w:name="page9"/>
    <w:bookmarkEnd w:id="8"/>
    <w:p>
      <w:pPr>
        <w:ind w:left="184" w:hanging="184"/>
        <w:spacing w:after="0"/>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and Delivery to the Agent; Settlement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b w:val="1"/>
          <w:bCs w:val="1"/>
          <w:color w:val="auto"/>
        </w:rPr>
      </w:pPr>
    </w:p>
    <w:p>
      <w:pPr>
        <w:ind w:left="-436" w:right="20" w:firstLine="987"/>
        <w:spacing w:after="0" w:line="254" w:lineRule="auto"/>
        <w:tabs>
          <w:tab w:leader="none" w:pos="81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185" w:lineRule="exact"/>
        <w:rPr>
          <w:rFonts w:ascii="Times New Roman" w:cs="Times New Roman" w:eastAsia="Times New Roman" w:hAnsi="Times New Roman"/>
          <w:sz w:val="18"/>
          <w:szCs w:val="18"/>
          <w:b w:val="1"/>
          <w:bCs w:val="1"/>
          <w:color w:val="auto"/>
        </w:rPr>
      </w:pPr>
    </w:p>
    <w:p>
      <w:pPr>
        <w:ind w:left="-436" w:firstLine="987"/>
        <w:spacing w:after="0" w:line="256" w:lineRule="auto"/>
        <w:tabs>
          <w:tab w:leader="none" w:pos="82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Agent, after deduction for (i) the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Authority in respect of such sales.</w:t>
      </w:r>
    </w:p>
    <w:p>
      <w:pPr>
        <w:spacing w:after="0" w:line="184" w:lineRule="exact"/>
        <w:rPr>
          <w:rFonts w:ascii="Times New Roman" w:cs="Times New Roman" w:eastAsia="Times New Roman" w:hAnsi="Times New Roman"/>
          <w:sz w:val="18"/>
          <w:szCs w:val="18"/>
          <w:b w:val="1"/>
          <w:bCs w:val="1"/>
          <w:color w:val="auto"/>
        </w:rPr>
      </w:pPr>
    </w:p>
    <w:p>
      <w:pPr>
        <w:ind w:left="-436" w:right="120" w:firstLine="987"/>
        <w:spacing w:after="0" w:line="253" w:lineRule="auto"/>
        <w:tabs>
          <w:tab w:leader="none" w:pos="799"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hereto, it will (i) hold the Agent harmless against any loss, claim, damage, or expense (including reasonable and documented legal fees and expenses), as incurred, arising out of or in connection with such default by the Company or its transfer agent (if applicable) and (ii) pay to the Agent any commission, discount, or other compensation to which it would otherwise have been entitled absent such default.</w:t>
      </w:r>
    </w:p>
    <w:p>
      <w:pPr>
        <w:sectPr>
          <w:pgSz w:w="11900" w:h="16838" w:orient="portrait"/>
          <w:cols w:equalWidth="0" w:num="1">
            <w:col w:w="10564"/>
          </w:cols>
          <w:pgMar w:left="876" w:top="270" w:right="459" w:bottom="1440" w:gutter="0" w:footer="0" w:header="0"/>
        </w:sectPr>
      </w:pPr>
    </w:p>
    <w:bookmarkStart w:id="9" w:name="page10"/>
    <w:bookmarkEnd w:id="9"/>
    <w:p>
      <w:pPr>
        <w:ind w:firstLine="987"/>
        <w:spacing w:after="0" w:line="258" w:lineRule="auto"/>
        <w:tabs>
          <w:tab w:leader="none" w:pos="1256"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Denominations; Registration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Certificates for the Placement Shares, if any, shall be in such denominations and registered in such names as the Agent may request in writing at least one full Business Day (as defined below) before the applicable Settlement Date. The certificates for the Placement Shares, if any, will be made available by the Company for examination and packaging by the Agent in The City of New York not later</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than noon (New York time) on the Business Day prior to the applicable Settlement Date.</w:t>
      </w:r>
    </w:p>
    <w:p>
      <w:pPr>
        <w:spacing w:after="0" w:line="204" w:lineRule="exact"/>
        <w:rPr>
          <w:rFonts w:ascii="Times New Roman" w:cs="Times New Roman" w:eastAsia="Times New Roman" w:hAnsi="Times New Roman"/>
          <w:sz w:val="18"/>
          <w:szCs w:val="18"/>
          <w:b w:val="1"/>
          <w:bCs w:val="1"/>
          <w:color w:val="auto"/>
        </w:rPr>
      </w:pPr>
    </w:p>
    <w:p>
      <w:pPr>
        <w:ind w:right="80" w:firstLine="987"/>
        <w:spacing w:after="0" w:line="255" w:lineRule="auto"/>
        <w:tabs>
          <w:tab w:leader="none" w:pos="1236"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officer,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officer. Further, under no circumstances shall the Company cause or permit the aggregate offering amount of Placement Shares sold pursuant to this Agreement to exceed the Maximum Amount.</w:t>
      </w:r>
    </w:p>
    <w:p>
      <w:pPr>
        <w:spacing w:after="0" w:line="78" w:lineRule="exact"/>
        <w:rPr>
          <w:rFonts w:ascii="Times New Roman" w:cs="Times New Roman" w:eastAsia="Times New Roman" w:hAnsi="Times New Roman"/>
          <w:sz w:val="18"/>
          <w:szCs w:val="18"/>
          <w:b w:val="1"/>
          <w:bCs w:val="1"/>
          <w:color w:val="auto"/>
        </w:rPr>
      </w:pPr>
    </w:p>
    <w:p>
      <w:pPr>
        <w:ind w:right="80" w:firstLine="436"/>
        <w:spacing w:after="0" w:line="282" w:lineRule="auto"/>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and as of each Applicable Time (as defined below):</w:t>
      </w:r>
    </w:p>
    <w:p>
      <w:pPr>
        <w:spacing w:after="0" w:line="53" w:lineRule="exact"/>
        <w:rPr>
          <w:rFonts w:ascii="Times New Roman" w:cs="Times New Roman" w:eastAsia="Times New Roman" w:hAnsi="Times New Roman"/>
          <w:sz w:val="18"/>
          <w:szCs w:val="18"/>
          <w:b w:val="1"/>
          <w:bCs w:val="1"/>
          <w:color w:val="auto"/>
        </w:rPr>
      </w:pPr>
    </w:p>
    <w:p>
      <w:pPr>
        <w:ind w:firstLine="987"/>
        <w:spacing w:after="0" w:line="252" w:lineRule="auto"/>
        <w:tabs>
          <w:tab w:leader="none" w:pos="1246"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Company and the transactions contemplated by this Agreement meet the requirements for and comply with the applicable conditions set forth in Form S-3 (including General Instructions I.A and I.B) under the Securities Act. The Registration Statement has been filed with the Commission and has been declared effective by the Commission under the Securities Act. As of each Applicable Time the Registration Statement is effective.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Incorporated Documents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has consented. The Common Stock is registered pursuant to Section 12(b) of the Exchange Act and is currently listed on the Exchange under the trading symbol “IVVD.”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ectPr>
          <w:pgSz w:w="11900" w:h="16838" w:orient="portrait"/>
          <w:cols w:equalWidth="0" w:num="1">
            <w:col w:w="11000"/>
          </w:cols>
          <w:pgMar w:left="440" w:top="268" w:right="459" w:bottom="1440" w:gutter="0" w:footer="0" w:header="0"/>
        </w:sectPr>
      </w:pPr>
    </w:p>
    <w:bookmarkStart w:id="10" w:name="page11"/>
    <w:bookmarkEnd w:id="10"/>
    <w:p>
      <w:pPr>
        <w:ind w:left="-987" w:right="20" w:firstLine="987"/>
        <w:spacing w:after="0" w:line="253" w:lineRule="auto"/>
        <w:tabs>
          <w:tab w:leader="none" w:pos="26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Misstatement or Omission</w:t>
      </w:r>
      <w:r>
        <w:rPr>
          <w:rFonts w:ascii="Times New Roman" w:cs="Times New Roman" w:eastAsia="Times New Roman" w:hAnsi="Times New Roman"/>
          <w:sz w:val="18"/>
          <w:szCs w:val="18"/>
          <w:color w:val="auto"/>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Incorporated Documents did not, and any further Incorporated Documents filed after the date of this Agreement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in writing specifically for use in the preparation thereof, it being understood and agreed that the only such information furnished by the Agent to the Company consists of “Agent Information” as defined below.</w:t>
      </w:r>
    </w:p>
    <w:p>
      <w:pPr>
        <w:spacing w:after="0" w:line="187" w:lineRule="exact"/>
        <w:rPr>
          <w:rFonts w:ascii="Times New Roman" w:cs="Times New Roman" w:eastAsia="Times New Roman" w:hAnsi="Times New Roman"/>
          <w:sz w:val="18"/>
          <w:szCs w:val="18"/>
          <w:b w:val="1"/>
          <w:bCs w:val="1"/>
          <w:color w:val="auto"/>
        </w:rPr>
      </w:pPr>
    </w:p>
    <w:p>
      <w:pPr>
        <w:ind w:left="-987" w:right="60" w:firstLine="987"/>
        <w:spacing w:after="0" w:line="261" w:lineRule="auto"/>
        <w:tabs>
          <w:tab w:leader="none" w:pos="24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Conformity with the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79" w:lineRule="exact"/>
        <w:rPr>
          <w:rFonts w:ascii="Times New Roman" w:cs="Times New Roman" w:eastAsia="Times New Roman" w:hAnsi="Times New Roman"/>
          <w:sz w:val="18"/>
          <w:szCs w:val="18"/>
          <w:b w:val="1"/>
          <w:bCs w:val="1"/>
          <w:color w:val="auto"/>
        </w:rPr>
      </w:pPr>
    </w:p>
    <w:p>
      <w:pPr>
        <w:ind w:left="-987" w:firstLine="987"/>
        <w:spacing w:after="0" w:line="253" w:lineRule="auto"/>
        <w:tabs>
          <w:tab w:leader="none" w:pos="26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Financial Information</w:t>
      </w:r>
      <w:r>
        <w:rPr>
          <w:rFonts w:ascii="Times New Roman" w:cs="Times New Roman" w:eastAsia="Times New Roman" w:hAnsi="Times New Roman"/>
          <w:sz w:val="18"/>
          <w:szCs w:val="18"/>
          <w:color w:val="auto"/>
        </w:rPr>
        <w:t>. The financial statements of the Company included or incorporated by reference in each of the Registration Statement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u w:val="single" w:color="auto"/>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and the exclusion of certain footnotes as permitted by the applicable rules of the Commission in the case of the Company’s unaudited interim financial statements. The other financial information included or incorporated by reference in each of the Registration Statement and the Prospectus has been derived from the accounting records of the Company and its consolidated Subsidiaries and presents fairly in all material respects the information shown thereby.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ectPr>
          <w:pgSz w:w="11900" w:h="16838" w:orient="portrait"/>
          <w:cols w:equalWidth="0" w:num="1">
            <w:col w:w="9993"/>
          </w:cols>
          <w:pgMar w:left="1427" w:top="270" w:right="479" w:bottom="1440" w:gutter="0" w:footer="0" w:header="0"/>
        </w:sectPr>
      </w:pPr>
    </w:p>
    <w:bookmarkStart w:id="11" w:name="page12"/>
    <w:bookmarkEnd w:id="11"/>
    <w:p>
      <w:pPr>
        <w:ind w:left="-987" w:right="60" w:firstLine="987"/>
        <w:spacing w:after="0" w:line="266" w:lineRule="auto"/>
        <w:tabs>
          <w:tab w:leader="none" w:pos="24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Conformity with EDGAR Filing</w:t>
      </w:r>
      <w:r>
        <w:rPr>
          <w:rFonts w:ascii="Times New Roman" w:cs="Times New Roman" w:eastAsia="Times New Roman" w:hAnsi="Times New Roman"/>
          <w:sz w:val="18"/>
          <w:szCs w:val="18"/>
          <w:color w:val="auto"/>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75" w:lineRule="exact"/>
        <w:rPr>
          <w:rFonts w:ascii="Times New Roman" w:cs="Times New Roman" w:eastAsia="Times New Roman" w:hAnsi="Times New Roman"/>
          <w:sz w:val="18"/>
          <w:szCs w:val="18"/>
          <w:b w:val="1"/>
          <w:bCs w:val="1"/>
          <w:color w:val="auto"/>
        </w:rPr>
      </w:pPr>
    </w:p>
    <w:p>
      <w:pPr>
        <w:ind w:left="-987" w:right="20" w:firstLine="987"/>
        <w:spacing w:after="0" w:line="255" w:lineRule="auto"/>
        <w:tabs>
          <w:tab w:leader="none" w:pos="22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left="-987" w:firstLine="987"/>
        <w:spacing w:after="0" w:line="254" w:lineRule="auto"/>
        <w:tabs>
          <w:tab w:leader="none" w:pos="25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subsidiaries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are the Company’s only significant subsidiaries (as such term is defined in Rule 1-02 of Regulation S-X promulgated by the Commission). 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w:t>
      </w:r>
    </w:p>
    <w:p>
      <w:pPr>
        <w:spacing w:after="0" w:line="189" w:lineRule="exact"/>
        <w:rPr>
          <w:rFonts w:ascii="Times New Roman" w:cs="Times New Roman" w:eastAsia="Times New Roman" w:hAnsi="Times New Roman"/>
          <w:sz w:val="18"/>
          <w:szCs w:val="18"/>
          <w:b w:val="1"/>
          <w:bCs w:val="1"/>
          <w:color w:val="auto"/>
        </w:rPr>
      </w:pPr>
    </w:p>
    <w:p>
      <w:pPr>
        <w:ind w:left="-987" w:firstLine="987"/>
        <w:spacing w:after="0" w:line="256" w:lineRule="auto"/>
        <w:tabs>
          <w:tab w:leader="none" w:pos="269"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The execution and delivery by the Company of, and the performance by the Company of its obligations under, this Agreement will not contravene any provision of (i) applicable law or (ii) the certificate of incorporation or by-laws of the Company or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that would not, singly or in the aggregate, reasonably be expected to have a Material Adverse Effect on the Company and its Subsidiaries, taken as a whole.</w:t>
      </w:r>
    </w:p>
    <w:p>
      <w:pPr>
        <w:sectPr>
          <w:pgSz w:w="11900" w:h="16838" w:orient="portrait"/>
          <w:cols w:equalWidth="0" w:num="1">
            <w:col w:w="10013"/>
          </w:cols>
          <w:pgMar w:left="1427" w:top="270" w:right="459" w:bottom="1440" w:gutter="0" w:footer="0" w:header="0"/>
        </w:sectPr>
      </w:pPr>
    </w:p>
    <w:bookmarkStart w:id="12" w:name="page13"/>
    <w:bookmarkEnd w:id="12"/>
    <w:p>
      <w:pPr>
        <w:ind w:left="-987" w:firstLine="987"/>
        <w:spacing w:after="0" w:line="254" w:lineRule="auto"/>
        <w:tabs>
          <w:tab w:leader="none" w:pos="21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Adverse Change</w:t>
      </w:r>
      <w:r>
        <w:rPr>
          <w:rFonts w:ascii="Times New Roman" w:cs="Times New Roman" w:eastAsia="Times New Roman" w:hAnsi="Times New Roman"/>
          <w:sz w:val="18"/>
          <w:szCs w:val="18"/>
          <w:color w:val="auto"/>
        </w:rPr>
        <w:t>. Except as otherwise disclosed in the Registration Statement and the Prospectus, subsequent to the respective dates as of which information is given in the Registration Statement and the Prospectus, there has not been any Material Adverse Effect or the occurrence of any development that the Company reasonably expects will result in a Material Adverse Effect. Subsequent to the respective dates as of which information is given in each of the Registration Statement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(other than the exercise, grant or forfeiture of any equity awards, in each case granted pursuant to any equity compensation plan described in the Prospectus).</w:t>
      </w:r>
    </w:p>
    <w:p>
      <w:pPr>
        <w:spacing w:after="0" w:line="188" w:lineRule="exact"/>
        <w:rPr>
          <w:rFonts w:ascii="Times New Roman" w:cs="Times New Roman" w:eastAsia="Times New Roman" w:hAnsi="Times New Roman"/>
          <w:sz w:val="18"/>
          <w:szCs w:val="18"/>
          <w:b w:val="1"/>
          <w:bCs w:val="1"/>
          <w:color w:val="auto"/>
        </w:rPr>
      </w:pPr>
    </w:p>
    <w:p>
      <w:pPr>
        <w:ind w:left="-987" w:firstLine="987"/>
        <w:spacing w:after="0" w:line="266" w:lineRule="auto"/>
        <w:tabs>
          <w:tab w:leader="none" w:pos="22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Capital Stock Matters</w:t>
      </w:r>
      <w:r>
        <w:rPr>
          <w:rFonts w:ascii="Times New Roman" w:cs="Times New Roman" w:eastAsia="Times New Roman" w:hAnsi="Times New Roman"/>
          <w:sz w:val="18"/>
          <w:szCs w:val="18"/>
          <w:color w:val="auto"/>
        </w:rPr>
        <w:t>. The authorized capital stock of the Company conforms as to legal matters, in all material respects, to the description thereof contained in each of the Registration Statement and the Prospectus. The shares of Common Stock outstanding prior to the issuance of the Placement Shares have been duly authorized and are validly issued, fully paid and non-assessable.</w:t>
      </w:r>
    </w:p>
    <w:p>
      <w:pPr>
        <w:spacing w:after="0" w:line="175" w:lineRule="exact"/>
        <w:rPr>
          <w:rFonts w:ascii="Times New Roman" w:cs="Times New Roman" w:eastAsia="Times New Roman" w:hAnsi="Times New Roman"/>
          <w:sz w:val="18"/>
          <w:szCs w:val="18"/>
          <w:b w:val="1"/>
          <w:bCs w:val="1"/>
          <w:color w:val="auto"/>
        </w:rPr>
      </w:pPr>
    </w:p>
    <w:p>
      <w:pPr>
        <w:ind w:left="273" w:hanging="273"/>
        <w:spacing w:after="0"/>
        <w:tabs>
          <w:tab w:leader="none" w:pos="27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b w:val="1"/>
          <w:bCs w:val="1"/>
          <w:color w:val="auto"/>
        </w:rPr>
      </w:pPr>
    </w:p>
    <w:p>
      <w:pPr>
        <w:ind w:left="-987" w:right="80" w:firstLine="987"/>
        <w:spacing w:after="0" w:line="266" w:lineRule="auto"/>
        <w:tabs>
          <w:tab w:leader="none" w:pos="21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have been duly authorized and, when issued, delivered and paid for in accordance with the terms of this Agreement, will be validly issued, fully paid and non-assessable, and the issuance of the Placement Shares will not be subject to any preemptive or similar rights.</w:t>
      </w:r>
    </w:p>
    <w:p>
      <w:pPr>
        <w:spacing w:after="0" w:line="67" w:lineRule="exact"/>
        <w:rPr>
          <w:rFonts w:ascii="Times New Roman" w:cs="Times New Roman" w:eastAsia="Times New Roman" w:hAnsi="Times New Roman"/>
          <w:sz w:val="18"/>
          <w:szCs w:val="18"/>
          <w:b w:val="1"/>
          <w:bCs w:val="1"/>
          <w:color w:val="auto"/>
        </w:rPr>
      </w:pPr>
    </w:p>
    <w:p>
      <w:pPr>
        <w:ind w:left="-987" w:right="40" w:firstLine="987"/>
        <w:spacing w:after="0" w:line="261" w:lineRule="auto"/>
        <w:tabs>
          <w:tab w:leader="none" w:pos="31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 order of, or qualification with, any governmental body, agency or court is required for the performance by the Company of its obligations under this Agreement, except such as have been obtained or waived or may be required by the securities or Blue Sky laws of the various states or the rules and regulations of the Financial Industry Regulatory Authority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in connection with the offer and sale of the Shares.</w:t>
      </w:r>
    </w:p>
    <w:p>
      <w:pPr>
        <w:spacing w:after="0" w:line="179" w:lineRule="exact"/>
        <w:rPr>
          <w:rFonts w:ascii="Times New Roman" w:cs="Times New Roman" w:eastAsia="Times New Roman" w:hAnsi="Times New Roman"/>
          <w:sz w:val="18"/>
          <w:szCs w:val="18"/>
          <w:b w:val="1"/>
          <w:bCs w:val="1"/>
          <w:color w:val="auto"/>
        </w:rPr>
      </w:pPr>
    </w:p>
    <w:p>
      <w:pPr>
        <w:ind w:left="-987" w:right="60" w:firstLine="987"/>
        <w:spacing w:after="0" w:line="261" w:lineRule="auto"/>
        <w:tabs>
          <w:tab w:leader="none" w:pos="26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Except as have been described in each of the Registration Statement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Placement Shares registered pursuant to the Registration Statement.</w:t>
      </w:r>
    </w:p>
    <w:p>
      <w:pPr>
        <w:spacing w:after="0" w:line="179" w:lineRule="exact"/>
        <w:rPr>
          <w:rFonts w:ascii="Times New Roman" w:cs="Times New Roman" w:eastAsia="Times New Roman" w:hAnsi="Times New Roman"/>
          <w:sz w:val="18"/>
          <w:szCs w:val="18"/>
          <w:b w:val="1"/>
          <w:bCs w:val="1"/>
          <w:color w:val="auto"/>
        </w:rPr>
      </w:pPr>
    </w:p>
    <w:p>
      <w:pPr>
        <w:ind w:left="-987" w:firstLine="987"/>
        <w:spacing w:after="0" w:line="258" w:lineRule="auto"/>
        <w:tabs>
          <w:tab w:leader="none" w:pos="259"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Independent Public Accounting Firm</w:t>
      </w:r>
      <w:r>
        <w:rPr>
          <w:rFonts w:ascii="Times New Roman" w:cs="Times New Roman" w:eastAsia="Times New Roman" w:hAnsi="Times New Roman"/>
          <w:sz w:val="18"/>
          <w:szCs w:val="18"/>
          <w:color w:val="auto"/>
        </w:rPr>
        <w:t>. PricewaterhouseCoopers LLP,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r>
        <w:rPr>
          <w:rFonts w:ascii="Times New Roman" w:cs="Times New Roman" w:eastAsia="Times New Roman" w:hAnsi="Times New Roman"/>
          <w:sz w:val="18"/>
          <w:szCs w:val="18"/>
          <w:b w:val="1"/>
          <w:bCs w:val="1"/>
          <w:u w:val="single" w:color="auto"/>
          <w:color w:val="auto"/>
        </w:rPr>
        <w:t>PCAOB</w:t>
      </w:r>
      <w:r>
        <w:rPr>
          <w:rFonts w:ascii="Times New Roman" w:cs="Times New Roman" w:eastAsia="Times New Roman" w:hAnsi="Times New Roman"/>
          <w:sz w:val="18"/>
          <w:szCs w:val="18"/>
          <w:color w:val="auto"/>
        </w:rPr>
        <w:t>”).</w:t>
      </w:r>
    </w:p>
    <w:p>
      <w:pPr>
        <w:sectPr>
          <w:pgSz w:w="11900" w:h="16838" w:orient="portrait"/>
          <w:cols w:equalWidth="0" w:num="1">
            <w:col w:w="10013"/>
          </w:cols>
          <w:pgMar w:left="1427" w:top="270" w:right="459" w:bottom="1440" w:gutter="0" w:footer="0" w:header="0"/>
        </w:sectPr>
      </w:pPr>
    </w:p>
    <w:bookmarkStart w:id="13" w:name="page14"/>
    <w:bookmarkEnd w:id="13"/>
    <w:p>
      <w:pPr>
        <w:ind w:left="-987" w:right="40" w:firstLine="987"/>
        <w:spacing w:after="0" w:line="255" w:lineRule="auto"/>
        <w:tabs>
          <w:tab w:leader="none" w:pos="26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Enforceability of Agreements</w:t>
      </w:r>
      <w:r>
        <w:rPr>
          <w:rFonts w:ascii="Times New Roman" w:cs="Times New Roman" w:eastAsia="Times New Roman" w:hAnsi="Times New Roman"/>
          <w:sz w:val="18"/>
          <w:szCs w:val="18"/>
          <w:color w:val="auto"/>
        </w:rPr>
        <w:t>. All agreements between the Company and third parties expressly referenced in the Prospectus, other than such agreements that have expired by their terms or the termination of which is disclosed in documents filed by the Company on EDGAR,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88" w:lineRule="exact"/>
        <w:rPr>
          <w:rFonts w:ascii="Times New Roman" w:cs="Times New Roman" w:eastAsia="Times New Roman" w:hAnsi="Times New Roman"/>
          <w:sz w:val="18"/>
          <w:szCs w:val="18"/>
          <w:b w:val="1"/>
          <w:bCs w:val="1"/>
          <w:color w:val="auto"/>
        </w:rPr>
      </w:pPr>
    </w:p>
    <w:p>
      <w:pPr>
        <w:ind w:left="-987" w:firstLine="987"/>
        <w:spacing w:after="0" w:line="274" w:lineRule="auto"/>
        <w:tabs>
          <w:tab w:leader="none" w:pos="269"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No Litigation</w:t>
      </w:r>
      <w:r>
        <w:rPr>
          <w:rFonts w:ascii="Times New Roman" w:cs="Times New Roman" w:eastAsia="Times New Roman" w:hAnsi="Times New Roman"/>
          <w:sz w:val="17"/>
          <w:szCs w:val="17"/>
          <w:color w:val="auto"/>
        </w:rPr>
        <w:t>.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and the Prospectus or (ii) that are required to be described in the Registration Statement or the Prospectus and are not so described.</w:t>
      </w:r>
    </w:p>
    <w:p>
      <w:pPr>
        <w:spacing w:after="0" w:line="172" w:lineRule="exact"/>
        <w:rPr>
          <w:rFonts w:ascii="Times New Roman" w:cs="Times New Roman" w:eastAsia="Times New Roman" w:hAnsi="Times New Roman"/>
          <w:sz w:val="17"/>
          <w:szCs w:val="17"/>
          <w:b w:val="1"/>
          <w:bCs w:val="1"/>
          <w:color w:val="auto"/>
        </w:rPr>
      </w:pPr>
    </w:p>
    <w:p>
      <w:pPr>
        <w:ind w:left="-987" w:right="60" w:firstLine="987"/>
        <w:spacing w:after="0" w:line="255" w:lineRule="auto"/>
        <w:tabs>
          <w:tab w:leader="none" w:pos="2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Consents and Permits</w:t>
      </w:r>
      <w:r>
        <w:rPr>
          <w:rFonts w:ascii="Times New Roman" w:cs="Times New Roman" w:eastAsia="Times New Roman" w:hAnsi="Times New Roman"/>
          <w:sz w:val="18"/>
          <w:szCs w:val="18"/>
          <w:color w:val="auto"/>
        </w:rPr>
        <w:t>. The Company and each of its subsidiaries possess all certificates, authorizations and permits issued by the appropriate federal, state or foreign regulatory authorities necessary to conduct their respective businesses, including without limitation from the Regulatory Authorities (as defined below), except for such certificates, authorizations and permits the failure of which to possess would not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that, singly or in the aggregate, if the subject of an unfavorable decision, ruling or finding, would reasonably be expected to have a Material Adverse Effect on the Company and its subsidiaries, taken as a whole.</w:t>
      </w:r>
    </w:p>
    <w:p>
      <w:pPr>
        <w:spacing w:after="0" w:line="188" w:lineRule="exact"/>
        <w:rPr>
          <w:rFonts w:ascii="Times New Roman" w:cs="Times New Roman" w:eastAsia="Times New Roman" w:hAnsi="Times New Roman"/>
          <w:sz w:val="18"/>
          <w:szCs w:val="18"/>
          <w:b w:val="1"/>
          <w:bCs w:val="1"/>
          <w:color w:val="auto"/>
        </w:rPr>
      </w:pPr>
    </w:p>
    <w:p>
      <w:pPr>
        <w:ind w:left="-987" w:right="200" w:firstLine="987"/>
        <w:spacing w:after="0" w:line="261" w:lineRule="auto"/>
        <w:tabs>
          <w:tab w:leader="none" w:pos="239"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Compliance with Regulatory Authorities</w:t>
      </w:r>
      <w:r>
        <w:rPr>
          <w:rFonts w:ascii="Times New Roman" w:cs="Times New Roman" w:eastAsia="Times New Roman" w:hAnsi="Times New Roman"/>
          <w:sz w:val="18"/>
          <w:szCs w:val="18"/>
          <w:color w:val="auto"/>
        </w:rPr>
        <w:t>. The Company has operated at all times and is currently in material compliance, with all applicable statutes, rules, regulations and policies of the U.S.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the U.S. Department of Health and Human Services (“</w:t>
      </w:r>
      <w:r>
        <w:rPr>
          <w:rFonts w:ascii="Times New Roman" w:cs="Times New Roman" w:eastAsia="Times New Roman" w:hAnsi="Times New Roman"/>
          <w:sz w:val="18"/>
          <w:szCs w:val="18"/>
          <w:b w:val="1"/>
          <w:bCs w:val="1"/>
          <w:u w:val="single" w:color="auto"/>
          <w:color w:val="auto"/>
        </w:rPr>
        <w:t>HHS</w:t>
      </w:r>
      <w:r>
        <w:rPr>
          <w:rFonts w:ascii="Times New Roman" w:cs="Times New Roman" w:eastAsia="Times New Roman" w:hAnsi="Times New Roman"/>
          <w:sz w:val="18"/>
          <w:szCs w:val="18"/>
          <w:color w:val="auto"/>
        </w:rPr>
        <w:t>”) and applicable foreign regulatory authorities, including the European Medicines Agency (collectively, the “</w:t>
      </w:r>
      <w:r>
        <w:rPr>
          <w:rFonts w:ascii="Times New Roman" w:cs="Times New Roman" w:eastAsia="Times New Roman" w:hAnsi="Times New Roman"/>
          <w:sz w:val="18"/>
          <w:szCs w:val="18"/>
          <w:b w:val="1"/>
          <w:bCs w:val="1"/>
          <w:u w:val="single" w:color="auto"/>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Authorities</w:t>
      </w:r>
      <w:r>
        <w:rPr>
          <w:rFonts w:ascii="Times New Roman" w:cs="Times New Roman" w:eastAsia="Times New Roman" w:hAnsi="Times New Roman"/>
          <w:sz w:val="18"/>
          <w:szCs w:val="18"/>
          <w:color w:val="auto"/>
        </w:rPr>
        <w:t>”), including, without limitation:</w:t>
      </w:r>
    </w:p>
    <w:p>
      <w:pPr>
        <w:spacing w:after="0" w:line="72" w:lineRule="exact"/>
        <w:rPr>
          <w:sz w:val="20"/>
          <w:szCs w:val="20"/>
          <w:color w:val="auto"/>
        </w:rPr>
      </w:pPr>
    </w:p>
    <w:p>
      <w:pPr>
        <w:ind w:left="213" w:hanging="213"/>
        <w:spacing w:after="0"/>
        <w:tabs>
          <w:tab w:leader="none" w:pos="21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Food, Drug, and Cosmetic Act and the regulations promulgated thereunder;</w:t>
      </w:r>
    </w:p>
    <w:p>
      <w:pPr>
        <w:sectPr>
          <w:pgSz w:w="11900" w:h="16838" w:orient="portrait"/>
          <w:cols w:equalWidth="0" w:num="1">
            <w:col w:w="9993"/>
          </w:cols>
          <w:pgMar w:left="1427" w:top="270" w:right="479" w:bottom="1440" w:gutter="0" w:footer="0" w:header="0"/>
        </w:sectPr>
      </w:pPr>
    </w:p>
    <w:bookmarkStart w:id="14" w:name="page15"/>
    <w:bookmarkEnd w:id="14"/>
    <w:p>
      <w:pPr>
        <w:ind w:left="984" w:firstLine="7"/>
        <w:spacing w:after="0" w:line="253" w:lineRule="auto"/>
        <w:tabs>
          <w:tab w:leader="none" w:pos="124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w:t>
      </w:r>
      <w:r>
        <w:rPr>
          <w:rFonts w:ascii="Times New Roman" w:cs="Times New Roman" w:eastAsia="Times New Roman" w:hAnsi="Times New Roman"/>
          <w:sz w:val="18"/>
          <w:szCs w:val="18"/>
          <w:b w:val="1"/>
          <w:bCs w:val="1"/>
          <w:u w:val="single" w:color="auto"/>
          <w:color w:val="auto"/>
        </w:rPr>
        <w:t>HIPAA</w:t>
      </w:r>
      <w:r>
        <w:rPr>
          <w:rFonts w:ascii="Times New Roman" w:cs="Times New Roman" w:eastAsia="Times New Roman" w:hAnsi="Times New Roman"/>
          <w:sz w:val="18"/>
          <w:szCs w:val="18"/>
          <w:color w:val="auto"/>
        </w:rPr>
        <w:t>”) (42 U.S.C. Section 1320d et seq.), the exclusion laws, the statutes, regulations and directives of applicable government funded or sponsored healthcare programs, and the regulations promulgated pursuant to such statutes;</w:t>
      </w:r>
    </w:p>
    <w:p>
      <w:pPr>
        <w:spacing w:after="0" w:line="2" w:lineRule="exact"/>
        <w:rPr>
          <w:rFonts w:ascii="Times New Roman" w:cs="Times New Roman" w:eastAsia="Times New Roman" w:hAnsi="Times New Roman"/>
          <w:sz w:val="18"/>
          <w:szCs w:val="18"/>
          <w:b w:val="1"/>
          <w:bCs w:val="1"/>
          <w:color w:val="auto"/>
        </w:rPr>
      </w:pPr>
    </w:p>
    <w:p>
      <w:pPr>
        <w:jc w:val="both"/>
        <w:ind w:left="984" w:right="100" w:firstLine="7"/>
        <w:spacing w:after="0" w:line="253" w:lineRule="auto"/>
        <w:tabs>
          <w:tab w:leader="none" w:pos="129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applicable state or non-U.S. counterpart thereof or any other applicable law or regulation the purpose of which is to protect the privacy of individuals or prescribers;</w:t>
      </w:r>
    </w:p>
    <w:p>
      <w:pPr>
        <w:spacing w:after="0" w:line="80" w:lineRule="exact"/>
        <w:rPr>
          <w:rFonts w:ascii="Times New Roman" w:cs="Times New Roman" w:eastAsia="Times New Roman" w:hAnsi="Times New Roman"/>
          <w:sz w:val="18"/>
          <w:szCs w:val="18"/>
          <w:b w:val="1"/>
          <w:bCs w:val="1"/>
          <w:color w:val="auto"/>
        </w:rPr>
      </w:pPr>
    </w:p>
    <w:p>
      <w:pPr>
        <w:ind w:left="984" w:right="300" w:firstLine="7"/>
        <w:spacing w:after="0" w:line="282" w:lineRule="auto"/>
        <w:tabs>
          <w:tab w:leader="none" w:pos="128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and the regulations promulgated thereunder;</w:t>
      </w:r>
    </w:p>
    <w:p>
      <w:pPr>
        <w:spacing w:after="0" w:line="53"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117" w:lineRule="exact"/>
        <w:rPr>
          <w:rFonts w:ascii="Times New Roman" w:cs="Times New Roman" w:eastAsia="Times New Roman" w:hAnsi="Times New Roman"/>
          <w:sz w:val="18"/>
          <w:szCs w:val="18"/>
          <w:b w:val="1"/>
          <w:bCs w:val="1"/>
          <w:color w:val="auto"/>
        </w:rPr>
      </w:pPr>
    </w:p>
    <w:p>
      <w:pPr>
        <w:jc w:val="both"/>
        <w:ind w:left="984" w:right="240" w:firstLine="7"/>
        <w:spacing w:after="0" w:line="261" w:lineRule="auto"/>
        <w:tabs>
          <w:tab w:leader="none" w:pos="128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 (i) through (viii), collectively, “</w:t>
      </w:r>
      <w:r>
        <w:rPr>
          <w:rFonts w:ascii="Times New Roman" w:cs="Times New Roman" w:eastAsia="Times New Roman" w:hAnsi="Times New Roman"/>
          <w:sz w:val="18"/>
          <w:szCs w:val="18"/>
          <w:b w:val="1"/>
          <w:bCs w:val="1"/>
          <w:u w:val="single" w:color="auto"/>
          <w:color w:val="auto"/>
        </w:rPr>
        <w:t>Health Care Laws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80" w:firstLine="987"/>
        <w:spacing w:after="0" w:line="251" w:lineRule="auto"/>
        <w:tabs>
          <w:tab w:leader="none" w:pos="12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(i) To its knowledge, the Company and its Subsidiaries own, have a license to use, or otherwise possess sufficient rights to all patents, inventions, copyrights, know how (including trade secrets and other unpatented and/or unpatentable proprietary or confidential information, systems or procedures), trademarks, service marks and trade names and all other worldwide intellectual property and proprietary rights (including all registrations and applications for registration of, and all goodwill associated with, any of the foregoing)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Property Rights</w:t>
      </w:r>
      <w:r>
        <w:rPr>
          <w:rFonts w:ascii="Times New Roman" w:cs="Times New Roman" w:eastAsia="Times New Roman" w:hAnsi="Times New Roman"/>
          <w:sz w:val="18"/>
          <w:szCs w:val="18"/>
          <w:color w:val="auto"/>
        </w:rPr>
        <w:t>”) used in or that would reasonably be expected to be material to the conduct of their respective businesses as now conducted by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as currently proposed to be conducted in the Registration Statement or the Prospectus; (ii) other than as would not, singly or in the aggregate, reasonably be expected to have a Material Adverse Effect on the Company and its Subsidiaries, taken as a whole, or as described in the Registration Statement or the Prospectus, (A) the Intellectual Property Rights owned, and to the Company’s knowledge, licensed by the Company and its Subsidiaries are valid, subsisting and enforceable, and (B) there is no pending or, to the Company’s knowledge, threatened action, suit, proceeding or claim by others challenging the validity, scope or enforceability of or any rights of the Company or any of its Subsidiaries in, any such Intellectual Property Rights; (iii) other than as described in the Registration Statement or the Prospectus, neither the Company nor any of its Subsidiaries has received any notice alleging any infringement, misappropriation or other violation of Intellectual Property Rights of any third party which, singly or in the aggregate, if the subject of an unfavorable decision, ruling or finding, would have a Material Adverse Effect on the Company and its Subsidiaries, taken as a whole; (iv) to the Company’s knowledge, no Person (as defined in Section 6(ww)) is infringing, misappropriating or otherwise violating, or has infringed, misappropriated or otherwise violated, any Intellectual Property Rights owned or licensed by the Company or any of its Subsidiaries;</w:t>
      </w:r>
    </w:p>
    <w:p>
      <w:pPr>
        <w:spacing w:after="0" w:line="11" w:lineRule="exact"/>
        <w:rPr>
          <w:rFonts w:ascii="Times New Roman" w:cs="Times New Roman" w:eastAsia="Times New Roman" w:hAnsi="Times New Roman"/>
          <w:sz w:val="18"/>
          <w:szCs w:val="18"/>
          <w:b w:val="1"/>
          <w:bCs w:val="1"/>
          <w:color w:val="auto"/>
        </w:rPr>
      </w:pPr>
    </w:p>
    <w:p>
      <w:pPr>
        <w:ind w:left="4" w:right="40" w:hanging="4"/>
        <w:spacing w:after="0" w:line="251"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would not, singly or in the aggregate, reasonably be expected to have a Material Adverse Effect on the Company and its Subsidiaries, taken as a whole, or as described in the Registration Statement or the Prospectus, to the Company’s knowledge, neither the Company nor any of its Subsidiaries infringes, misappropriates or otherwise violates, or has infringed, misappropriated or otherwise violated, any Intellectual Property Rights of any Person, and the conduct of each of the respective businesses of, the Company and its Subsidiaries as described in the Registration Statement or the Prospectus does not infringe, misappropriate, or otherwise violate any Intellectual Property Rights of any Person; (vi) to the Company’s knowledge, the Company and its Subsidiaries have taken reasonable steps necessary to secure its respective interests in Intellectual Property Rights, by the execution of appropriate confidentiality agreements and invention assignment agreements, from the Company’s and its Subsidiaries’ employees or contractors engaged in the development of Intellectual Property Rights on behalf of the Company or any of its Subsidiaries and to the Company’s knowledge no such agreement has been breached or violated; and (vii) the Company and its Subsidiaries use, and have used, commercially reasonable efforts to appropriately maintain the confidentiality of all information intended to be maintained as a trade secret.</w:t>
      </w:r>
    </w:p>
    <w:p>
      <w:pPr>
        <w:sectPr>
          <w:pgSz w:w="11900" w:h="16838" w:orient="portrait"/>
          <w:cols w:equalWidth="0" w:num="1">
            <w:col w:w="11024"/>
          </w:cols>
          <w:pgMar w:left="436" w:top="270" w:right="439" w:bottom="1440" w:gutter="0" w:footer="0" w:header="0"/>
        </w:sectPr>
      </w:pPr>
    </w:p>
    <w:bookmarkStart w:id="15" w:name="page16"/>
    <w:bookmarkEnd w:id="15"/>
    <w:p>
      <w:pPr>
        <w:ind w:left="-987" w:firstLine="987"/>
        <w:spacing w:after="0" w:line="253" w:lineRule="auto"/>
        <w:tabs>
          <w:tab w:leader="none" w:pos="26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Clinical Studies</w:t>
      </w:r>
      <w:r>
        <w:rPr>
          <w:rFonts w:ascii="Times New Roman" w:cs="Times New Roman" w:eastAsia="Times New Roman" w:hAnsi="Times New Roman"/>
          <w:sz w:val="18"/>
          <w:szCs w:val="18"/>
          <w:color w:val="auto"/>
        </w:rPr>
        <w:t>. (i) The studies, tests and preclinical and clinical trials conducted by or on behalf of or sponsored by the Company or in which the Company has participated, were, and if still pending are, to the knowledge of the Company, being conducted in all material respects in accordance with standard medical and experimental protocols, procedures and controls pursuant to accepted professional scientific research standards and procedures and all applicable Health Care Laws, the rules and regulations of the Regulatory Authorities and current Good Clinical Practices and Good Laboratory Practices; (ii) the descriptions of the results of such studies and trials contained in the Registration Statement or the Prospectus are accurate and complete in all material respects and fairly present the data derived from such trials and studies; (iii) the Company has no knowledge of any other studies or trials not described in the Registration Statement and the Prospectus, the results of which are materially inconsistent with or call into question the results described or referred to in the Registration Statement and the Prospectus; and (iv) the Company has not received any written notices, correspondence or other communications from any Regulatory Authority or any other governmental entity requiring or threatening the termination, modification or suspension of any studies or trials that are described in the Registration Statement and the Prospectus or the results of which are referred to in the Registration Statement the Prospectus, other than such notices, correspondence or other communications that have been described in each of the Registration Statement and the Prospectus, and, to the Company’s knowledge, there are no reasonable grounds for the same.</w:t>
      </w:r>
    </w:p>
    <w:p>
      <w:pPr>
        <w:spacing w:after="0" w:line="81" w:lineRule="exact"/>
        <w:rPr>
          <w:rFonts w:ascii="Times New Roman" w:cs="Times New Roman" w:eastAsia="Times New Roman" w:hAnsi="Times New Roman"/>
          <w:sz w:val="18"/>
          <w:szCs w:val="18"/>
          <w:b w:val="1"/>
          <w:bCs w:val="1"/>
          <w:color w:val="auto"/>
        </w:rPr>
      </w:pPr>
    </w:p>
    <w:p>
      <w:pPr>
        <w:ind w:left="-987" w:right="80" w:firstLine="987"/>
        <w:spacing w:after="0" w:line="252" w:lineRule="auto"/>
        <w:tabs>
          <w:tab w:leader="none" w:pos="25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Compliance with Health Care Laws</w:t>
      </w:r>
      <w:r>
        <w:rPr>
          <w:rFonts w:ascii="Times New Roman" w:cs="Times New Roman" w:eastAsia="Times New Roman" w:hAnsi="Times New Roman"/>
          <w:sz w:val="18"/>
          <w:szCs w:val="18"/>
          <w:color w:val="auto"/>
        </w:rPr>
        <w:t>. (i) The Company has filed, obtained,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in all material respects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197" w:lineRule="exact"/>
        <w:rPr>
          <w:rFonts w:ascii="Times New Roman" w:cs="Times New Roman" w:eastAsia="Times New Roman" w:hAnsi="Times New Roman"/>
          <w:sz w:val="18"/>
          <w:szCs w:val="18"/>
          <w:b w:val="1"/>
          <w:bCs w:val="1"/>
          <w:color w:val="auto"/>
        </w:rPr>
      </w:pPr>
    </w:p>
    <w:p>
      <w:pPr>
        <w:ind w:left="-987" w:firstLine="987"/>
        <w:spacing w:after="0" w:line="253" w:lineRule="auto"/>
        <w:tabs>
          <w:tab w:leader="none" w:pos="29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each of its Subsidiaries have filed all federal, state, local and foreign tax returns required by law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pay would not, singly or in the aggregate,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that has not been fully paid or otherwise resolved nor has the Company or any of its subsidiaries received written notice of any tax deficiency which could reasonably be expected to be determined adversely to the Company or its subsidiaries except, in each case, for such tax deficiencies that would not, singly or in the aggregate, reasonably be expected to have a material adverse effect on the Company and its Subsidiaries, taken as a whole.</w:t>
      </w:r>
    </w:p>
    <w:p>
      <w:pPr>
        <w:spacing w:after="0" w:line="194" w:lineRule="exact"/>
        <w:rPr>
          <w:rFonts w:ascii="Times New Roman" w:cs="Times New Roman" w:eastAsia="Times New Roman" w:hAnsi="Times New Roman"/>
          <w:sz w:val="18"/>
          <w:szCs w:val="18"/>
          <w:b w:val="1"/>
          <w:bCs w:val="1"/>
          <w:color w:val="auto"/>
        </w:rPr>
      </w:pPr>
    </w:p>
    <w:p>
      <w:pPr>
        <w:ind w:left="-987" w:right="60" w:firstLine="987"/>
        <w:spacing w:after="0" w:line="256" w:lineRule="auto"/>
        <w:tabs>
          <w:tab w:leader="none" w:pos="259"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The Company and each of its Subsidiaries have good and marketable title in fee simple to all real property and good and marketable title to all personal property owned by them that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ectPr>
          <w:pgSz w:w="11900" w:h="16838" w:orient="portrait"/>
          <w:cols w:equalWidth="0" w:num="1">
            <w:col w:w="10013"/>
          </w:cols>
          <w:pgMar w:left="1427" w:top="270" w:right="459" w:bottom="1440" w:gutter="0" w:footer="0" w:header="0"/>
        </w:sectPr>
      </w:pPr>
    </w:p>
    <w:bookmarkStart w:id="16" w:name="page17"/>
    <w:bookmarkEnd w:id="16"/>
    <w:p>
      <w:pPr>
        <w:ind w:left="-987" w:firstLine="987"/>
        <w:spacing w:after="0" w:line="253" w:lineRule="auto"/>
        <w:tabs>
          <w:tab w:leader="none" w:pos="25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Environmental Laws</w:t>
      </w:r>
      <w:r>
        <w:rPr>
          <w:rFonts w:ascii="Times New Roman" w:cs="Times New Roman" w:eastAsia="Times New Roman" w:hAnsi="Times New Roman"/>
          <w:sz w:val="18"/>
          <w:szCs w:val="18"/>
          <w:color w:val="auto"/>
        </w:rPr>
        <w:t>.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194" w:lineRule="exact"/>
        <w:rPr>
          <w:rFonts w:ascii="Times New Roman" w:cs="Times New Roman" w:eastAsia="Times New Roman" w:hAnsi="Times New Roman"/>
          <w:sz w:val="18"/>
          <w:szCs w:val="18"/>
          <w:b w:val="1"/>
          <w:bCs w:val="1"/>
          <w:color w:val="auto"/>
        </w:rPr>
      </w:pPr>
    </w:p>
    <w:p>
      <w:pPr>
        <w:ind w:left="-987" w:right="20" w:firstLine="987"/>
        <w:spacing w:after="0" w:line="253" w:lineRule="auto"/>
        <w:tabs>
          <w:tab w:leader="none" w:pos="24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each of its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Since the end of the Company’s most recent audited fiscal year, other than as described in the Registration Statement and the Prospectus,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spacing w:after="0" w:line="86" w:lineRule="exact"/>
        <w:rPr>
          <w:sz w:val="20"/>
          <w:szCs w:val="20"/>
          <w:color w:val="auto"/>
        </w:rPr>
      </w:pPr>
    </w:p>
    <w:p>
      <w:pPr>
        <w:ind w:left="-987" w:right="60" w:firstLine="987"/>
        <w:spacing w:after="0" w:line="261" w:lineRule="auto"/>
        <w:tabs>
          <w:tab w:leader="none" w:pos="34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reasonably be expected to have a Material Adverse Effect on the Company and its Subsidiaries, taken as a whole.</w:t>
      </w:r>
    </w:p>
    <w:p>
      <w:pPr>
        <w:spacing w:after="0" w:line="179" w:lineRule="exact"/>
        <w:rPr>
          <w:rFonts w:ascii="Times New Roman" w:cs="Times New Roman" w:eastAsia="Times New Roman" w:hAnsi="Times New Roman"/>
          <w:sz w:val="18"/>
          <w:szCs w:val="18"/>
          <w:b w:val="1"/>
          <w:bCs w:val="1"/>
          <w:color w:val="auto"/>
        </w:rPr>
      </w:pPr>
    </w:p>
    <w:p>
      <w:pPr>
        <w:ind w:left="-987" w:right="40" w:firstLine="987"/>
        <w:spacing w:after="0" w:line="266" w:lineRule="auto"/>
        <w:tabs>
          <w:tab w:leader="none" w:pos="36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after giving effect to the offering and sale of the Placement Shares and the application of the proceeds thereof as described in the Prospectus will not be, required to register as an “investment company” as such term is defined in the Investment Company Act of 1940, as amended (the “</w:t>
      </w:r>
      <w:r>
        <w:rPr>
          <w:rFonts w:ascii="Times New Roman" w:cs="Times New Roman" w:eastAsia="Times New Roman" w:hAnsi="Times New Roman"/>
          <w:sz w:val="18"/>
          <w:szCs w:val="18"/>
          <w:b w:val="1"/>
          <w:bCs w:val="1"/>
          <w:u w:val="single" w:color="auto"/>
          <w:color w:val="auto"/>
        </w:rPr>
        <w:t>Investment Company Act</w:t>
      </w:r>
      <w:r>
        <w:rPr>
          <w:rFonts w:ascii="Times New Roman" w:cs="Times New Roman" w:eastAsia="Times New Roman" w:hAnsi="Times New Roman"/>
          <w:sz w:val="18"/>
          <w:szCs w:val="18"/>
          <w:color w:val="auto"/>
        </w:rPr>
        <w:t>”).</w:t>
      </w:r>
    </w:p>
    <w:p>
      <w:pPr>
        <w:sectPr>
          <w:pgSz w:w="11900" w:h="16838" w:orient="portrait"/>
          <w:cols w:equalWidth="0" w:num="1">
            <w:col w:w="10013"/>
          </w:cols>
          <w:pgMar w:left="1427" w:top="270" w:right="459" w:bottom="1440" w:gutter="0" w:footer="0" w:header="0"/>
        </w:sectPr>
      </w:pPr>
    </w:p>
    <w:bookmarkStart w:id="17" w:name="page18"/>
    <w:bookmarkEnd w:id="17"/>
    <w:p>
      <w:pPr>
        <w:ind w:left="-987" w:firstLine="987"/>
        <w:spacing w:after="0" w:line="254" w:lineRule="auto"/>
        <w:tabs>
          <w:tab w:leader="none" w:pos="32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Operations</w:t>
      </w:r>
      <w:r>
        <w:rPr>
          <w:rFonts w:ascii="Times New Roman" w:cs="Times New Roman" w:eastAsia="Times New Roman" w:hAnsi="Times New Roman"/>
          <w:sz w:val="18"/>
          <w:szCs w:val="18"/>
          <w:color w:val="auto"/>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91" w:lineRule="exact"/>
        <w:rPr>
          <w:rFonts w:ascii="Times New Roman" w:cs="Times New Roman" w:eastAsia="Times New Roman" w:hAnsi="Times New Roman"/>
          <w:sz w:val="18"/>
          <w:szCs w:val="18"/>
          <w:b w:val="1"/>
          <w:bCs w:val="1"/>
          <w:color w:val="auto"/>
        </w:rPr>
      </w:pPr>
    </w:p>
    <w:p>
      <w:pPr>
        <w:ind w:left="-987" w:firstLine="987"/>
        <w:spacing w:after="0" w:line="256" w:lineRule="auto"/>
        <w:tabs>
          <w:tab w:leader="none" w:pos="36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of its Subsidiaries are insured by insurers of recognized financial responsibility against such losses and risks and in such amounts as are reasonably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spacing w:after="0" w:line="187" w:lineRule="exact"/>
        <w:rPr>
          <w:rFonts w:ascii="Times New Roman" w:cs="Times New Roman" w:eastAsia="Times New Roman" w:hAnsi="Times New Roman"/>
          <w:sz w:val="18"/>
          <w:szCs w:val="18"/>
          <w:b w:val="1"/>
          <w:bCs w:val="1"/>
          <w:color w:val="auto"/>
        </w:rPr>
      </w:pPr>
    </w:p>
    <w:p>
      <w:pPr>
        <w:ind w:left="-987" w:right="40" w:firstLine="987"/>
        <w:spacing w:after="0" w:line="252" w:lineRule="auto"/>
        <w:tabs>
          <w:tab w:leader="none" w:pos="32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Improper Practices</w:t>
      </w:r>
      <w:r>
        <w:rPr>
          <w:rFonts w:ascii="Times New Roman" w:cs="Times New Roman" w:eastAsia="Times New Roman" w:hAnsi="Times New Roman"/>
          <w:sz w:val="18"/>
          <w:szCs w:val="18"/>
          <w:color w:val="auto"/>
        </w:rPr>
        <w:t>. (i) None of the Company or any of its subsidiaries or Controlled Affiliates, or any director, officer, or employee thereof, or, to the Company’s knowledge, any affiliate (within the meaning of Rule 405 under the Securities Act) of the Company other than its Controlled Affiliates,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or from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u w:val="single" w:color="auto"/>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Subsidiaries and Controlled Affiliates, and, to the Company’s knowledge, the Company’s affiliates (within the meaning of Rule 405 under the Securities Act) other than its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A “</w:t>
      </w:r>
      <w:r>
        <w:rPr>
          <w:rFonts w:ascii="Times New Roman" w:cs="Times New Roman" w:eastAsia="Times New Roman" w:hAnsi="Times New Roman"/>
          <w:sz w:val="18"/>
          <w:szCs w:val="18"/>
          <w:b w:val="1"/>
          <w:bCs w:val="1"/>
          <w:color w:val="auto"/>
        </w:rPr>
        <w:t>Controlled Affiliate</w:t>
      </w:r>
      <w:r>
        <w:rPr>
          <w:rFonts w:ascii="Times New Roman" w:cs="Times New Roman" w:eastAsia="Times New Roman" w:hAnsi="Times New Roman"/>
          <w:sz w:val="18"/>
          <w:szCs w:val="18"/>
          <w:color w:val="auto"/>
        </w:rPr>
        <w:t>” means any entity controlled by the Company.</w:t>
      </w:r>
    </w:p>
    <w:p>
      <w:pPr>
        <w:sectPr>
          <w:pgSz w:w="11900" w:h="16838" w:orient="portrait"/>
          <w:cols w:equalWidth="0" w:num="1">
            <w:col w:w="10013"/>
          </w:cols>
          <w:pgMar w:left="1427" w:top="270" w:right="459" w:bottom="1440" w:gutter="0" w:footer="0" w:header="0"/>
        </w:sectPr>
      </w:pPr>
    </w:p>
    <w:bookmarkStart w:id="18" w:name="page19"/>
    <w:bookmarkEnd w:id="18"/>
    <w:p>
      <w:pPr>
        <w:ind w:left="-987" w:firstLine="987"/>
        <w:spacing w:after="0" w:line="282" w:lineRule="auto"/>
        <w:tabs>
          <w:tab w:leader="none" w:pos="28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57" w:lineRule="exact"/>
        <w:rPr>
          <w:rFonts w:ascii="Times New Roman" w:cs="Times New Roman" w:eastAsia="Times New Roman" w:hAnsi="Times New Roman"/>
          <w:sz w:val="18"/>
          <w:szCs w:val="18"/>
          <w:b w:val="1"/>
          <w:bCs w:val="1"/>
          <w:color w:val="auto"/>
        </w:rPr>
      </w:pPr>
    </w:p>
    <w:p>
      <w:pPr>
        <w:ind w:left="-987" w:right="100" w:firstLine="987"/>
        <w:spacing w:after="0" w:line="268" w:lineRule="auto"/>
        <w:tabs>
          <w:tab w:leader="none" w:pos="34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None of the Company, any of its subsidiaries, or any director, officer, or employee thereof, or, to the Company’s knowledge, any agent, affiliate (within the meaning of Rule 405 under the Securities Act) or representative of the Company or any of its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6" w:lineRule="exact"/>
        <w:rPr>
          <w:rFonts w:ascii="Times New Roman" w:cs="Times New Roman" w:eastAsia="Times New Roman" w:hAnsi="Times New Roman"/>
          <w:sz w:val="18"/>
          <w:szCs w:val="18"/>
          <w:b w:val="1"/>
          <w:bCs w:val="1"/>
          <w:color w:val="auto"/>
        </w:rPr>
      </w:pPr>
    </w:p>
    <w:p>
      <w:pPr>
        <w:ind w:left="-987" w:right="100" w:firstLine="1979"/>
        <w:spacing w:after="0" w:line="266" w:lineRule="auto"/>
        <w:tabs>
          <w:tab w:leader="none" w:pos="129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b w:val="1"/>
          <w:bCs w:val="1"/>
          <w:color w:val="auto"/>
        </w:rPr>
      </w:pPr>
    </w:p>
    <w:p>
      <w:pPr>
        <w:ind w:left="-987" w:right="440" w:firstLine="1979"/>
        <w:spacing w:after="0" w:line="266" w:lineRule="auto"/>
        <w:tabs>
          <w:tab w:leader="none" w:pos="128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Cuba, Iran, North Korea, Syria, the so-called Donetsk People’s Republic, the so-called Luhansk People’s Republic and the Crimea Region of the Ukraine).</w:t>
      </w:r>
    </w:p>
    <w:p>
      <w:pPr>
        <w:spacing w:after="0" w:line="175" w:lineRule="exact"/>
        <w:rPr>
          <w:rFonts w:ascii="Times New Roman" w:cs="Times New Roman" w:eastAsia="Times New Roman" w:hAnsi="Times New Roman"/>
          <w:sz w:val="18"/>
          <w:szCs w:val="18"/>
          <w:b w:val="1"/>
          <w:bCs w:val="1"/>
          <w:color w:val="auto"/>
        </w:rPr>
      </w:pPr>
    </w:p>
    <w:p>
      <w:pPr>
        <w:ind w:left="-987" w:right="300" w:firstLine="1428"/>
        <w:spacing w:after="0" w:line="282" w:lineRule="auto"/>
        <w:tabs>
          <w:tab w:leader="none" w:pos="70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b w:val="1"/>
          <w:bCs w:val="1"/>
          <w:color w:val="auto"/>
        </w:rPr>
      </w:pPr>
    </w:p>
    <w:p>
      <w:pPr>
        <w:ind w:left="-987" w:right="80" w:firstLine="1979"/>
        <w:spacing w:after="0" w:line="282" w:lineRule="auto"/>
        <w:tabs>
          <w:tab w:leader="none" w:pos="129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161" w:lineRule="exact"/>
        <w:rPr>
          <w:rFonts w:ascii="Times New Roman" w:cs="Times New Roman" w:eastAsia="Times New Roman" w:hAnsi="Times New Roman"/>
          <w:sz w:val="18"/>
          <w:szCs w:val="18"/>
          <w:b w:val="1"/>
          <w:bCs w:val="1"/>
          <w:color w:val="auto"/>
        </w:rPr>
      </w:pPr>
    </w:p>
    <w:p>
      <w:pPr>
        <w:ind w:left="-987" w:right="200" w:firstLine="1979"/>
        <w:spacing w:after="0" w:line="282" w:lineRule="auto"/>
        <w:tabs>
          <w:tab w:leader="none" w:pos="128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b w:val="1"/>
          <w:bCs w:val="1"/>
          <w:color w:val="auto"/>
        </w:rPr>
      </w:pPr>
    </w:p>
    <w:p>
      <w:pPr>
        <w:ind w:left="-987" w:right="160" w:firstLine="1428"/>
        <w:spacing w:after="0" w:line="266" w:lineRule="auto"/>
        <w:tabs>
          <w:tab w:leader="none" w:pos="75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b w:val="1"/>
          <w:bCs w:val="1"/>
          <w:color w:val="auto"/>
        </w:rPr>
      </w:pPr>
    </w:p>
    <w:p>
      <w:pPr>
        <w:ind w:left="-987" w:right="60" w:firstLine="987"/>
        <w:spacing w:after="0" w:line="266" w:lineRule="auto"/>
        <w:tabs>
          <w:tab w:leader="none" w:pos="36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The statistical, industry-related and market-related data included in each of the Registration Statement and the Prospectus are based on or derived from sources that the Company reasonably and in good faith believes are reliable and accurate and such data is consistent with the sources from which they are derived, in each case in all material respects.</w:t>
      </w:r>
    </w:p>
    <w:p>
      <w:pPr>
        <w:sectPr>
          <w:pgSz w:w="11900" w:h="16838" w:orient="portrait"/>
          <w:cols w:equalWidth="0" w:num="1">
            <w:col w:w="10033"/>
          </w:cols>
          <w:pgMar w:left="1427" w:top="270" w:right="439" w:bottom="1440" w:gutter="0" w:footer="0" w:header="0"/>
        </w:sectPr>
      </w:pPr>
    </w:p>
    <w:bookmarkStart w:id="19" w:name="page20"/>
    <w:bookmarkEnd w:id="19"/>
    <w:p>
      <w:pPr>
        <w:ind w:left="-987" w:right="20" w:firstLine="987"/>
        <w:spacing w:after="0" w:line="252" w:lineRule="auto"/>
        <w:tabs>
          <w:tab w:leader="none" w:pos="26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Cybersecurity</w:t>
      </w:r>
      <w:r>
        <w:rPr>
          <w:rFonts w:ascii="Times New Roman" w:cs="Times New Roman" w:eastAsia="Times New Roman" w:hAnsi="Times New Roman"/>
          <w:sz w:val="18"/>
          <w:szCs w:val="18"/>
          <w:color w:val="auto"/>
        </w:rPr>
        <w:t>. (i) The Company and its Subsidiaries’ respective information technology assets and equipment, computers, systems, networks, hardware, software, websites, applications, technology and databases owned by the Company and/or its Subsidiaries and/or used in connection with the operation of the Company’s and its subsidiaries’ respective businesses (“</w:t>
      </w:r>
      <w:r>
        <w:rPr>
          <w:rFonts w:ascii="Times New Roman" w:cs="Times New Roman" w:eastAsia="Times New Roman" w:hAnsi="Times New Roman"/>
          <w:sz w:val="18"/>
          <w:szCs w:val="18"/>
          <w:b w:val="1"/>
          <w:bCs w:val="1"/>
          <w:u w:val="single" w:color="auto"/>
          <w:color w:val="auto"/>
        </w:rPr>
        <w:t>IT Systems</w:t>
      </w:r>
      <w:r>
        <w:rPr>
          <w:rFonts w:ascii="Times New Roman" w:cs="Times New Roman" w:eastAsia="Times New Roman" w:hAnsi="Times New Roman"/>
          <w:sz w:val="18"/>
          <w:szCs w:val="18"/>
          <w:color w:val="auto"/>
        </w:rPr>
        <w:t>”) are reasonably adequate for, and operate and perform in all material respects as required in connection with, the operation of the business of the Company and its Subsidiaries as currently conducted, and to the Company’s knowledge, free and clear of all bugs, errors, defects, Trojan horses, time bombs, malware and other corruptants designed or intended to have any of the following functions: (A) disrupting, disabling, harming or otherwise impeding in any manner the operation of, or permitting or causing unauthorized access to, a system, network or other device or (B) damaging or destroying any data or file without the user’s consent; (ii) the Company and each of its subsidiaries have taken all commercially reasonable technical and organizational measures to protect the IT Systems (including Personal Data and the data and information of their respective customers, employees, suppliers, vendors and any third party data maintained, processed or stored by or on behalf of the Company and/or its subsidiaries (collectively, the “</w:t>
      </w:r>
      <w:r>
        <w:rPr>
          <w:rFonts w:ascii="Times New Roman" w:cs="Times New Roman" w:eastAsia="Times New Roman" w:hAnsi="Times New Roman"/>
          <w:sz w:val="18"/>
          <w:szCs w:val="18"/>
          <w:b w:val="1"/>
          <w:bCs w:val="1"/>
          <w:u w:val="single" w:color="auto"/>
          <w:color w:val="auto"/>
        </w:rPr>
        <w:t>IT Systems and Data</w:t>
      </w:r>
      <w:r>
        <w:rPr>
          <w:rFonts w:ascii="Times New Roman" w:cs="Times New Roman" w:eastAsia="Times New Roman" w:hAnsi="Times New Roman"/>
          <w:sz w:val="18"/>
          <w:szCs w:val="18"/>
          <w:color w:val="auto"/>
        </w:rPr>
        <w:t>”)), and without limiting the foregoing, the Company and its Subsidiaries have used commercially reasonable efforts to establish and maintain, and have established, maintained, implemented and complied with, in all material respects, commercially reasonable information technology, information security, cyber security and data protection controls, policies and procedures, such as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IT Systems and Data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and (iii) to the Company’s knowledge, there has been no material Breach that compromised the security or integrity of the IT Systems and Data, and the Company and its Subsidiaries have not been notified of, and have no knowledge of any event or condition that would reasonably be expected to result in, any such Breach.</w:t>
      </w:r>
    </w:p>
    <w:p>
      <w:pPr>
        <w:spacing w:after="0" w:line="191" w:lineRule="exact"/>
        <w:rPr>
          <w:rFonts w:ascii="Times New Roman" w:cs="Times New Roman" w:eastAsia="Times New Roman" w:hAnsi="Times New Roman"/>
          <w:sz w:val="18"/>
          <w:szCs w:val="18"/>
          <w:b w:val="1"/>
          <w:bCs w:val="1"/>
          <w:color w:val="auto"/>
        </w:rPr>
      </w:pPr>
    </w:p>
    <w:p>
      <w:pPr>
        <w:ind w:left="-987" w:firstLine="987"/>
        <w:spacing w:after="0" w:line="253" w:lineRule="auto"/>
        <w:tabs>
          <w:tab w:leader="none" w:pos="28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Except as would not, singly or in the aggregate, reasonably be expected to have a Material Adverse Effect on the Company and its Subsidiaries, taken as a whole, the Company and each of its subsidiaries have complied and are presently in compliance with the Company’s and its Subsidiaries’, as applicable, written privacy policies, contractual obligations and all applicable laws, statutes, judgments, orders, rules and regulations of any court or arbitrator or other governmental or regulatory authority and any other applicable legal obligations, in each case, relating to the collection, use, transfer, import, export, storage, protection, disposal and disclosure by the Company or any of its subsidiaries of personal, personally identifiable or household data or information (“</w:t>
      </w:r>
      <w:r>
        <w:rPr>
          <w:rFonts w:ascii="Times New Roman" w:cs="Times New Roman" w:eastAsia="Times New Roman" w:hAnsi="Times New Roman"/>
          <w:sz w:val="18"/>
          <w:szCs w:val="18"/>
          <w:b w:val="1"/>
          <w:bCs w:val="1"/>
          <w:u w:val="single" w:color="auto"/>
          <w:color w:val="auto"/>
        </w:rPr>
        <w:t>Data Security Obligations</w:t>
      </w:r>
      <w:r>
        <w:rPr>
          <w:rFonts w:ascii="Times New Roman" w:cs="Times New Roman" w:eastAsia="Times New Roman" w:hAnsi="Times New Roman"/>
          <w:sz w:val="18"/>
          <w:szCs w:val="18"/>
          <w:color w:val="auto"/>
        </w:rPr>
        <w:t>”, and such data and information, “</w:t>
      </w:r>
      <w:r>
        <w:rPr>
          <w:rFonts w:ascii="Times New Roman" w:cs="Times New Roman" w:eastAsia="Times New Roman" w:hAnsi="Times New Roman"/>
          <w:sz w:val="18"/>
          <w:szCs w:val="18"/>
          <w:b w:val="1"/>
          <w:bCs w:val="1"/>
          <w:u w:val="single" w:color="auto"/>
          <w:color w:val="auto"/>
        </w:rPr>
        <w:t>Personal Data</w:t>
      </w:r>
      <w:r>
        <w:rPr>
          <w:rFonts w:ascii="Times New Roman" w:cs="Times New Roman" w:eastAsia="Times New Roman" w:hAnsi="Times New Roman"/>
          <w:sz w:val="18"/>
          <w:szCs w:val="18"/>
          <w:color w:val="auto"/>
        </w:rPr>
        <w:t>”); (ii) the Company and its Subsidiaries have not received any notification of or complaint regarding and are unaware of any other facts that, individually or in the aggregate, would reasonably indicate material non-compliance with any applicable Data Security Obligation by the Company or any of its subsidiaries; and (iii) there is no action, suit or proceeding by or before any court or governmental agency, authority or body pending or, to the Company’s knowledge, threatened in writing alleging non-compliance with any applicable Data Security Obligation by the Company or any of its Subsidiaries.</w:t>
      </w:r>
    </w:p>
    <w:p>
      <w:pPr>
        <w:spacing w:after="0" w:line="191" w:lineRule="exact"/>
        <w:rPr>
          <w:rFonts w:ascii="Times New Roman" w:cs="Times New Roman" w:eastAsia="Times New Roman" w:hAnsi="Times New Roman"/>
          <w:sz w:val="18"/>
          <w:szCs w:val="18"/>
          <w:b w:val="1"/>
          <w:bCs w:val="1"/>
          <w:color w:val="auto"/>
        </w:rPr>
      </w:pPr>
    </w:p>
    <w:p>
      <w:pPr>
        <w:ind w:left="-987" w:right="40" w:firstLine="987"/>
        <w:spacing w:after="0" w:line="282" w:lineRule="auto"/>
        <w:tabs>
          <w:tab w:leader="none" w:pos="36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As of the date hereof, the Company is an “emerging growth company,” as defined in Section 2(a) of the Securities Act (an “</w:t>
      </w:r>
      <w:r>
        <w:rPr>
          <w:rFonts w:ascii="Times New Roman" w:cs="Times New Roman" w:eastAsia="Times New Roman" w:hAnsi="Times New Roman"/>
          <w:sz w:val="18"/>
          <w:szCs w:val="18"/>
          <w:b w:val="1"/>
          <w:bCs w:val="1"/>
          <w:u w:val="single" w:color="auto"/>
          <w:color w:val="auto"/>
        </w:rPr>
        <w:t>Emerging Growth Company</w:t>
      </w:r>
      <w:r>
        <w:rPr>
          <w:rFonts w:ascii="Times New Roman" w:cs="Times New Roman" w:eastAsia="Times New Roman" w:hAnsi="Times New Roman"/>
          <w:sz w:val="18"/>
          <w:szCs w:val="18"/>
          <w:color w:val="auto"/>
        </w:rPr>
        <w:t>”).</w:t>
      </w:r>
    </w:p>
    <w:p>
      <w:pPr>
        <w:sectPr>
          <w:pgSz w:w="11900" w:h="16838" w:orient="portrait"/>
          <w:cols w:equalWidth="0" w:num="1">
            <w:col w:w="10033"/>
          </w:cols>
          <w:pgMar w:left="1427" w:top="270" w:right="439" w:bottom="1440" w:gutter="0" w:footer="0" w:header="0"/>
        </w:sectPr>
      </w:pPr>
    </w:p>
    <w:bookmarkStart w:id="20" w:name="page21"/>
    <w:bookmarkEnd w:id="20"/>
    <w:p>
      <w:pPr>
        <w:ind w:left="-987" w:right="320" w:firstLine="987"/>
        <w:spacing w:after="0" w:line="282" w:lineRule="auto"/>
        <w:tabs>
          <w:tab w:leader="none" w:pos="26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Rated Securities</w:t>
      </w:r>
      <w:r>
        <w:rPr>
          <w:rFonts w:ascii="Times New Roman" w:cs="Times New Roman" w:eastAsia="Times New Roman" w:hAnsi="Times New Roman"/>
          <w:sz w:val="18"/>
          <w:szCs w:val="18"/>
          <w:color w:val="auto"/>
        </w:rPr>
        <w:t>. Neither the Company nor any of its subsidiaries, nor any Affiliate, has any securities rated by any “nationally recognized statistical rating organization,” as such term is defined in Section 3(a)(62) of the Exchange Act.</w:t>
      </w:r>
    </w:p>
    <w:p>
      <w:pPr>
        <w:spacing w:after="0" w:line="53" w:lineRule="exact"/>
        <w:rPr>
          <w:rFonts w:ascii="Times New Roman" w:cs="Times New Roman" w:eastAsia="Times New Roman" w:hAnsi="Times New Roman"/>
          <w:sz w:val="18"/>
          <w:szCs w:val="18"/>
          <w:b w:val="1"/>
          <w:bCs w:val="1"/>
          <w:color w:val="auto"/>
        </w:rPr>
      </w:pPr>
    </w:p>
    <w:p>
      <w:pPr>
        <w:ind w:left="-987" w:firstLine="987"/>
        <w:spacing w:after="0" w:line="256" w:lineRule="auto"/>
        <w:tabs>
          <w:tab w:leader="none" w:pos="46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At the time the Registration Statement was originally declared effective, and at the time the Company’s most recent Annual Report on Form 10-K was filed with the Commission, the Company met the then applicable requirements for the use of Form S-3 under the Securities Act, including, but not limited to, General Instruction I.B.1of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187" w:lineRule="exact"/>
        <w:rPr>
          <w:rFonts w:ascii="Times New Roman" w:cs="Times New Roman" w:eastAsia="Times New Roman" w:hAnsi="Times New Roman"/>
          <w:sz w:val="18"/>
          <w:szCs w:val="18"/>
          <w:b w:val="1"/>
          <w:bCs w:val="1"/>
          <w:color w:val="auto"/>
        </w:rPr>
      </w:pPr>
    </w:p>
    <w:p>
      <w:pPr>
        <w:ind w:left="-987" w:right="80" w:firstLine="987"/>
        <w:spacing w:after="0" w:line="266" w:lineRule="auto"/>
        <w:tabs>
          <w:tab w:leader="none" w:pos="36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The information provided to the Agent by the Company on behalf of the Company, and to the Company’s knowledge, its counsel, and its officers and directors, as applicable, for purposes of the Agent’s compliance with applicable FINRA rules in connection with the offering of the Placement Shares is true, complete, and correct and compliant with FINRA’s rules.</w:t>
      </w:r>
    </w:p>
    <w:p>
      <w:pPr>
        <w:spacing w:after="0" w:line="175" w:lineRule="exact"/>
        <w:rPr>
          <w:rFonts w:ascii="Times New Roman" w:cs="Times New Roman" w:eastAsia="Times New Roman" w:hAnsi="Times New Roman"/>
          <w:sz w:val="18"/>
          <w:szCs w:val="18"/>
          <w:b w:val="1"/>
          <w:bCs w:val="1"/>
          <w:color w:val="auto"/>
        </w:rPr>
      </w:pPr>
    </w:p>
    <w:p>
      <w:pPr>
        <w:ind w:left="-987" w:right="280" w:firstLine="987"/>
        <w:spacing w:after="0" w:line="256" w:lineRule="auto"/>
        <w:tabs>
          <w:tab w:leader="none" w:pos="34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Material Defaults</w:t>
      </w:r>
      <w:r>
        <w:rPr>
          <w:rFonts w:ascii="Times New Roman" w:cs="Times New Roman" w:eastAsia="Times New Roman" w:hAnsi="Times New Roman"/>
          <w:sz w:val="18"/>
          <w:szCs w:val="18"/>
          <w:color w:val="auto"/>
        </w:rPr>
        <w:t>. 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87" w:lineRule="exact"/>
        <w:rPr>
          <w:rFonts w:ascii="Times New Roman" w:cs="Times New Roman" w:eastAsia="Times New Roman" w:hAnsi="Times New Roman"/>
          <w:sz w:val="18"/>
          <w:szCs w:val="18"/>
          <w:b w:val="1"/>
          <w:bCs w:val="1"/>
          <w:color w:val="auto"/>
        </w:rPr>
      </w:pPr>
    </w:p>
    <w:p>
      <w:pPr>
        <w:ind w:left="-987" w:right="120" w:firstLine="987"/>
        <w:spacing w:after="0" w:line="261" w:lineRule="auto"/>
        <w:tabs>
          <w:tab w:leader="none" w:pos="36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Certain Market Activities</w:t>
      </w:r>
      <w:r>
        <w:rPr>
          <w:rFonts w:ascii="Times New Roman" w:cs="Times New Roman" w:eastAsia="Times New Roman" w:hAnsi="Times New Roman"/>
          <w:sz w:val="18"/>
          <w:szCs w:val="18"/>
          <w:color w:val="auto"/>
        </w:rPr>
        <w:t>. Neither the Company, nor any of the Subsidiaries, nor any of their respective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spacing w:after="0" w:line="179" w:lineRule="exact"/>
        <w:rPr>
          <w:rFonts w:ascii="Times New Roman" w:cs="Times New Roman" w:eastAsia="Times New Roman" w:hAnsi="Times New Roman"/>
          <w:sz w:val="18"/>
          <w:szCs w:val="18"/>
          <w:b w:val="1"/>
          <w:bCs w:val="1"/>
          <w:color w:val="auto"/>
        </w:rPr>
      </w:pPr>
    </w:p>
    <w:p>
      <w:pPr>
        <w:jc w:val="both"/>
        <w:ind w:left="-987" w:right="100" w:firstLine="987"/>
        <w:spacing w:after="0" w:line="266" w:lineRule="auto"/>
        <w:tabs>
          <w:tab w:leader="none" w:pos="36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5" w:lineRule="exact"/>
        <w:rPr>
          <w:rFonts w:ascii="Times New Roman" w:cs="Times New Roman" w:eastAsia="Times New Roman" w:hAnsi="Times New Roman"/>
          <w:sz w:val="18"/>
          <w:szCs w:val="18"/>
          <w:b w:val="1"/>
          <w:bCs w:val="1"/>
          <w:color w:val="auto"/>
        </w:rPr>
      </w:pPr>
    </w:p>
    <w:p>
      <w:pPr>
        <w:ind w:left="-987" w:right="280" w:firstLine="987"/>
        <w:spacing w:after="0" w:line="282" w:lineRule="auto"/>
        <w:tabs>
          <w:tab w:leader="none" w:pos="32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the Agent or legal counsel for the Agent for any legal, tax or accounting advice in connection with the offering and sale of the Placement Shares.</w:t>
      </w:r>
    </w:p>
    <w:p>
      <w:pPr>
        <w:spacing w:after="0" w:line="161" w:lineRule="exact"/>
        <w:rPr>
          <w:rFonts w:ascii="Times New Roman" w:cs="Times New Roman" w:eastAsia="Times New Roman" w:hAnsi="Times New Roman"/>
          <w:sz w:val="18"/>
          <w:szCs w:val="18"/>
          <w:b w:val="1"/>
          <w:bCs w:val="1"/>
          <w:color w:val="auto"/>
        </w:rPr>
      </w:pPr>
    </w:p>
    <w:p>
      <w:pPr>
        <w:ind w:left="-987" w:right="80" w:firstLine="987"/>
        <w:spacing w:after="0" w:line="255" w:lineRule="auto"/>
        <w:tabs>
          <w:tab w:leader="none" w:pos="30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ectPr>
          <w:pgSz w:w="11900" w:h="16838" w:orient="portrait"/>
          <w:cols w:equalWidth="0" w:num="1">
            <w:col w:w="9973"/>
          </w:cols>
          <w:pgMar w:left="1427" w:top="270" w:right="499" w:bottom="1440" w:gutter="0" w:footer="0" w:header="0"/>
        </w:sectPr>
      </w:pPr>
    </w:p>
    <w:bookmarkStart w:id="21" w:name="page22"/>
    <w:bookmarkEnd w:id="21"/>
    <w:p>
      <w:pPr>
        <w:ind w:firstLine="987"/>
        <w:spacing w:after="0" w:line="266" w:lineRule="auto"/>
        <w:tabs>
          <w:tab w:leader="none" w:pos="127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Finder’s Fees</w:t>
      </w:r>
      <w:r>
        <w:rPr>
          <w:rFonts w:ascii="Times New Roman" w:cs="Times New Roman" w:eastAsia="Times New Roman" w:hAnsi="Times New Roman"/>
          <w:sz w:val="18"/>
          <w:szCs w:val="18"/>
          <w:color w:val="auto"/>
        </w:rPr>
        <w:t>. Neither the Company nor any of the Subsidiaries has incurred any liability for any finder’s fees, brokerage commissions or similar payments in connection with the transactions herein contemplated, except as may otherwise exist with respect to the Agent pursuant to this Agreement.</w:t>
      </w:r>
    </w:p>
    <w:p>
      <w:pPr>
        <w:spacing w:after="0" w:line="175" w:lineRule="exact"/>
        <w:rPr>
          <w:rFonts w:ascii="Times New Roman" w:cs="Times New Roman" w:eastAsia="Times New Roman" w:hAnsi="Times New Roman"/>
          <w:sz w:val="18"/>
          <w:szCs w:val="18"/>
          <w:b w:val="1"/>
          <w:bCs w:val="1"/>
          <w:color w:val="auto"/>
        </w:rPr>
      </w:pPr>
    </w:p>
    <w:p>
      <w:pPr>
        <w:ind w:right="80" w:firstLine="987"/>
        <w:spacing w:after="0" w:line="256" w:lineRule="auto"/>
        <w:tabs>
          <w:tab w:leader="none" w:pos="135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Off-Balance Sheet Arrangements</w:t>
      </w:r>
      <w:r>
        <w:rPr>
          <w:rFonts w:ascii="Times New Roman" w:cs="Times New Roman" w:eastAsia="Times New Roman" w:hAnsi="Times New Roman"/>
          <w:sz w:val="18"/>
          <w:szCs w:val="18"/>
          <w:color w:val="auto"/>
        </w:rPr>
        <w:t>. There are no transactions, arrangements and other relationships between and/or among the Company, and/or any of its affiliates and any unconsolidated entity, including, but not limited to, any structured finance, special purpose or limited purpose entity (each, an “</w:t>
      </w:r>
      <w:r>
        <w:rPr>
          <w:rFonts w:ascii="Times New Roman" w:cs="Times New Roman" w:eastAsia="Times New Roman" w:hAnsi="Times New Roman"/>
          <w:sz w:val="18"/>
          <w:szCs w:val="18"/>
          <w:b w:val="1"/>
          <w:bCs w:val="1"/>
          <w:u w:val="single" w:color="auto"/>
          <w:color w:val="auto"/>
        </w:rPr>
        <w:t>Off-Balance Sheet Transaction</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87" w:lineRule="exact"/>
        <w:rPr>
          <w:rFonts w:ascii="Times New Roman" w:cs="Times New Roman" w:eastAsia="Times New Roman" w:hAnsi="Times New Roman"/>
          <w:sz w:val="18"/>
          <w:szCs w:val="18"/>
          <w:b w:val="1"/>
          <w:bCs w:val="1"/>
          <w:color w:val="auto"/>
        </w:rPr>
      </w:pPr>
    </w:p>
    <w:p>
      <w:pPr>
        <w:ind w:right="80" w:firstLine="987"/>
        <w:spacing w:after="0" w:line="282" w:lineRule="auto"/>
        <w:tabs>
          <w:tab w:leader="none" w:pos="133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188" w:lineRule="exact"/>
        <w:rPr>
          <w:rFonts w:ascii="Times New Roman" w:cs="Times New Roman" w:eastAsia="Times New Roman" w:hAnsi="Times New Roman"/>
          <w:sz w:val="18"/>
          <w:szCs w:val="18"/>
          <w:b w:val="1"/>
          <w:bCs w:val="1"/>
          <w:color w:val="auto"/>
        </w:rPr>
      </w:pPr>
    </w:p>
    <w:p>
      <w:pPr>
        <w:ind w:right="100" w:firstLine="987"/>
        <w:spacing w:after="0" w:line="253" w:lineRule="auto"/>
        <w:tabs>
          <w:tab w:leader="none" w:pos="141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94" w:lineRule="exact"/>
        <w:rPr>
          <w:rFonts w:ascii="Times New Roman" w:cs="Times New Roman" w:eastAsia="Times New Roman" w:hAnsi="Times New Roman"/>
          <w:sz w:val="18"/>
          <w:szCs w:val="18"/>
          <w:b w:val="1"/>
          <w:bCs w:val="1"/>
          <w:color w:val="auto"/>
        </w:rPr>
      </w:pPr>
    </w:p>
    <w:p>
      <w:pPr>
        <w:ind w:left="1340" w:hanging="353"/>
        <w:spacing w:after="0"/>
        <w:tabs>
          <w:tab w:leader="none" w:pos="1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Section 21E of the Exchange Act) (a “</w:t>
      </w:r>
      <w:r>
        <w:rPr>
          <w:rFonts w:ascii="Times New Roman" w:cs="Times New Roman" w:eastAsia="Times New Roman" w:hAnsi="Times New Roman"/>
          <w:sz w:val="18"/>
          <w:szCs w:val="18"/>
          <w:b w:val="1"/>
          <w:bCs w:val="1"/>
          <w:u w:val="single" w:color="auto"/>
          <w:color w:val="auto"/>
        </w:rPr>
        <w:t>Forward-Looking Statement</w:t>
      </w:r>
      <w:r>
        <w:rPr>
          <w:rFonts w:ascii="Times New Roman" w:cs="Times New Roman" w:eastAsia="Times New Roman" w:hAnsi="Times New Roman"/>
          <w:sz w:val="18"/>
          <w:szCs w:val="18"/>
          <w:color w:val="auto"/>
        </w:rPr>
        <w:t>”) contained in the Registration Statement and the Prospectus has been made or reaffirmed without a reasonable basis or has been disclosed other than in good faith.</w:t>
      </w:r>
    </w:p>
    <w:p>
      <w:pPr>
        <w:sectPr>
          <w:pgSz w:w="11900" w:h="16838" w:orient="portrait"/>
          <w:cols w:equalWidth="0" w:num="1">
            <w:col w:w="10980"/>
          </w:cols>
          <w:pgMar w:left="440" w:top="270" w:right="479" w:bottom="1440" w:gutter="0" w:footer="0" w:header="0"/>
        </w:sectPr>
      </w:pPr>
    </w:p>
    <w:bookmarkStart w:id="22" w:name="page23"/>
    <w:bookmarkEnd w:id="22"/>
    <w:p>
      <w:pPr>
        <w:ind w:firstLine="987"/>
        <w:spacing w:after="0" w:line="266" w:lineRule="auto"/>
        <w:tabs>
          <w:tab w:leader="none" w:pos="133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Purchases</w:t>
      </w:r>
      <w:r>
        <w:rPr>
          <w:rFonts w:ascii="Times New Roman" w:cs="Times New Roman" w:eastAsia="Times New Roman" w:hAnsi="Times New Roman"/>
          <w:sz w:val="18"/>
          <w:szCs w:val="18"/>
          <w:color w:val="auto"/>
        </w:rPr>
        <w:t xml:space="preserve">. The Company acknowledges and agrees that the Agent has informed the Company that the Agent may, to the extent permitted under the Securities Act and the Exchange Act, purchase and sell Common Stock for its own account while this Agreement is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deemed to have authorized or consented to any such purchases or sales by the Agent.</w:t>
      </w:r>
    </w:p>
    <w:p>
      <w:pPr>
        <w:spacing w:after="0" w:line="175" w:lineRule="exact"/>
        <w:rPr>
          <w:rFonts w:ascii="Times New Roman" w:cs="Times New Roman" w:eastAsia="Times New Roman" w:hAnsi="Times New Roman"/>
          <w:sz w:val="18"/>
          <w:szCs w:val="18"/>
          <w:b w:val="1"/>
          <w:bCs w:val="1"/>
          <w:color w:val="auto"/>
        </w:rPr>
      </w:pPr>
    </w:p>
    <w:p>
      <w:pPr>
        <w:jc w:val="both"/>
        <w:ind w:right="400" w:firstLine="987"/>
        <w:spacing w:after="0" w:line="266" w:lineRule="auto"/>
        <w:tabs>
          <w:tab w:leader="none" w:pos="1316"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6" w:lineRule="exact"/>
        <w:rPr>
          <w:sz w:val="20"/>
          <w:szCs w:val="20"/>
          <w:color w:val="auto"/>
        </w:rPr>
      </w:pPr>
    </w:p>
    <w:p>
      <w:pPr>
        <w:ind w:right="120" w:firstLine="987"/>
        <w:spacing w:after="0" w:line="258" w:lineRule="auto"/>
        <w:tabs>
          <w:tab w:leader="none" w:pos="142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Misstatement or Omission in an Issuer Free Writing Prospectus</w:t>
      </w:r>
      <w:r>
        <w:rPr>
          <w:rFonts w:ascii="Times New Roman" w:cs="Times New Roman" w:eastAsia="Times New Roman" w:hAnsi="Times New Roman"/>
          <w:sz w:val="18"/>
          <w:szCs w:val="18"/>
          <w:color w:val="auto"/>
        </w:rPr>
        <w:t xml:space="preserve">. Each Issuer Free Writing Prospectus, as of its issue date and as of each Applicable Time (as defined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83"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45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w:t>
      </w:r>
    </w:p>
    <w:p>
      <w:pPr>
        <w:spacing w:after="0" w:line="188" w:lineRule="exact"/>
        <w:rPr>
          <w:rFonts w:ascii="Times New Roman" w:cs="Times New Roman" w:eastAsia="Times New Roman" w:hAnsi="Times New Roman"/>
          <w:sz w:val="18"/>
          <w:szCs w:val="18"/>
          <w:b w:val="1"/>
          <w:bCs w:val="1"/>
          <w:color w:val="auto"/>
        </w:rPr>
      </w:pPr>
    </w:p>
    <w:p>
      <w:pPr>
        <w:jc w:val="both"/>
        <w:ind w:right="200" w:firstLine="987"/>
        <w:spacing w:after="0" w:line="266" w:lineRule="auto"/>
        <w:tabs>
          <w:tab w:leader="none" w:pos="139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ectPr>
          <w:pgSz w:w="11900" w:h="16838" w:orient="portrait"/>
          <w:cols w:equalWidth="0" w:num="1">
            <w:col w:w="10980"/>
          </w:cols>
          <w:pgMar w:left="440" w:top="270" w:right="479" w:bottom="1440" w:gutter="0" w:footer="0" w:header="0"/>
        </w:sectPr>
      </w:pPr>
    </w:p>
    <w:bookmarkStart w:id="23" w:name="page24"/>
    <w:bookmarkEnd w:id="23"/>
    <w:p>
      <w:pPr>
        <w:ind w:left="184" w:hanging="184"/>
        <w:spacing w:after="0"/>
        <w:tabs>
          <w:tab w:leader="none" w:pos="18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Company</w:t>
      </w:r>
      <w:r>
        <w:rPr>
          <w:rFonts w:ascii="Times New Roman" w:cs="Times New Roman" w:eastAsia="Times New Roman" w:hAnsi="Times New Roman"/>
          <w:sz w:val="18"/>
          <w:szCs w:val="18"/>
          <w:color w:val="auto"/>
        </w:rPr>
        <w:t>. The Company covenants and agrees with the Agent that:</w:t>
      </w:r>
    </w:p>
    <w:p>
      <w:pPr>
        <w:spacing w:after="0" w:line="117" w:lineRule="exact"/>
        <w:rPr>
          <w:rFonts w:ascii="Times New Roman" w:cs="Times New Roman" w:eastAsia="Times New Roman" w:hAnsi="Times New Roman"/>
          <w:sz w:val="18"/>
          <w:szCs w:val="18"/>
          <w:b w:val="1"/>
          <w:bCs w:val="1"/>
          <w:color w:val="auto"/>
        </w:rPr>
      </w:pPr>
    </w:p>
    <w:p>
      <w:pPr>
        <w:ind w:left="-436" w:firstLine="987"/>
        <w:spacing w:after="0" w:line="251" w:lineRule="auto"/>
        <w:tabs>
          <w:tab w:leader="none" w:pos="81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other than Incorporated Documents,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Agent within a reasonable period of time before the filing and the Agent has not reasonably objected in writing thereto within two (2) Business Days of such submission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failure of the Agent to make such objection shall not relieve the Company of any obligation or liability hereunder, or affect the Agent’s right to rely on the representations and warranties made by the Company in this Agreement and (B) the Company has no obligation to provide the Agent any advance copy of such filing or to provide the Agent an opportunity to object to such filing if the filing does not name the Agent or does not relate to the transaction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relating to the Placement Shares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204" w:lineRule="exact"/>
        <w:rPr>
          <w:rFonts w:ascii="Times New Roman" w:cs="Times New Roman" w:eastAsia="Times New Roman" w:hAnsi="Times New Roman"/>
          <w:sz w:val="18"/>
          <w:szCs w:val="18"/>
          <w:b w:val="1"/>
          <w:bCs w:val="1"/>
          <w:color w:val="auto"/>
        </w:rPr>
      </w:pPr>
    </w:p>
    <w:p>
      <w:pPr>
        <w:ind w:left="-436" w:right="140" w:firstLine="987"/>
        <w:spacing w:after="0" w:line="254" w:lineRule="auto"/>
        <w:tabs>
          <w:tab w:leader="none" w:pos="82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ectPr>
          <w:pgSz w:w="11900" w:h="16838" w:orient="portrait"/>
          <w:cols w:equalWidth="0" w:num="1">
            <w:col w:w="10544"/>
          </w:cols>
          <w:pgMar w:left="876" w:top="270" w:right="479" w:bottom="1440" w:gutter="0" w:footer="0" w:header="0"/>
        </w:sectPr>
      </w:pPr>
    </w:p>
    <w:bookmarkStart w:id="24" w:name="page25"/>
    <w:bookmarkEnd w:id="24"/>
    <w:p>
      <w:pPr>
        <w:ind w:left="-987" w:right="40" w:firstLine="987"/>
        <w:spacing w:after="0" w:line="252" w:lineRule="auto"/>
        <w:tabs>
          <w:tab w:leader="none" w:pos="24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Prospectus; Subsequent Changes</w:t>
      </w:r>
      <w:r>
        <w:rPr>
          <w:rFonts w:ascii="Times New Roman" w:cs="Times New Roman" w:eastAsia="Times New Roman" w:hAnsi="Times New Roman"/>
          <w:sz w:val="18"/>
          <w:szCs w:val="18"/>
          <w:color w:val="auto"/>
        </w:rPr>
        <w:t xml:space="preserve">.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similar rule),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Commission pursuant to said Rule 430B and to notify the Agent promptly of all such filings relating to the Placement Shares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delay the filing of any amendment or supplement, if in the reasonable judgment of the Company, it is in the best interest of the Company to do so.</w:t>
      </w:r>
    </w:p>
    <w:p>
      <w:pPr>
        <w:spacing w:after="0" w:line="195" w:lineRule="exact"/>
        <w:rPr>
          <w:rFonts w:ascii="Times New Roman" w:cs="Times New Roman" w:eastAsia="Times New Roman" w:hAnsi="Times New Roman"/>
          <w:sz w:val="18"/>
          <w:szCs w:val="18"/>
          <w:b w:val="1"/>
          <w:bCs w:val="1"/>
          <w:color w:val="auto"/>
        </w:rPr>
      </w:pPr>
    </w:p>
    <w:p>
      <w:pPr>
        <w:ind w:left="-987" w:right="160" w:firstLine="987"/>
        <w:spacing w:after="0" w:line="282" w:lineRule="auto"/>
        <w:tabs>
          <w:tab w:leader="none" w:pos="26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Prior to the date of the first Placement Notice, the Company will use commercially reasonable efforts to cause the Placement Shares to be listed on the Exchange.</w:t>
      </w:r>
    </w:p>
    <w:p>
      <w:pPr>
        <w:spacing w:after="0" w:line="161" w:lineRule="exact"/>
        <w:rPr>
          <w:rFonts w:ascii="Times New Roman" w:cs="Times New Roman" w:eastAsia="Times New Roman" w:hAnsi="Times New Roman"/>
          <w:sz w:val="18"/>
          <w:szCs w:val="18"/>
          <w:b w:val="1"/>
          <w:bCs w:val="1"/>
          <w:color w:val="auto"/>
        </w:rPr>
      </w:pPr>
    </w:p>
    <w:p>
      <w:pPr>
        <w:ind w:left="-987" w:firstLine="987"/>
        <w:spacing w:after="0" w:line="255" w:lineRule="auto"/>
        <w:tabs>
          <w:tab w:leader="none" w:pos="24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reasonable expense of the Company) copies of the Registration Statement, the Prospectus (including all Incorporated Documents) and all amendments and supplements to the Registration Statement or Prospectus that are filed with the Commission during any period in which a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ectPr>
          <w:pgSz w:w="11900" w:h="16838" w:orient="portrait"/>
          <w:cols w:equalWidth="0" w:num="1">
            <w:col w:w="10013"/>
          </w:cols>
          <w:pgMar w:left="1427" w:top="270" w:right="459" w:bottom="1440" w:gutter="0" w:footer="0" w:header="0"/>
        </w:sectPr>
      </w:pPr>
    </w:p>
    <w:bookmarkStart w:id="25" w:name="page26"/>
    <w:bookmarkEnd w:id="25"/>
    <w:p>
      <w:pPr>
        <w:ind w:left="-987" w:right="380" w:firstLine="987"/>
        <w:spacing w:after="0" w:line="266" w:lineRule="auto"/>
        <w:tabs>
          <w:tab w:leader="none" w:pos="22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Earnings Statement</w:t>
      </w:r>
      <w:r>
        <w:rPr>
          <w:rFonts w:ascii="Times New Roman" w:cs="Times New Roman" w:eastAsia="Times New Roman" w:hAnsi="Times New Roman"/>
          <w:sz w:val="18"/>
          <w:szCs w:val="18"/>
          <w:color w:val="auto"/>
        </w:rPr>
        <w:t>. To the extent not otherwise available on EDGAR,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75" w:lineRule="exact"/>
        <w:rPr>
          <w:rFonts w:ascii="Times New Roman" w:cs="Times New Roman" w:eastAsia="Times New Roman" w:hAnsi="Times New Roman"/>
          <w:sz w:val="18"/>
          <w:szCs w:val="18"/>
          <w:b w:val="1"/>
          <w:bCs w:val="1"/>
          <w:color w:val="auto"/>
        </w:rPr>
      </w:pPr>
    </w:p>
    <w:p>
      <w:pPr>
        <w:ind w:left="253" w:hanging="253"/>
        <w:spacing w:after="0"/>
        <w:tabs>
          <w:tab w:leader="none" w:pos="25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b w:val="1"/>
          <w:bCs w:val="1"/>
          <w:color w:val="auto"/>
        </w:rPr>
      </w:pPr>
    </w:p>
    <w:p>
      <w:pPr>
        <w:ind w:left="-987" w:firstLine="987"/>
        <w:spacing w:after="0"/>
        <w:tabs>
          <w:tab w:leader="none" w:pos="26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prior to the date on which any Placement Notice is delivered to Agent hereunder and ending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thirtieth (30th)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Common Stock, options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other equity awards to acquire Common Stock, or Common Stock issuable upon the exercise of options or the exercise or settlement of other equity awards, pursuant to (A) any employee or director equity incentive, benefits plan or employee stock purchase plan, stock ownership plan or dividend reinvestment plan (but not Common Stock subject to a waiver to exceed plan limits in its dividend reinvestment plan) of the Company whether now in effect or hereafter implemented or (B) Nasdaq Listing Rule 5635(c)(4), (ii) Common Stock issuable upon conversion of securities or the exercise of warrants, options or other rights in effect or outstanding, and disclosed in filings by the Company available on EDGAR or otherwise in writing to the Agent and (iii) Common Stock or securities convertible into or exchangeable for shares of Common Stock as consideration for mergers, acquisitions, licensing, other business combinations or strategic alliances or corporate partnering transactions occurring after the date of this Agreement which are not issued for capital raising purposes.</w:t>
      </w:r>
    </w:p>
    <w:p>
      <w:pPr>
        <w:spacing w:after="0" w:line="203" w:lineRule="exact"/>
        <w:rPr>
          <w:rFonts w:ascii="Times New Roman" w:cs="Times New Roman" w:eastAsia="Times New Roman" w:hAnsi="Times New Roman"/>
          <w:sz w:val="18"/>
          <w:szCs w:val="18"/>
          <w:b w:val="1"/>
          <w:bCs w:val="1"/>
          <w:color w:val="auto"/>
        </w:rPr>
      </w:pPr>
    </w:p>
    <w:p>
      <w:pPr>
        <w:ind w:left="-987" w:right="80" w:firstLine="987"/>
        <w:spacing w:after="0" w:line="266" w:lineRule="auto"/>
        <w:tabs>
          <w:tab w:leader="none" w:pos="21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75" w:lineRule="exact"/>
        <w:rPr>
          <w:rFonts w:ascii="Times New Roman" w:cs="Times New Roman" w:eastAsia="Times New Roman" w:hAnsi="Times New Roman"/>
          <w:sz w:val="18"/>
          <w:szCs w:val="18"/>
          <w:b w:val="1"/>
          <w:bCs w:val="1"/>
          <w:color w:val="auto"/>
        </w:rPr>
      </w:pPr>
    </w:p>
    <w:p>
      <w:pPr>
        <w:ind w:left="-987" w:right="80" w:firstLine="987"/>
        <w:spacing w:after="0" w:line="261" w:lineRule="auto"/>
        <w:tabs>
          <w:tab w:leader="none" w:pos="22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ectPr>
          <w:pgSz w:w="11900" w:h="16838" w:orient="portrait"/>
          <w:cols w:equalWidth="0" w:num="1">
            <w:col w:w="10013"/>
          </w:cols>
          <w:pgMar w:left="1427" w:top="270" w:right="459" w:bottom="1440" w:gutter="0" w:footer="0" w:header="0"/>
        </w:sectPr>
      </w:pPr>
    </w:p>
    <w:bookmarkStart w:id="26" w:name="page27"/>
    <w:bookmarkEnd w:id="26"/>
    <w:p>
      <w:pPr>
        <w:ind w:left="4" w:right="20" w:firstLine="987"/>
        <w:spacing w:after="0" w:line="253" w:lineRule="auto"/>
        <w:tabs>
          <w:tab w:leader="none" w:pos="126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Filings Relating to Placement of Placement Shares</w:t>
      </w:r>
      <w:r>
        <w:rPr>
          <w:rFonts w:ascii="Times New Roman" w:cs="Times New Roman" w:eastAsia="Times New Roman" w:hAnsi="Times New Roman"/>
          <w:sz w:val="18"/>
          <w:szCs w:val="18"/>
          <w:color w:val="auto"/>
        </w:rPr>
        <w:t>. The Company shall disclose, in its quarterly reports on Form 10-Q and in its annual report on Form 10-K to be filed by the Company with the Commission from time to time, the number of the Placement Shares sold through the Agent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with respect to the Placement Shares,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which prospectus supplement will set forth, within the relevant period, the amount of Placement Shares sold through the Agent, the Net Proceeds to the Company and the compensation payable by the Company to the Agent with respect to such Placement Shares, and</w:t>
      </w:r>
    </w:p>
    <w:p>
      <w:pPr>
        <w:ind w:left="4" w:right="20" w:hanging="4"/>
        <w:spacing w:after="0" w:line="253"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number of copies of each such prospectus supplement to each exchange or market on which such sales were effected as may be required by the rules or regulations of such exchange or market; provided, that, unless a prospectus supplement containing such information is required to be filed under the Securities Act, the requirement of this Section 7(k)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86"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(1) On or prior to the date of the first Placement Notice and (2) each time the Company:</w:t>
      </w:r>
    </w:p>
    <w:p>
      <w:pPr>
        <w:spacing w:after="0" w:line="117" w:lineRule="exact"/>
        <w:rPr>
          <w:rFonts w:ascii="Times New Roman" w:cs="Times New Roman" w:eastAsia="Times New Roman" w:hAnsi="Times New Roman"/>
          <w:sz w:val="18"/>
          <w:szCs w:val="18"/>
          <w:b w:val="1"/>
          <w:bCs w:val="1"/>
          <w:color w:val="auto"/>
        </w:rPr>
      </w:pPr>
    </w:p>
    <w:p>
      <w:pPr>
        <w:jc w:val="both"/>
        <w:ind w:left="4" w:right="400" w:firstLine="1428"/>
        <w:spacing w:after="0" w:line="261" w:lineRule="auto"/>
        <w:tabs>
          <w:tab w:leader="none" w:pos="1651"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79" w:lineRule="exact"/>
        <w:rPr>
          <w:rFonts w:ascii="Times New Roman" w:cs="Times New Roman" w:eastAsia="Times New Roman" w:hAnsi="Times New Roman"/>
          <w:sz w:val="18"/>
          <w:szCs w:val="18"/>
          <w:b w:val="1"/>
          <w:bCs w:val="1"/>
          <w:color w:val="auto"/>
        </w:rPr>
      </w:pPr>
    </w:p>
    <w:p>
      <w:pPr>
        <w:ind w:left="4" w:right="640" w:firstLine="1428"/>
        <w:spacing w:after="0" w:line="282" w:lineRule="auto"/>
        <w:tabs>
          <w:tab w:leader="none" w:pos="1701"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161" w:lineRule="exact"/>
        <w:rPr>
          <w:rFonts w:ascii="Times New Roman" w:cs="Times New Roman" w:eastAsia="Times New Roman" w:hAnsi="Times New Roman"/>
          <w:sz w:val="18"/>
          <w:szCs w:val="18"/>
          <w:b w:val="1"/>
          <w:bCs w:val="1"/>
          <w:color w:val="auto"/>
        </w:rPr>
      </w:pPr>
    </w:p>
    <w:p>
      <w:pPr>
        <w:ind w:left="1744" w:hanging="312"/>
        <w:spacing w:after="0"/>
        <w:tabs>
          <w:tab w:leader="none" w:pos="1744"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files its quarterly reports on Form 10-Q under the Exchange Act; or</w:t>
      </w:r>
    </w:p>
    <w:p>
      <w:pPr>
        <w:spacing w:after="0" w:line="225" w:lineRule="exact"/>
        <w:rPr>
          <w:rFonts w:ascii="Times New Roman" w:cs="Times New Roman" w:eastAsia="Times New Roman" w:hAnsi="Times New Roman"/>
          <w:sz w:val="18"/>
          <w:szCs w:val="18"/>
          <w:b w:val="1"/>
          <w:bCs w:val="1"/>
          <w:color w:val="auto"/>
        </w:rPr>
      </w:pPr>
    </w:p>
    <w:p>
      <w:pPr>
        <w:ind w:left="4" w:firstLine="1428"/>
        <w:spacing w:after="0" w:line="261" w:lineRule="auto"/>
        <w:tabs>
          <w:tab w:leader="none" w:pos="1741"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shall furnish the Agent (but in the case of clause (iv) above only if the Agent reasonably determines that the information contained in such Form 8-K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automatically waived for any Representation Date occurring (1)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or (2) at a time at which no Placement Notice is pending, which waiver shall continue until the date the Company delivers a Placement Notice hereunder (which for such calendar quarter shall be considered a Representation Date). Notwithstanding the foregoing, if the Company subsequently decides to sell Placement Shares following a Representation Date when a Suspension was in effect or no Placement Notice was pending and did not provide the Agent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Company delivers the instructions for the sale of Placement Shares or the Agent sells any Placement Shares pursuant to such instructions, the Company shall provide the Agent with a certificate in conformity with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dated as of the date that the instructions for the sale of Placement Shares are issued.</w:t>
      </w:r>
    </w:p>
    <w:p>
      <w:pPr>
        <w:spacing w:after="0" w:line="190" w:lineRule="exact"/>
        <w:rPr>
          <w:sz w:val="20"/>
          <w:szCs w:val="20"/>
          <w:color w:val="auto"/>
        </w:rPr>
      </w:pPr>
    </w:p>
    <w:p>
      <w:pPr>
        <w:ind w:firstLine="987"/>
        <w:spacing w:after="0" w:line="270" w:lineRule="auto"/>
        <w:tabs>
          <w:tab w:leader="none" w:pos="1306"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Legal Opinion</w:t>
      </w:r>
      <w:r>
        <w:rPr>
          <w:rFonts w:ascii="Times New Roman" w:cs="Times New Roman" w:eastAsia="Times New Roman" w:hAnsi="Times New Roman"/>
          <w:sz w:val="17"/>
          <w:szCs w:val="17"/>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7"/>
          <w:szCs w:val="17"/>
          <w:u w:val="single" w:color="auto"/>
          <w:color w:val="auto"/>
        </w:rPr>
        <w:t>Section 7(l)</w:t>
      </w:r>
      <w:r>
        <w:rPr>
          <w:rFonts w:ascii="Times New Roman" w:cs="Times New Roman" w:eastAsia="Times New Roman" w:hAnsi="Times New Roman"/>
          <w:sz w:val="17"/>
          <w:szCs w:val="17"/>
          <w:color w:val="auto"/>
        </w:rPr>
        <w:t xml:space="preserve"> for which no waiver is applicable and excluding the date of this Agreement, the Company shall cause to be furnished to the Agent a written opinion and negative assurance letter of Hogan Lovells US LLP (“</w:t>
      </w:r>
      <w:r>
        <w:rPr>
          <w:rFonts w:ascii="Times New Roman" w:cs="Times New Roman" w:eastAsia="Times New Roman" w:hAnsi="Times New Roman"/>
          <w:sz w:val="17"/>
          <w:szCs w:val="17"/>
          <w:b w:val="1"/>
          <w:bCs w:val="1"/>
          <w:u w:val="single" w:color="auto"/>
          <w:color w:val="auto"/>
        </w:rPr>
        <w:t>Company Counsel</w:t>
      </w:r>
      <w:r>
        <w:rPr>
          <w:rFonts w:ascii="Times New Roman" w:cs="Times New Roman" w:eastAsia="Times New Roman" w:hAnsi="Times New Roman"/>
          <w:sz w:val="17"/>
          <w:szCs w:val="17"/>
          <w:color w:val="auto"/>
        </w:rPr>
        <w:t>”), or other counsel reasonably satisfactory to the Agent, in form and substance reasonably satisfactory to the Agent and its counsel, substantially similar to the form previously provided to the Agent and its counsel, modified, as necessary, to relate to the Registration Statement and the Prospectus as then amended or supplemented; provided, however, the Company shall be required to furnish the Agent no more than one opinion hereunder per each filing of an Annual Report on Form 10-K or a Quarterly Report on Form 10-Q; provided, further, that in lieu of such opinions for subsequent periodic filings under the Exchange Act, counsel may furnish the Agent with a letter (a “</w:t>
      </w:r>
      <w:r>
        <w:rPr>
          <w:rFonts w:ascii="Times New Roman" w:cs="Times New Roman" w:eastAsia="Times New Roman" w:hAnsi="Times New Roman"/>
          <w:sz w:val="17"/>
          <w:szCs w:val="17"/>
          <w:b w:val="1"/>
          <w:bCs w:val="1"/>
          <w:u w:val="single" w:color="auto"/>
          <w:color w:val="auto"/>
        </w:rPr>
        <w:t>Reliance Letter</w:t>
      </w:r>
      <w:r>
        <w:rPr>
          <w:rFonts w:ascii="Times New Roman" w:cs="Times New Roman" w:eastAsia="Times New Roman" w:hAnsi="Times New Roman"/>
          <w:sz w:val="17"/>
          <w:szCs w:val="17"/>
          <w:color w:val="auto"/>
        </w:rPr>
        <w:t xml:space="preserve">”) to the effect that the Agent may rely on a prior opinion delivered under this </w:t>
      </w:r>
      <w:r>
        <w:rPr>
          <w:rFonts w:ascii="Times New Roman" w:cs="Times New Roman" w:eastAsia="Times New Roman" w:hAnsi="Times New Roman"/>
          <w:sz w:val="17"/>
          <w:szCs w:val="17"/>
          <w:u w:val="single" w:color="auto"/>
          <w:color w:val="auto"/>
        </w:rPr>
        <w:t>Section 7(m)</w:t>
      </w:r>
      <w:r>
        <w:rPr>
          <w:rFonts w:ascii="Times New Roman" w:cs="Times New Roman" w:eastAsia="Times New Roman" w:hAnsi="Times New Roman"/>
          <w:sz w:val="17"/>
          <w:szCs w:val="17"/>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76" w:lineRule="exact"/>
        <w:rPr>
          <w:rFonts w:ascii="Times New Roman" w:cs="Times New Roman" w:eastAsia="Times New Roman" w:hAnsi="Times New Roman"/>
          <w:sz w:val="17"/>
          <w:szCs w:val="17"/>
          <w:b w:val="1"/>
          <w:bCs w:val="1"/>
          <w:color w:val="auto"/>
        </w:rPr>
      </w:pPr>
    </w:p>
    <w:p>
      <w:pPr>
        <w:ind w:firstLine="987"/>
        <w:spacing w:after="0" w:line="253" w:lineRule="auto"/>
        <w:tabs>
          <w:tab w:leader="none" w:pos="125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its independent registered public accounting firm to furnish the Agent letters (the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reasonably requested by the Agent, the Company shall cause a Comfort Letter to be furnished to the Agent within ten (10) Trading Days of the date of occurrence of any material transaction or event requiring the filing of a Current Report on Form 8-K containing financial information ( including the restatement of the Company’s financial statements). The Comfort Letter from the Company’s independent registered public accounting firm shall be in a form and substance reasonably satisfactory to the Agent, (i) confirming that they are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ectPr>
          <w:pgSz w:w="11900" w:h="16838" w:orient="portrait"/>
          <w:cols w:equalWidth="0" w:num="1">
            <w:col w:w="11000"/>
          </w:cols>
          <w:pgMar w:left="440" w:top="270" w:right="459" w:bottom="1440" w:gutter="0" w:footer="0" w:header="0"/>
        </w:sectPr>
      </w:pPr>
    </w:p>
    <w:bookmarkStart w:id="28" w:name="page29"/>
    <w:bookmarkEnd w:id="28"/>
    <w:p>
      <w:pPr>
        <w:ind w:left="-987" w:right="100" w:firstLine="987"/>
        <w:spacing w:after="0" w:line="261" w:lineRule="auto"/>
        <w:tabs>
          <w:tab w:leader="none" w:pos="25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Activities; Compliance with Regulation M</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w:t>
      </w:r>
    </w:p>
    <w:p>
      <w:pPr>
        <w:spacing w:after="0" w:line="179" w:lineRule="exact"/>
        <w:rPr>
          <w:rFonts w:ascii="Times New Roman" w:cs="Times New Roman" w:eastAsia="Times New Roman" w:hAnsi="Times New Roman"/>
          <w:sz w:val="18"/>
          <w:szCs w:val="18"/>
          <w:b w:val="1"/>
          <w:bCs w:val="1"/>
          <w:color w:val="auto"/>
        </w:rPr>
      </w:pPr>
    </w:p>
    <w:p>
      <w:pPr>
        <w:ind w:left="-987" w:right="40" w:firstLine="987"/>
        <w:spacing w:after="0" w:line="266" w:lineRule="auto"/>
        <w:tabs>
          <w:tab w:leader="none" w:pos="26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5" w:lineRule="exact"/>
        <w:rPr>
          <w:rFonts w:ascii="Times New Roman" w:cs="Times New Roman" w:eastAsia="Times New Roman" w:hAnsi="Times New Roman"/>
          <w:sz w:val="18"/>
          <w:szCs w:val="18"/>
          <w:b w:val="1"/>
          <w:bCs w:val="1"/>
          <w:color w:val="auto"/>
        </w:rPr>
      </w:pPr>
    </w:p>
    <w:p>
      <w:pPr>
        <w:jc w:val="both"/>
        <w:ind w:left="-987" w:right="160" w:firstLine="987"/>
        <w:spacing w:after="0" w:line="261" w:lineRule="auto"/>
        <w:tabs>
          <w:tab w:leader="none" w:pos="26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7" w:lineRule="exact"/>
        <w:rPr>
          <w:rFonts w:ascii="Times New Roman" w:cs="Times New Roman" w:eastAsia="Times New Roman" w:hAnsi="Times New Roman"/>
          <w:sz w:val="18"/>
          <w:szCs w:val="18"/>
          <w:b w:val="1"/>
          <w:bCs w:val="1"/>
          <w:color w:val="auto"/>
        </w:rPr>
      </w:pPr>
    </w:p>
    <w:p>
      <w:pPr>
        <w:ind w:left="-987" w:right="20" w:firstLine="987"/>
        <w:spacing w:after="0" w:line="254" w:lineRule="auto"/>
        <w:tabs>
          <w:tab w:leader="none" w:pos="2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90" w:lineRule="exact"/>
        <w:rPr>
          <w:rFonts w:ascii="Times New Roman" w:cs="Times New Roman" w:eastAsia="Times New Roman" w:hAnsi="Times New Roman"/>
          <w:sz w:val="18"/>
          <w:szCs w:val="18"/>
          <w:b w:val="1"/>
          <w:bCs w:val="1"/>
          <w:color w:val="auto"/>
        </w:rPr>
      </w:pPr>
    </w:p>
    <w:p>
      <w:pPr>
        <w:ind w:left="-987" w:firstLine="987"/>
        <w:spacing w:after="0" w:line="252" w:lineRule="auto"/>
        <w:tabs>
          <w:tab w:leader="none" w:pos="239"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will maintain and keep accurate books and records reflecting its consolidated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ectPr>
          <w:pgSz w:w="11900" w:h="16838" w:orient="portrait"/>
          <w:cols w:equalWidth="0" w:num="1">
            <w:col w:w="9973"/>
          </w:cols>
          <w:pgMar w:left="1427" w:top="270" w:right="499" w:bottom="1440" w:gutter="0" w:footer="0" w:header="0"/>
        </w:sectPr>
      </w:pPr>
    </w:p>
    <w:bookmarkStart w:id="29" w:name="page30"/>
    <w:bookmarkEnd w:id="29"/>
    <w:p>
      <w:pPr>
        <w:ind w:left="-436" w:right="20" w:firstLine="987"/>
        <w:spacing w:after="0" w:line="254" w:lineRule="auto"/>
        <w:tabs>
          <w:tab w:leader="none" w:pos="78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Secretary’s Certificate; Further Documentation</w:t>
      </w:r>
      <w:r>
        <w:rPr>
          <w:rFonts w:ascii="Times New Roman" w:cs="Times New Roman" w:eastAsia="Times New Roman" w:hAnsi="Times New Roman"/>
          <w:sz w:val="18"/>
          <w:szCs w:val="18"/>
          <w:color w:val="auto"/>
        </w:rPr>
        <w:t xml:space="preserve">. On or prior to the date of the first Placement Notice, the Company shall deliver to the Agent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for which no waiver is applicable and excluding the date of this Agreement, the Company shall have furnished to the Agent such further information, certificates and documents as the Agent may reasonably request.</w:t>
      </w:r>
    </w:p>
    <w:p>
      <w:pPr>
        <w:spacing w:after="0" w:line="191" w:lineRule="exact"/>
        <w:rPr>
          <w:rFonts w:ascii="Times New Roman" w:cs="Times New Roman" w:eastAsia="Times New Roman" w:hAnsi="Times New Roman"/>
          <w:sz w:val="18"/>
          <w:szCs w:val="18"/>
          <w:b w:val="1"/>
          <w:bCs w:val="1"/>
          <w:color w:val="auto"/>
        </w:rPr>
      </w:pPr>
    </w:p>
    <w:p>
      <w:pPr>
        <w:ind w:left="-436" w:right="220" w:firstLine="987"/>
        <w:spacing w:after="0" w:line="282" w:lineRule="auto"/>
        <w:tabs>
          <w:tab w:leader="none" w:pos="82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Emerging Growth Company Status</w:t>
      </w:r>
      <w:r>
        <w:rPr>
          <w:rFonts w:ascii="Times New Roman" w:cs="Times New Roman" w:eastAsia="Times New Roman" w:hAnsi="Times New Roman"/>
          <w:sz w:val="18"/>
          <w:szCs w:val="18"/>
          <w:color w:val="auto"/>
        </w:rPr>
        <w:t>. The Company will promptly notify the Agent if the Company ceases to be an Emerging Growth Company at any time during the term of this Agreement.</w:t>
      </w:r>
    </w:p>
    <w:p>
      <w:pPr>
        <w:spacing w:after="0" w:line="161" w:lineRule="exact"/>
        <w:rPr>
          <w:rFonts w:ascii="Times New Roman" w:cs="Times New Roman" w:eastAsia="Times New Roman" w:hAnsi="Times New Roman"/>
          <w:sz w:val="18"/>
          <w:szCs w:val="18"/>
          <w:b w:val="1"/>
          <w:bCs w:val="1"/>
          <w:color w:val="auto"/>
        </w:rPr>
      </w:pPr>
    </w:p>
    <w:p>
      <w:pPr>
        <w:ind w:left="-436" w:firstLine="436"/>
        <w:spacing w:after="0" w:line="252" w:lineRule="auto"/>
        <w:tabs>
          <w:tab w:leader="none" w:pos="18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relating to the Placement Shares, in such number as the Agent shall reasonably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reasonable and documented fees and expenses of Agent including but not limited to the fees and expenses of the counsel to the Agent, payable upon the execution of this Agreement, (a) in an amount not to exceed $75,000 in connection with the execution of this Agreement and (b) in an amount not to exceed $15,000 per calendar quarter payable in connection with each Representation Date (other than Representation Dates involving the issuance of the first Placement Notice and the filing of the Prospectus on or about the date hereof) with respect to which the Company is obligated to deliver a certificate pursuant to Section 7(l) for which no waiver is applicable, (vi) the qualification or exemption of the Placement Shares under state securities laws in accordance with the provisions of </w:t>
      </w:r>
      <w:r>
        <w:rPr>
          <w:rFonts w:ascii="Times New Roman" w:cs="Times New Roman" w:eastAsia="Times New Roman" w:hAnsi="Times New Roman"/>
          <w:sz w:val="18"/>
          <w:szCs w:val="18"/>
          <w:u w:val="single" w:color="auto"/>
          <w:color w:val="auto"/>
        </w:rPr>
        <w:t>Section 7(r)</w:t>
      </w:r>
      <w:r>
        <w:rPr>
          <w:rFonts w:ascii="Times New Roman" w:cs="Times New Roman" w:eastAsia="Times New Roman" w:hAnsi="Times New Roman"/>
          <w:sz w:val="18"/>
          <w:szCs w:val="18"/>
          <w:color w:val="auto"/>
        </w:rPr>
        <w:t xml:space="preserve"> hereof, including filing fees, but excluding fees of the Agent’s counsel, (vii) the printing and delivery to the Agent of copies of any Permitted Issuer Free Writing Prospectus and the Prospectus and any amendments or supplements thereto in such number as the Agent shall reasonably deem necessary, (viii) the preparation, printing and delivery to the Agent of copies of the blue sky survey (subject to the cap set forth in clause (v) above),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 The Company agrees to pay the fees and expenses of counsel to the Agent set forth in clause (v) above by wire transfer of immediately available funds directly to such counsel within thirty (30) days of presentation to the Company of an invoice containing the requisite payment information prepared by such counsel.</w:t>
      </w:r>
    </w:p>
    <w:p>
      <w:pPr>
        <w:sectPr>
          <w:pgSz w:w="11900" w:h="16838" w:orient="portrait"/>
          <w:cols w:equalWidth="0" w:num="1">
            <w:col w:w="10564"/>
          </w:cols>
          <w:pgMar w:left="876" w:top="270" w:right="459" w:bottom="1440" w:gutter="0" w:footer="0" w:header="0"/>
        </w:sectPr>
      </w:pPr>
    </w:p>
    <w:bookmarkStart w:id="30" w:name="page31"/>
    <w:bookmarkEnd w:id="30"/>
    <w:p>
      <w:pPr>
        <w:ind w:left="-436" w:right="460" w:firstLine="436"/>
        <w:spacing w:after="0" w:line="261" w:lineRule="auto"/>
        <w:tabs>
          <w:tab w:leader="none" w:pos="18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to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it in its reasonable judgment, and to the continuing satisfaction (or waiver by the Agent in its sole discretion) of the following additional conditions:</w:t>
      </w:r>
    </w:p>
    <w:p>
      <w:pPr>
        <w:spacing w:after="0" w:line="179" w:lineRule="exact"/>
        <w:rPr>
          <w:rFonts w:ascii="Times New Roman" w:cs="Times New Roman" w:eastAsia="Times New Roman" w:hAnsi="Times New Roman"/>
          <w:sz w:val="18"/>
          <w:szCs w:val="18"/>
          <w:b w:val="1"/>
          <w:bCs w:val="1"/>
          <w:color w:val="auto"/>
        </w:rPr>
      </w:pPr>
    </w:p>
    <w:p>
      <w:pPr>
        <w:ind w:left="-436" w:right="60" w:firstLine="987"/>
        <w:spacing w:after="0" w:line="266" w:lineRule="auto"/>
        <w:tabs>
          <w:tab w:leader="none" w:pos="81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(i) resale of all Placement Shares issued to the Agent and not yet sold by the Agent and (ii) sale of all Placement Shares contemplated to be issued by any Placement Notice.</w:t>
      </w:r>
    </w:p>
    <w:p>
      <w:pPr>
        <w:spacing w:after="0" w:line="175" w:lineRule="exact"/>
        <w:rPr>
          <w:rFonts w:ascii="Times New Roman" w:cs="Times New Roman" w:eastAsia="Times New Roman" w:hAnsi="Times New Roman"/>
          <w:sz w:val="18"/>
          <w:szCs w:val="18"/>
          <w:b w:val="1"/>
          <w:bCs w:val="1"/>
          <w:color w:val="auto"/>
        </w:rPr>
      </w:pPr>
    </w:p>
    <w:p>
      <w:pPr>
        <w:ind w:left="-436" w:firstLine="987"/>
        <w:spacing w:after="0" w:line="253" w:lineRule="auto"/>
        <w:tabs>
          <w:tab w:leader="none" w:pos="82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Incorporated Document untrue or that requires the making of any changes in the Registration Statement, the Prospectus or Incorporated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ectPr>
          <w:pgSz w:w="11900" w:h="16838" w:orient="portrait"/>
          <w:cols w:equalWidth="0" w:num="1">
            <w:col w:w="10524"/>
          </w:cols>
          <w:pgMar w:left="876" w:top="270" w:right="499" w:bottom="1440" w:gutter="0" w:footer="0" w:header="0"/>
        </w:sectPr>
      </w:pPr>
    </w:p>
    <w:bookmarkStart w:id="31" w:name="page32"/>
    <w:bookmarkEnd w:id="31"/>
    <w:p>
      <w:pPr>
        <w:ind w:left="-987" w:firstLine="987"/>
        <w:spacing w:after="0" w:line="266" w:lineRule="auto"/>
        <w:tabs>
          <w:tab w:leader="none" w:pos="24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Misstatement or Material Omission</w:t>
      </w:r>
      <w:r>
        <w:rPr>
          <w:rFonts w:ascii="Times New Roman" w:cs="Times New Roman" w:eastAsia="Times New Roman" w:hAnsi="Times New Roman"/>
          <w:sz w:val="18"/>
          <w:szCs w:val="18"/>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5" w:lineRule="exact"/>
        <w:rPr>
          <w:rFonts w:ascii="Times New Roman" w:cs="Times New Roman" w:eastAsia="Times New Roman" w:hAnsi="Times New Roman"/>
          <w:sz w:val="18"/>
          <w:szCs w:val="18"/>
          <w:b w:val="1"/>
          <w:bCs w:val="1"/>
          <w:color w:val="auto"/>
        </w:rPr>
      </w:pPr>
    </w:p>
    <w:p>
      <w:pPr>
        <w:ind w:left="-987" w:right="40" w:firstLine="987"/>
        <w:spacing w:after="0" w:line="254" w:lineRule="auto"/>
        <w:tabs>
          <w:tab w:leader="none" w:pos="26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1" w:lineRule="exact"/>
        <w:rPr>
          <w:rFonts w:ascii="Times New Roman" w:cs="Times New Roman" w:eastAsia="Times New Roman" w:hAnsi="Times New Roman"/>
          <w:sz w:val="18"/>
          <w:szCs w:val="18"/>
          <w:b w:val="1"/>
          <w:bCs w:val="1"/>
          <w:color w:val="auto"/>
        </w:rPr>
      </w:pPr>
    </w:p>
    <w:p>
      <w:pPr>
        <w:ind w:left="-987" w:right="40" w:firstLine="987"/>
        <w:spacing w:after="0" w:line="282" w:lineRule="auto"/>
        <w:tabs>
          <w:tab w:leader="none" w:pos="24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The Agent shall have received the opinion and negative assurance letter of Company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987" w:right="280" w:firstLine="987"/>
        <w:spacing w:after="0" w:line="282" w:lineRule="auto"/>
        <w:tabs>
          <w:tab w:leader="none" w:pos="22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 shall have received the Comfort Letter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Comfort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987" w:right="120" w:firstLine="987"/>
        <w:spacing w:after="0" w:line="282" w:lineRule="auto"/>
        <w:tabs>
          <w:tab w:leader="none" w:pos="25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987" w:right="120" w:firstLine="987"/>
        <w:spacing w:after="0" w:line="282" w:lineRule="auto"/>
        <w:tabs>
          <w:tab w:leader="none" w:pos="26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161" w:lineRule="exact"/>
        <w:rPr>
          <w:rFonts w:ascii="Times New Roman" w:cs="Times New Roman" w:eastAsia="Times New Roman" w:hAnsi="Times New Roman"/>
          <w:sz w:val="18"/>
          <w:szCs w:val="18"/>
          <w:b w:val="1"/>
          <w:bCs w:val="1"/>
          <w:color w:val="auto"/>
        </w:rPr>
      </w:pPr>
    </w:p>
    <w:p>
      <w:pPr>
        <w:ind w:left="-987" w:right="280" w:firstLine="987"/>
        <w:spacing w:after="0" w:line="266" w:lineRule="auto"/>
        <w:tabs>
          <w:tab w:leader="none" w:pos="219"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p>
      <w:pPr>
        <w:sectPr>
          <w:pgSz w:w="11900" w:h="16838" w:orient="portrait"/>
          <w:cols w:equalWidth="0" w:num="1">
            <w:col w:w="9993"/>
          </w:cols>
          <w:pgMar w:left="1427" w:top="270" w:right="479" w:bottom="1440" w:gutter="0" w:footer="0" w:header="0"/>
        </w:sectPr>
      </w:pPr>
    </w:p>
    <w:bookmarkStart w:id="32" w:name="page33"/>
    <w:bookmarkEnd w:id="32"/>
    <w:p>
      <w:pPr>
        <w:ind w:right="380" w:firstLine="987"/>
        <w:spacing w:after="0" w:line="266" w:lineRule="auto"/>
        <w:tabs>
          <w:tab w:leader="none" w:pos="121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Filings Made</w:t>
      </w:r>
      <w:r>
        <w:rPr>
          <w:rFonts w:ascii="Times New Roman" w:cs="Times New Roman" w:eastAsia="Times New Roman" w:hAnsi="Times New Roman"/>
          <w:sz w:val="18"/>
          <w:szCs w:val="18"/>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175" w:lineRule="exact"/>
        <w:rPr>
          <w:rFonts w:ascii="Times New Roman" w:cs="Times New Roman" w:eastAsia="Times New Roman" w:hAnsi="Times New Roman"/>
          <w:sz w:val="18"/>
          <w:szCs w:val="18"/>
          <w:b w:val="1"/>
          <w:bCs w:val="1"/>
          <w:color w:val="auto"/>
        </w:rPr>
      </w:pPr>
    </w:p>
    <w:p>
      <w:pPr>
        <w:ind w:right="200" w:firstLine="987"/>
        <w:spacing w:after="0" w:line="266" w:lineRule="auto"/>
        <w:tabs>
          <w:tab w:leader="none" w:pos="125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75" w:lineRule="exact"/>
        <w:rPr>
          <w:rFonts w:ascii="Times New Roman" w:cs="Times New Roman" w:eastAsia="Times New Roman" w:hAnsi="Times New Roman"/>
          <w:sz w:val="18"/>
          <w:szCs w:val="18"/>
          <w:b w:val="1"/>
          <w:bCs w:val="1"/>
          <w:color w:val="auto"/>
        </w:rPr>
      </w:pPr>
    </w:p>
    <w:p>
      <w:pPr>
        <w:ind w:right="100" w:firstLine="987"/>
        <w:spacing w:after="0" w:line="282" w:lineRule="auto"/>
        <w:tabs>
          <w:tab w:leader="none" w:pos="1206"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right="120" w:firstLine="987"/>
        <w:spacing w:after="0" w:line="266" w:lineRule="auto"/>
        <w:tabs>
          <w:tab w:leader="none" w:pos="124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 its affiliates and their respective partners, members, directors, officers, employees and agents and each person, if any, who controls the Agent or any affiliate within the meaning of Section 15 of the Securities Act or Section 20 of the Exchange Act as follows:</w:t>
      </w:r>
    </w:p>
    <w:p>
      <w:pPr>
        <w:spacing w:after="0" w:line="67" w:lineRule="exact"/>
        <w:rPr>
          <w:rFonts w:ascii="Times New Roman" w:cs="Times New Roman" w:eastAsia="Times New Roman" w:hAnsi="Times New Roman"/>
          <w:sz w:val="18"/>
          <w:szCs w:val="18"/>
          <w:b w:val="1"/>
          <w:bCs w:val="1"/>
          <w:color w:val="auto"/>
        </w:rPr>
      </w:pPr>
    </w:p>
    <w:p>
      <w:pPr>
        <w:ind w:firstLine="1428"/>
        <w:spacing w:after="0" w:line="256" w:lineRule="auto"/>
        <w:tabs>
          <w:tab w:leader="none" w:pos="1647"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b w:val="1"/>
          <w:bCs w:val="1"/>
          <w:color w:val="auto"/>
        </w:rPr>
      </w:pPr>
    </w:p>
    <w:p>
      <w:pPr>
        <w:ind w:right="120" w:firstLine="1428"/>
        <w:spacing w:after="0" w:line="258" w:lineRule="auto"/>
        <w:tabs>
          <w:tab w:leader="none" w:pos="1697"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83" w:lineRule="exact"/>
        <w:rPr>
          <w:rFonts w:ascii="Times New Roman" w:cs="Times New Roman" w:eastAsia="Times New Roman" w:hAnsi="Times New Roman"/>
          <w:sz w:val="18"/>
          <w:szCs w:val="18"/>
          <w:b w:val="1"/>
          <w:bCs w:val="1"/>
          <w:color w:val="auto"/>
        </w:rPr>
      </w:pPr>
    </w:p>
    <w:p>
      <w:pPr>
        <w:ind w:right="120" w:firstLine="1428"/>
        <w:spacing w:after="0" w:line="261" w:lineRule="auto"/>
        <w:tabs>
          <w:tab w:leader="none" w:pos="1747"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ectPr>
          <w:pgSz w:w="11900" w:h="16838" w:orient="portrait"/>
          <w:cols w:equalWidth="0" w:num="1">
            <w:col w:w="11000"/>
          </w:cols>
          <w:pgMar w:left="440" w:top="270" w:right="459" w:bottom="1440" w:gutter="0" w:footer="0" w:header="0"/>
        </w:sectPr>
      </w:pPr>
    </w:p>
    <w:bookmarkStart w:id="33" w:name="page34"/>
    <w:bookmarkEnd w:id="33"/>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solely in reliance upon and in conformity with the Agent Information (as defined below).</w:t>
      </w:r>
    </w:p>
    <w:p>
      <w:pPr>
        <w:spacing w:after="0" w:line="175" w:lineRule="exact"/>
        <w:rPr>
          <w:sz w:val="20"/>
          <w:szCs w:val="20"/>
          <w:color w:val="auto"/>
        </w:rPr>
      </w:pPr>
    </w:p>
    <w:p>
      <w:pPr>
        <w:ind w:right="100" w:firstLine="987"/>
        <w:spacing w:after="0" w:line="253" w:lineRule="auto"/>
        <w:tabs>
          <w:tab w:leader="none" w:pos="125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xml:space="preserv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has furnished to the Company expressly for use in the Registration Statement, the Prospectus, any Prospectus Supplement or any Issuer Free Writing Prospectus (or any amendment or supplement thereto) are the statements set forth in the seventh and eighth paragraphs under the caption “Plan of Distribution” in the Prospectus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b w:val="1"/>
          <w:bCs w:val="1"/>
          <w:color w:val="auto"/>
        </w:rPr>
      </w:pPr>
    </w:p>
    <w:p>
      <w:pPr>
        <w:ind w:firstLine="987"/>
        <w:spacing w:after="0" w:line="251" w:lineRule="auto"/>
        <w:tabs>
          <w:tab w:leader="none" w:pos="123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ectPr>
          <w:pgSz w:w="11900" w:h="16838" w:orient="portrait"/>
          <w:cols w:equalWidth="0" w:num="1">
            <w:col w:w="11000"/>
          </w:cols>
          <w:pgMar w:left="440" w:top="268" w:right="459" w:bottom="1440" w:gutter="0" w:footer="0" w:header="0"/>
        </w:sectPr>
      </w:pPr>
    </w:p>
    <w:bookmarkStart w:id="34" w:name="page35"/>
    <w:bookmarkEnd w:id="34"/>
    <w:p>
      <w:pPr>
        <w:ind w:left="-987" w:right="60" w:firstLine="987"/>
        <w:spacing w:after="0" w:line="257" w:lineRule="auto"/>
        <w:tabs>
          <w:tab w:leader="none" w:pos="26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b w:val="1"/>
          <w:bCs w:val="1"/>
          <w:color w:val="auto"/>
        </w:rPr>
      </w:pPr>
    </w:p>
    <w:p>
      <w:pPr>
        <w:ind w:left="-987" w:firstLine="987"/>
        <w:spacing w:after="0" w:line="251" w:lineRule="auto"/>
        <w:tabs>
          <w:tab w:leader="none" w:pos="24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the Agent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person who controls a party to this Agreement within the meaning of the Securities Act, any affiliates of the Agent and any officers, directors, partners, employees or agents of the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w:t>
      </w:r>
    </w:p>
    <w:p>
      <w:pPr>
        <w:sectPr>
          <w:pgSz w:w="11900" w:h="16838" w:orient="portrait"/>
          <w:cols w:equalWidth="0" w:num="1">
            <w:col w:w="10013"/>
          </w:cols>
          <w:pgMar w:left="1427" w:top="268" w:right="459" w:bottom="1440" w:gutter="0" w:footer="0" w:header="0"/>
        </w:sectPr>
      </w:pPr>
    </w:p>
    <w:bookmarkStart w:id="35" w:name="page36"/>
    <w:bookmarkEnd w:id="35"/>
    <w:p>
      <w:pPr>
        <w:ind w:left="-436" w:right="140" w:firstLine="436"/>
        <w:spacing w:after="0" w:line="258" w:lineRule="auto"/>
        <w:tabs>
          <w:tab w:leader="none" w:pos="26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8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left="-436" w:firstLine="987"/>
        <w:spacing w:after="0" w:line="252" w:lineRule="auto"/>
        <w:tabs>
          <w:tab w:leader="none" w:pos="81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the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the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w:t>
      </w:r>
    </w:p>
    <w:p>
      <w:pPr>
        <w:sectPr>
          <w:pgSz w:w="11900" w:h="16838" w:orient="portrait"/>
          <w:cols w:equalWidth="0" w:num="1">
            <w:col w:w="10544"/>
          </w:cols>
          <w:pgMar w:left="876" w:top="270" w:right="479" w:bottom="1440" w:gutter="0" w:footer="0" w:header="0"/>
        </w:sectPr>
      </w:pPr>
    </w:p>
    <w:bookmarkStart w:id="36" w:name="page37"/>
    <w:bookmarkEnd w:id="36"/>
    <w:p>
      <w:pPr>
        <w:ind w:left="-987" w:right="60" w:firstLine="987"/>
        <w:spacing w:after="0" w:line="289" w:lineRule="auto"/>
        <w:tabs>
          <w:tab w:leader="none" w:pos="269"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xml:space="preserve"> hereof shall remain in full force and effect notwithstanding such termination.</w:t>
      </w:r>
    </w:p>
    <w:p>
      <w:pPr>
        <w:spacing w:after="0" w:line="157" w:lineRule="exact"/>
        <w:rPr>
          <w:rFonts w:ascii="Times New Roman" w:cs="Times New Roman" w:eastAsia="Times New Roman" w:hAnsi="Times New Roman"/>
          <w:sz w:val="17"/>
          <w:szCs w:val="17"/>
          <w:b w:val="1"/>
          <w:bCs w:val="1"/>
          <w:color w:val="auto"/>
        </w:rPr>
      </w:pPr>
    </w:p>
    <w:p>
      <w:pPr>
        <w:ind w:left="-987" w:firstLine="987"/>
        <w:spacing w:after="0" w:line="266" w:lineRule="auto"/>
        <w:tabs>
          <w:tab w:leader="none" w:pos="24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hereof shall remain in full force and effect notwithstanding such termination.</w:t>
      </w:r>
    </w:p>
    <w:p>
      <w:pPr>
        <w:spacing w:after="0" w:line="175" w:lineRule="exact"/>
        <w:rPr>
          <w:rFonts w:ascii="Times New Roman" w:cs="Times New Roman" w:eastAsia="Times New Roman" w:hAnsi="Times New Roman"/>
          <w:sz w:val="18"/>
          <w:szCs w:val="18"/>
          <w:b w:val="1"/>
          <w:bCs w:val="1"/>
          <w:color w:val="auto"/>
        </w:rPr>
      </w:pPr>
    </w:p>
    <w:p>
      <w:pPr>
        <w:ind w:left="-987" w:right="180" w:firstLine="987"/>
        <w:spacing w:after="0" w:line="258" w:lineRule="auto"/>
        <w:tabs>
          <w:tab w:leader="none" w:pos="269"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remain in full force and effect. Upon termination of this Agreement, the Company shall not have any liability to the Agent for any discount, commission, or other compensation with respect to any Placement Shares not otherwise sold by the agent under this Agreement.</w:t>
      </w:r>
    </w:p>
    <w:p>
      <w:pPr>
        <w:sectPr>
          <w:pgSz w:w="11900" w:h="16838" w:orient="portrait"/>
          <w:cols w:equalWidth="0" w:num="1">
            <w:col w:w="9993"/>
          </w:cols>
          <w:pgMar w:left="1427" w:top="270" w:right="479" w:bottom="1440" w:gutter="0" w:footer="0" w:header="0"/>
        </w:sectPr>
      </w:pPr>
    </w:p>
    <w:bookmarkStart w:id="37" w:name="page38"/>
    <w:bookmarkEnd w:id="37"/>
    <w:p>
      <w:pPr>
        <w:ind w:firstLine="987"/>
        <w:spacing w:after="0" w:line="261" w:lineRule="auto"/>
        <w:tabs>
          <w:tab w:leader="none" w:pos="1236"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termination of this Agreement shall be effective on the date specified in such notice of termination; provided, however,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79" w:lineRule="exact"/>
        <w:rPr>
          <w:rFonts w:ascii="Times New Roman" w:cs="Times New Roman" w:eastAsia="Times New Roman" w:hAnsi="Times New Roman"/>
          <w:sz w:val="18"/>
          <w:szCs w:val="18"/>
          <w:b w:val="1"/>
          <w:bCs w:val="1"/>
          <w:color w:val="auto"/>
        </w:rPr>
      </w:pPr>
    </w:p>
    <w:p>
      <w:pPr>
        <w:ind w:right="120" w:firstLine="436"/>
        <w:spacing w:after="0" w:line="282" w:lineRule="auto"/>
        <w:tabs>
          <w:tab w:leader="none" w:pos="71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East 59th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Capital Markets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(212) 307-3730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East 59th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(212) 829-4708</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Daniel I. Goldberg,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(212) 479-6722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Invivyd,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William Duke, Jr., Chief Financial Officer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Invivyd,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1601 Trapelo Road, Suite 178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Waltham, MA 02451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Jill Andersen, Chief Legal Officer and Corporate Secretary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Hogan Lovells US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1735 Market Street, 23rd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Steven J. Abrams, Esq.; Stephen M. Nicolai,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steve.abrams@hoganlovells.com; stephen.nicolai@hoganlovells.com</w:t>
      </w:r>
    </w:p>
    <w:p>
      <w:pPr>
        <w:sectPr>
          <w:pgSz w:w="11900" w:h="16838" w:orient="portrait"/>
          <w:cols w:equalWidth="0" w:num="1">
            <w:col w:w="10840"/>
          </w:cols>
          <w:pgMar w:left="440" w:top="270" w:right="619" w:bottom="1440" w:gutter="0" w:footer="0" w:header="0"/>
        </w:sectPr>
      </w:pPr>
    </w:p>
    <w:bookmarkStart w:id="38" w:name="page39"/>
    <w:bookmarkEnd w:id="38"/>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8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13 if sent to the electronic mail address specified by the receiving party under separate cover or as set forth in this Section 13.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183" w:lineRule="exact"/>
        <w:rPr>
          <w:sz w:val="20"/>
          <w:szCs w:val="20"/>
          <w:color w:val="auto"/>
        </w:rPr>
      </w:pPr>
    </w:p>
    <w:p>
      <w:pPr>
        <w:ind w:firstLine="436"/>
        <w:spacing w:after="0" w:line="255" w:lineRule="auto"/>
        <w:tabs>
          <w:tab w:leader="none" w:pos="71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Agent may assign its rights and obligations hereunder to an affiliate thereof without obtaining the Company’s consent.</w:t>
      </w:r>
    </w:p>
    <w:p>
      <w:pPr>
        <w:spacing w:after="0" w:line="188" w:lineRule="exact"/>
        <w:rPr>
          <w:rFonts w:ascii="Times New Roman" w:cs="Times New Roman" w:eastAsia="Times New Roman" w:hAnsi="Times New Roman"/>
          <w:sz w:val="18"/>
          <w:szCs w:val="18"/>
          <w:b w:val="1"/>
          <w:bCs w:val="1"/>
          <w:color w:val="auto"/>
        </w:rPr>
      </w:pPr>
    </w:p>
    <w:p>
      <w:pPr>
        <w:ind w:right="120" w:firstLine="436"/>
        <w:spacing w:after="0" w:line="282" w:lineRule="auto"/>
        <w:tabs>
          <w:tab w:leader="none" w:pos="71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61" w:lineRule="exact"/>
        <w:rPr>
          <w:rFonts w:ascii="Times New Roman" w:cs="Times New Roman" w:eastAsia="Times New Roman" w:hAnsi="Times New Roman"/>
          <w:sz w:val="18"/>
          <w:szCs w:val="18"/>
          <w:b w:val="1"/>
          <w:bCs w:val="1"/>
          <w:color w:val="auto"/>
        </w:rPr>
      </w:pPr>
    </w:p>
    <w:p>
      <w:pPr>
        <w:ind w:right="20" w:firstLine="436"/>
        <w:spacing w:after="0" w:line="253" w:lineRule="auto"/>
        <w:tabs>
          <w:tab w:leader="none" w:pos="71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ectPr>
          <w:pgSz w:w="11900" w:h="16838" w:orient="portrait"/>
          <w:cols w:equalWidth="0" w:num="1">
            <w:col w:w="11020"/>
          </w:cols>
          <w:pgMar w:left="440" w:top="270" w:right="439" w:bottom="1440" w:gutter="0" w:footer="0" w:header="0"/>
        </w:sectPr>
      </w:pPr>
    </w:p>
    <w:bookmarkStart w:id="39" w:name="page40"/>
    <w:bookmarkEnd w:id="39"/>
    <w:p>
      <w:pPr>
        <w:ind w:left="-436" w:right="140" w:firstLine="436"/>
        <w:spacing w:after="0" w:line="257" w:lineRule="auto"/>
        <w:tabs>
          <w:tab w:leader="none" w:pos="27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2" w:lineRule="exact"/>
        <w:rPr>
          <w:rFonts w:ascii="Times New Roman" w:cs="Times New Roman" w:eastAsia="Times New Roman" w:hAnsi="Times New Roman"/>
          <w:sz w:val="18"/>
          <w:szCs w:val="18"/>
          <w:b w:val="1"/>
          <w:bCs w:val="1"/>
          <w:color w:val="auto"/>
        </w:rPr>
      </w:pPr>
    </w:p>
    <w:p>
      <w:pPr>
        <w:ind w:left="-436" w:firstLine="436"/>
        <w:spacing w:after="0" w:line="253" w:lineRule="auto"/>
        <w:tabs>
          <w:tab w:leader="none" w:pos="27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3" w:lineRule="exact"/>
        <w:rPr>
          <w:rFonts w:ascii="Times New Roman" w:cs="Times New Roman" w:eastAsia="Times New Roman" w:hAnsi="Times New Roman"/>
          <w:sz w:val="18"/>
          <w:szCs w:val="18"/>
          <w:b w:val="1"/>
          <w:bCs w:val="1"/>
          <w:color w:val="auto"/>
        </w:rPr>
      </w:pPr>
    </w:p>
    <w:p>
      <w:pPr>
        <w:ind w:left="-436" w:right="40" w:firstLine="436"/>
        <w:spacing w:after="0" w:line="258" w:lineRule="auto"/>
        <w:tabs>
          <w:tab w:leader="none" w:pos="274"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ectPr>
          <w:pgSz w:w="11900" w:h="16838" w:orient="portrait"/>
          <w:cols w:equalWidth="0" w:num="1">
            <w:col w:w="10564"/>
          </w:cols>
          <w:pgMar w:left="876" w:top="266" w:right="459" w:bottom="1440" w:gutter="0" w:footer="0" w:header="0"/>
        </w:sectPr>
      </w:pPr>
    </w:p>
    <w:bookmarkStart w:id="40" w:name="page41"/>
    <w:bookmarkEnd w:id="40"/>
    <w:p>
      <w:pPr>
        <w:ind w:left="-436" w:right="80" w:firstLine="436"/>
        <w:spacing w:after="0" w:line="261" w:lineRule="auto"/>
        <w:tabs>
          <w:tab w:leader="none" w:pos="27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9" w:lineRule="exact"/>
        <w:rPr>
          <w:rFonts w:ascii="Times New Roman" w:cs="Times New Roman" w:eastAsia="Times New Roman" w:hAnsi="Times New Roman"/>
          <w:sz w:val="18"/>
          <w:szCs w:val="18"/>
          <w:b w:val="1"/>
          <w:bCs w:val="1"/>
          <w:color w:val="auto"/>
        </w:rPr>
      </w:pPr>
    </w:p>
    <w:p>
      <w:pPr>
        <w:ind w:left="-436" w:right="20" w:firstLine="436"/>
        <w:spacing w:after="0" w:line="253" w:lineRule="auto"/>
        <w:tabs>
          <w:tab w:leader="none" w:pos="27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written consent of the Agent, which shall not be unreasonably withheld, conditioned, or delayed, and the Agent represents, warrants and agrees that, unless it obtains the prior written consent of the Company, which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hereto are Permitted Free Writing Prospectuses.</w:t>
      </w:r>
    </w:p>
    <w:p>
      <w:pPr>
        <w:spacing w:after="0" w:line="194"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17" w:lineRule="exact"/>
        <w:rPr>
          <w:rFonts w:ascii="Times New Roman" w:cs="Times New Roman" w:eastAsia="Times New Roman" w:hAnsi="Times New Roman"/>
          <w:sz w:val="18"/>
          <w:szCs w:val="18"/>
          <w:b w:val="1"/>
          <w:bCs w:val="1"/>
          <w:color w:val="auto"/>
        </w:rPr>
      </w:pPr>
    </w:p>
    <w:p>
      <w:pPr>
        <w:ind w:left="-436" w:firstLine="987"/>
        <w:spacing w:after="0" w:line="256" w:lineRule="auto"/>
        <w:tabs>
          <w:tab w:leader="none" w:pos="81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b w:val="1"/>
          <w:bCs w:val="1"/>
          <w:color w:val="auto"/>
        </w:rPr>
      </w:pPr>
    </w:p>
    <w:p>
      <w:pPr>
        <w:ind w:left="-436" w:right="740" w:firstLine="987"/>
        <w:spacing w:after="0" w:line="282" w:lineRule="auto"/>
        <w:tabs>
          <w:tab w:leader="none" w:pos="82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b w:val="1"/>
          <w:bCs w:val="1"/>
          <w:color w:val="auto"/>
        </w:rPr>
      </w:pPr>
    </w:p>
    <w:p>
      <w:pPr>
        <w:ind w:left="-436" w:right="420" w:firstLine="987"/>
        <w:spacing w:after="0" w:line="312" w:lineRule="auto"/>
        <w:tabs>
          <w:tab w:leader="none" w:pos="799"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39" w:lineRule="exact"/>
        <w:rPr>
          <w:rFonts w:ascii="Times New Roman" w:cs="Times New Roman" w:eastAsia="Times New Roman" w:hAnsi="Times New Roman"/>
          <w:sz w:val="17"/>
          <w:szCs w:val="17"/>
          <w:b w:val="1"/>
          <w:bCs w:val="1"/>
          <w:color w:val="auto"/>
        </w:rPr>
      </w:pPr>
    </w:p>
    <w:p>
      <w:pPr>
        <w:jc w:val="both"/>
        <w:ind w:left="-436" w:right="320" w:firstLine="987"/>
        <w:spacing w:after="0" w:line="266" w:lineRule="auto"/>
        <w:tabs>
          <w:tab w:leader="none" w:pos="820"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ectPr>
          <w:pgSz w:w="11900" w:h="16838" w:orient="portrait"/>
          <w:cols w:equalWidth="0" w:num="1">
            <w:col w:w="10564"/>
          </w:cols>
          <w:pgMar w:left="876" w:top="270" w:right="459" w:bottom="1440" w:gutter="0" w:footer="0" w:header="0"/>
        </w:sectPr>
      </w:pPr>
    </w:p>
    <w:bookmarkStart w:id="41" w:name="page42"/>
    <w:bookmarkEnd w:id="41"/>
    <w:p>
      <w:pPr>
        <w:ind w:left="4" w:right="20" w:firstLine="987"/>
        <w:spacing w:after="0" w:line="261" w:lineRule="auto"/>
        <w:tabs>
          <w:tab w:leader="none" w:pos="124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w:t>
      </w:r>
    </w:p>
    <w:p>
      <w:pPr>
        <w:spacing w:after="0" w:line="179"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113"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(ii) the time of each sale of any Placement Shares pursuant to this Agreement and (iii) each Settlement Date.</w:t>
      </w:r>
    </w:p>
    <w:p>
      <w:pPr>
        <w:spacing w:after="0" w:line="155" w:lineRule="exact"/>
        <w:rPr>
          <w:sz w:val="20"/>
          <w:szCs w:val="20"/>
          <w:color w:val="auto"/>
        </w:rPr>
      </w:pPr>
    </w:p>
    <w:p>
      <w:pPr>
        <w:ind w:left="4" w:right="46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Governmental Authority</w:t>
      </w:r>
      <w:r>
        <w:rPr>
          <w:rFonts w:ascii="Times New Roman" w:cs="Times New Roman" w:eastAsia="Times New Roman" w:hAnsi="Times New Roman"/>
          <w:sz w:val="17"/>
          <w:szCs w:val="17"/>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53" w:lineRule="exact"/>
        <w:rPr>
          <w:sz w:val="20"/>
          <w:szCs w:val="20"/>
          <w:color w:val="auto"/>
        </w:rPr>
      </w:pPr>
    </w:p>
    <w:p>
      <w:pPr>
        <w:jc w:val="both"/>
        <w:ind w:left="4"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Issuer Free Writing Prospectus</w:t>
      </w:r>
      <w:r>
        <w:rPr>
          <w:rFonts w:ascii="Times New Roman" w:cs="Times New Roman" w:eastAsia="Times New Roman" w:hAnsi="Times New Roman"/>
          <w:sz w:val="17"/>
          <w:szCs w:val="17"/>
          <w:color w:val="auto"/>
        </w:rPr>
        <w:t>” means any “issuer free writing prospectus,” as defined in Rule 433, relating to the Placement Shares that (1) is required to be filed with the Commission by the Company, (2) is a “road show” that is a “written communication” within the meaning of Rule 433(d)(8)</w:t>
      </w:r>
    </w:p>
    <w:p>
      <w:pPr>
        <w:spacing w:after="0" w:line="1" w:lineRule="exact"/>
        <w:rPr>
          <w:sz w:val="20"/>
          <w:szCs w:val="20"/>
          <w:color w:val="auto"/>
        </w:rPr>
      </w:pPr>
    </w:p>
    <w:p>
      <w:pPr>
        <w:ind w:left="4" w:right="40" w:hanging="4"/>
        <w:spacing w:after="0" w:line="255"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82" w:lineRule="exact"/>
        <w:rPr>
          <w:sz w:val="20"/>
          <w:szCs w:val="20"/>
          <w:color w:val="auto"/>
        </w:rPr>
      </w:pPr>
    </w:p>
    <w:p>
      <w:pPr>
        <w:ind w:left="4"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 Act Regulations.</w:t>
      </w:r>
    </w:p>
    <w:p>
      <w:pPr>
        <w:spacing w:after="0" w:line="159"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8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70" w:right="479" w:bottom="1440" w:gutter="0" w:footer="0" w:header="0"/>
        </w:sectPr>
      </w:pPr>
    </w:p>
    <w:bookmarkStart w:id="42" w:name="page43"/>
    <w:bookmarkEnd w:id="4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INVIVYD,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Duke, Jr.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Sage Kelly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Global Head of Investment Banking</w:t>
      </w:r>
    </w:p>
    <w:p>
      <w:pPr>
        <w:sectPr>
          <w:pgSz w:w="11900" w:h="16838" w:orient="portrait"/>
          <w:cols w:equalWidth="0" w:num="1">
            <w:col w:w="10980"/>
          </w:cols>
          <w:pgMar w:left="440" w:top="270" w:right="479" w:bottom="1440" w:gutter="0" w:footer="0" w:header="0"/>
        </w:sectPr>
      </w:pPr>
    </w:p>
    <w:bookmarkStart w:id="43" w:name="page44"/>
    <w:bookmarkEnd w:id="43"/>
    <w:p>
      <w:pPr>
        <w:jc w:val="center"/>
        <w:ind w:right="-3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Invivyd, Inc.</w:t>
            </w: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w w:val="98"/>
              </w:rPr>
              <w:t>Cantor Fitzgerald &amp; Co.</w:t>
            </w:r>
          </w:p>
        </w:tc>
      </w:tr>
      <w:tr>
        <w:trPr>
          <w:trHeight w:val="194"/>
        </w:trPr>
        <w:tc>
          <w:tcPr>
            <w:tcW w:w="740" w:type="dxa"/>
            <w:vAlign w:val="bottom"/>
          </w:tcPr>
          <w:p>
            <w:pPr>
              <w:spacing w:after="0"/>
              <w:rPr>
                <w:sz w:val="16"/>
                <w:szCs w:val="16"/>
                <w:color w:val="auto"/>
              </w:rPr>
            </w:pPr>
          </w:p>
        </w:tc>
        <w:tc>
          <w:tcPr>
            <w:tcW w:w="1040" w:type="dxa"/>
            <w:vAlign w:val="bottom"/>
            <w:gridSpan w:val="4"/>
          </w:tcPr>
          <w:p>
            <w:pPr>
              <w:ind w:left="140"/>
              <w:spacing w:after="0" w:line="194" w:lineRule="exact"/>
              <w:rPr>
                <w:sz w:val="20"/>
                <w:szCs w:val="20"/>
                <w:color w:val="auto"/>
              </w:rPr>
            </w:pPr>
            <w:r>
              <w:rPr>
                <w:rFonts w:ascii="Times New Roman" w:cs="Times New Roman" w:eastAsia="Times New Roman" w:hAnsi="Times New Roman"/>
                <w:sz w:val="18"/>
                <w:szCs w:val="18"/>
                <w:color w:val="auto"/>
              </w:rPr>
              <w:t>Attention: [</w:t>
            </w:r>
          </w:p>
        </w:tc>
        <w:tc>
          <w:tcPr>
            <w:tcW w:w="1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6"/>
                <w:szCs w:val="16"/>
                <w:color w:val="auto"/>
              </w:rPr>
            </w:pP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Placement Notice</w:t>
            </w:r>
          </w:p>
        </w:tc>
      </w:tr>
      <w:tr>
        <w:trPr>
          <w:trHeight w:val="39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 202[</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between Invivyd, Inc.,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Cantor Fitzgerald &amp; Co.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dated December 22, 2023, the Company hereby requests that the Agent sell up to [_]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common stock, par value $0.0001 per share, at a minimum market price of $[_] per share, during the time period beginning [month, day,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and ending [month, day, time].</w:t>
      </w:r>
    </w:p>
    <w:p>
      <w:pPr>
        <w:sectPr>
          <w:pgSz w:w="11900" w:h="16838" w:orient="portrait"/>
          <w:cols w:equalWidth="0" w:num="1">
            <w:col w:w="10680"/>
          </w:cols>
          <w:pgMar w:left="440" w:top="270" w:right="779" w:bottom="1440" w:gutter="0" w:footer="0" w:header="0"/>
        </w:sectPr>
      </w:pPr>
    </w:p>
    <w:bookmarkStart w:id="44" w:name="page45"/>
    <w:bookmarkEnd w:id="44"/>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pay to the Agent in cash, upon each sale of Placement Shares pursuant to this Agreement, an amount equal to 3.0% of the aggregate gross proceeds from each sale of Placement Shares.</w:t>
      </w:r>
    </w:p>
    <w:p>
      <w:pPr>
        <w:sectPr>
          <w:pgSz w:w="11900" w:h="16838" w:orient="portrait"/>
          <w:cols w:equalWidth="0" w:num="1">
            <w:col w:w="10640"/>
          </w:cols>
          <w:pgMar w:left="440" w:top="266" w:right="819" w:bottom="1440" w:gutter="0" w:footer="0" w:header="0"/>
        </w:sectPr>
      </w:pPr>
    </w:p>
    <w:bookmarkStart w:id="45" w:name="page46"/>
    <w:bookmarkEnd w:id="45"/>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Hering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Duke, Jr.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Andersen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Sameer Vasudev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66" w:right="1440" w:bottom="1440" w:gutter="0" w:footer="0" w:header="0"/>
        </w:sectPr>
      </w:pPr>
    </w:p>
    <w:bookmarkStart w:id="46" w:name="page47"/>
    <w:bookmarkEnd w:id="46"/>
    <w:p>
      <w:pPr>
        <w:ind w:left="45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242570</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251460</wp:posOffset>
            </wp:positionV>
            <wp:extent cx="1474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Incorporated by reference to Exhibit 21.1 of the Company’s most recently filed Form 10-K, as applicable.</w:t>
      </w:r>
    </w:p>
    <w:p>
      <w:pPr>
        <w:sectPr>
          <w:pgSz w:w="11900" w:h="16838" w:orient="portrait"/>
          <w:cols w:equalWidth="0" w:num="1">
            <w:col w:w="9579"/>
          </w:cols>
          <w:pgMar w:left="880" w:top="266" w:right="1440" w:bottom="1440" w:gutter="0" w:footer="0" w:header="0"/>
        </w:sectPr>
      </w:pPr>
    </w:p>
    <w:bookmarkStart w:id="47" w:name="page48"/>
    <w:bookmarkEnd w:id="47"/>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107"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b w:val="1"/>
          <w:bCs w:val="1"/>
          <w:color w:val="auto"/>
        </w:rPr>
        <w:t>Permitted Free Writing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sectPr>
      <w:pgSz w:w="11900" w:h="16838" w:orient="portrait"/>
      <w:cols w:equalWidth="0" w:num="1">
        <w:col w:w="10019"/>
      </w:cols>
      <w:pgMar w:left="440" w:top="2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lowerRoman"/>
      <w:start w:val="1"/>
    </w:lvl>
    <w:lvl w:ilvl="1">
      <w:lvlJc w:val="left"/>
      <w:lvlText w:val="%2."/>
      <w:numFmt w:val="decimal"/>
      <w:start w:val="3"/>
    </w:lvl>
  </w:abstractNum>
  <w:abstractNum w:abstractNumId="4">
    <w:nsid w:val="2CA88611"/>
    <w:multiLevelType w:val="hybridMultilevel"/>
    <w:lvl w:ilvl="0">
      <w:lvlJc w:val="left"/>
      <w:lvlText w:val="(%1)"/>
      <w:numFmt w:val="lowerRoman"/>
      <w:start w:val="1"/>
    </w:lvl>
    <w:lvl w:ilvl="1">
      <w:lvlJc w:val="left"/>
      <w:lvlText w:val="%2"/>
      <w:numFmt w:val="decimal"/>
      <w:start w:val="1"/>
    </w:lvl>
  </w:abstractNum>
  <w:abstractNum w:abstractNumId="5">
    <w:nsid w:val="836C40E"/>
    <w:multiLevelType w:val="hybridMultilevel"/>
    <w:lvl w:ilvl="0">
      <w:lvlJc w:val="left"/>
      <w:lvlText w:val="%1."/>
      <w:numFmt w:val="decimal"/>
      <w:start w:val="5"/>
    </w:lvl>
    <w:lvl w:ilvl="1">
      <w:lvlJc w:val="left"/>
      <w:lvlText w:val="(%2)"/>
      <w:numFmt w:val="lowerLetter"/>
      <w:start w:val="1"/>
    </w:lvl>
  </w:abstractNum>
  <w:abstractNum w:abstractNumId="6">
    <w:nsid w:val="2901D82"/>
    <w:multiLevelType w:val="hybridMultilevel"/>
    <w:lvl w:ilvl="0">
      <w:lvlJc w:val="left"/>
      <w:lvlText w:val="%1"/>
      <w:numFmt w:val="decimal"/>
      <w:start w:val="1"/>
    </w:lvl>
    <w:lvl w:ilvl="1">
      <w:lvlJc w:val="left"/>
      <w:lvlText w:val="(%2)"/>
      <w:numFmt w:val="lowerLetter"/>
      <w:start w:val="4"/>
    </w:lvl>
  </w:abstractNum>
  <w:abstractNum w:abstractNumId="7">
    <w:nsid w:val="3A95F874"/>
    <w:multiLevelType w:val="hybridMultilevel"/>
    <w:lvl w:ilvl="0">
      <w:lvlJc w:val="left"/>
      <w:lvlText w:val="%1."/>
      <w:numFmt w:val="decimal"/>
      <w:start w:val="6"/>
    </w:lvl>
    <w:lvl w:ilvl="1">
      <w:lvlJc w:val="left"/>
      <w:lvlText w:val="(%2)"/>
      <w:numFmt w:val="lowerLetter"/>
      <w:start w:val="1"/>
    </w:lvl>
  </w:abstractNum>
  <w:abstractNum w:abstractNumId="8">
    <w:nsid w:val="8138641"/>
    <w:multiLevelType w:val="hybridMultilevel"/>
    <w:lvl w:ilvl="0">
      <w:lvlJc w:val="left"/>
      <w:lvlText w:val="(%1)"/>
      <w:numFmt w:val="lowerLetter"/>
      <w:start w:val="2"/>
    </w:lvl>
  </w:abstractNum>
  <w:abstractNum w:abstractNumId="9">
    <w:nsid w:val="1E7FF521"/>
    <w:multiLevelType w:val="hybridMultilevel"/>
    <w:lvl w:ilvl="0">
      <w:lvlJc w:val="left"/>
      <w:lvlText w:val="(%1)"/>
      <w:numFmt w:val="lowerLetter"/>
      <w:start w:val="5"/>
    </w:lvl>
  </w:abstractNum>
  <w:abstractNum w:abstractNumId="10">
    <w:nsid w:val="7C3DBD3D"/>
    <w:multiLevelType w:val="hybridMultilevel"/>
    <w:lvl w:ilvl="0">
      <w:lvlJc w:val="left"/>
      <w:lvlText w:val="(%1)"/>
      <w:numFmt w:val="lowerLetter"/>
      <w:start w:val="9"/>
    </w:lvl>
  </w:abstractNum>
  <w:abstractNum w:abstractNumId="11">
    <w:nsid w:val="737B8DDC"/>
    <w:multiLevelType w:val="hybridMultilevel"/>
    <w:lvl w:ilvl="0">
      <w:lvlJc w:val="left"/>
      <w:lvlText w:val="(%1)"/>
      <w:numFmt w:val="lowerLetter"/>
      <w:start w:val="16"/>
    </w:lvl>
  </w:abstractNum>
  <w:abstractNum w:abstractNumId="12">
    <w:nsid w:val="6CEAF087"/>
    <w:multiLevelType w:val="hybridMultilevel"/>
    <w:lvl w:ilvl="0">
      <w:lvlJc w:val="left"/>
      <w:lvlText w:val="(%1)"/>
      <w:numFmt w:val="lowerRoman"/>
      <w:start w:val="1"/>
    </w:lvl>
  </w:abstractNum>
  <w:abstractNum w:abstractNumId="13">
    <w:nsid w:val="22221A70"/>
    <w:multiLevelType w:val="hybridMultilevel"/>
    <w:lvl w:ilvl="0">
      <w:lvlJc w:val="left"/>
      <w:lvlText w:val="(%1)"/>
      <w:numFmt w:val="lowerRoman"/>
      <w:start w:val="2"/>
    </w:lvl>
  </w:abstractNum>
  <w:abstractNum w:abstractNumId="14">
    <w:nsid w:val="4516DDE9"/>
    <w:multiLevelType w:val="hybridMultilevel"/>
    <w:lvl w:ilvl="0">
      <w:lvlJc w:val="left"/>
      <w:lvlText w:val="%1"/>
      <w:numFmt w:val="lowerLetter"/>
      <w:start w:val="1"/>
    </w:lvl>
    <w:lvl w:ilvl="1">
      <w:lvlJc w:val="left"/>
      <w:lvlText w:val="(%2)"/>
      <w:numFmt w:val="lowerLetter"/>
      <w:start w:val="20"/>
    </w:lvl>
  </w:abstractNum>
  <w:abstractNum w:abstractNumId="15">
    <w:nsid w:val="3006C83E"/>
    <w:multiLevelType w:val="hybridMultilevel"/>
    <w:lvl w:ilvl="0">
      <w:lvlJc w:val="left"/>
      <w:lvlText w:val="(%1)"/>
      <w:numFmt w:val="lowerLetter"/>
      <w:start w:val="22"/>
    </w:lvl>
    <w:lvl w:ilvl="1">
      <w:lvlJc w:val="left"/>
      <w:lvlText w:val="%2"/>
      <w:numFmt w:val="lowerLetter"/>
      <w:start w:val="1"/>
    </w:lvl>
  </w:abstractNum>
  <w:abstractNum w:abstractNumId="16">
    <w:nsid w:val="614FD4A1"/>
    <w:multiLevelType w:val="hybridMultilevel"/>
    <w:lvl w:ilvl="0">
      <w:lvlJc w:val="left"/>
      <w:lvlText w:val="(%1)"/>
      <w:numFmt w:val="lowerLetter"/>
      <w:start w:val="21"/>
    </w:lvl>
  </w:abstractNum>
  <w:abstractNum w:abstractNumId="17">
    <w:nsid w:val="419AC241"/>
    <w:multiLevelType w:val="hybridMultilevel"/>
    <w:lvl w:ilvl="0">
      <w:lvlJc w:val="left"/>
      <w:lvlText w:val="(%1)"/>
      <w:numFmt w:val="lowerLetter"/>
      <w:start w:val="25"/>
    </w:lvl>
  </w:abstractNum>
  <w:abstractNum w:abstractNumId="18">
    <w:nsid w:val="5577F8E1"/>
    <w:multiLevelType w:val="hybridMultilevel"/>
    <w:lvl w:ilvl="0">
      <w:lvlJc w:val="left"/>
      <w:lvlText w:val="(%1)"/>
      <w:numFmt w:val="lowerLetter"/>
      <w:start w:val="27"/>
    </w:lvl>
  </w:abstractNum>
  <w:abstractNum w:abstractNumId="19">
    <w:nsid w:val="440BADFC"/>
    <w:multiLevelType w:val="hybridMultilevel"/>
    <w:lvl w:ilvl="0">
      <w:lvlJc w:val="left"/>
      <w:lvlText w:val="(%1)"/>
      <w:numFmt w:val="lowerLetter"/>
      <w:start w:val="29"/>
    </w:lvl>
  </w:abstractNum>
  <w:abstractNum w:abstractNumId="20">
    <w:nsid w:val="5072367"/>
    <w:multiLevelType w:val="hybridMultilevel"/>
    <w:lvl w:ilvl="0">
      <w:lvlJc w:val="left"/>
      <w:lvlText w:val="(%1)"/>
      <w:numFmt w:val="lowerLetter"/>
      <w:start w:val="32"/>
    </w:lvl>
    <w:lvl w:ilvl="1">
      <w:lvlJc w:val="left"/>
      <w:lvlText w:val="(%2)"/>
      <w:numFmt w:val="lowerRoman"/>
      <w:start w:val="1"/>
    </w:lvl>
    <w:lvl w:ilvl="2">
      <w:lvlJc w:val="left"/>
      <w:lvlText w:val="(%3)"/>
      <w:numFmt w:val="upperLetter"/>
      <w:start w:val="1"/>
    </w:lvl>
  </w:abstractNum>
  <w:abstractNum w:abstractNumId="21">
    <w:nsid w:val="3804823E"/>
    <w:multiLevelType w:val="hybridMultilevel"/>
    <w:lvl w:ilvl="0">
      <w:lvlJc w:val="left"/>
      <w:lvlText w:val="(%1)"/>
      <w:numFmt w:val="lowerLetter"/>
      <w:start w:val="35"/>
    </w:lvl>
  </w:abstractNum>
  <w:abstractNum w:abstractNumId="22">
    <w:nsid w:val="77465F01"/>
    <w:multiLevelType w:val="hybridMultilevel"/>
    <w:lvl w:ilvl="0">
      <w:lvlJc w:val="left"/>
      <w:lvlText w:val="(%1)"/>
      <w:numFmt w:val="lowerLetter"/>
      <w:start w:val="38"/>
    </w:lvl>
  </w:abstractNum>
  <w:abstractNum w:abstractNumId="23">
    <w:nsid w:val="7724C67E"/>
    <w:multiLevelType w:val="hybridMultilevel"/>
    <w:lvl w:ilvl="0">
      <w:lvlJc w:val="left"/>
      <w:lvlText w:val="(%1)"/>
      <w:numFmt w:val="lowerLetter"/>
      <w:start w:val="46"/>
    </w:lvl>
  </w:abstractNum>
  <w:abstractNum w:abstractNumId="24">
    <w:nsid w:val="5C482A97"/>
    <w:multiLevelType w:val="hybridMultilevel"/>
    <w:lvl w:ilvl="0">
      <w:lvlJc w:val="left"/>
      <w:lvlText w:val="(%1)"/>
      <w:numFmt w:val="lowerLetter"/>
      <w:start w:val="51"/>
    </w:lvl>
  </w:abstractNum>
  <w:abstractNum w:abstractNumId="25">
    <w:nsid w:val="2463B9EA"/>
    <w:multiLevelType w:val="hybridMultilevel"/>
    <w:lvl w:ilvl="0">
      <w:lvlJc w:val="left"/>
      <w:lvlText w:val="(%1)"/>
      <w:numFmt w:val="lowerLetter"/>
      <w:start w:val="53"/>
    </w:lvl>
  </w:abstractNum>
  <w:abstractNum w:abstractNumId="26">
    <w:nsid w:val="5E884ADC"/>
    <w:multiLevelType w:val="hybridMultilevel"/>
    <w:lvl w:ilvl="0">
      <w:lvlJc w:val="left"/>
      <w:lvlText w:val="%1."/>
      <w:numFmt w:val="decimal"/>
      <w:start w:val="7"/>
    </w:lvl>
    <w:lvl w:ilvl="1">
      <w:lvlJc w:val="left"/>
      <w:lvlText w:val="(%2)"/>
      <w:numFmt w:val="lowerLetter"/>
      <w:start w:val="1"/>
    </w:lvl>
  </w:abstractNum>
  <w:abstractNum w:abstractNumId="27">
    <w:nsid w:val="51EAD36B"/>
    <w:multiLevelType w:val="hybridMultilevel"/>
    <w:lvl w:ilvl="0">
      <w:lvlJc w:val="left"/>
      <w:lvlText w:val="(%1)"/>
      <w:numFmt w:val="lowerLetter"/>
      <w:start w:val="3"/>
    </w:lvl>
  </w:abstractNum>
  <w:abstractNum w:abstractNumId="28">
    <w:nsid w:val="2D517796"/>
    <w:multiLevelType w:val="hybridMultilevel"/>
    <w:lvl w:ilvl="0">
      <w:lvlJc w:val="left"/>
      <w:lvlText w:val="(%1)"/>
      <w:numFmt w:val="lowerLetter"/>
      <w:start w:val="6"/>
    </w:lvl>
  </w:abstractNum>
  <w:abstractNum w:abstractNumId="29">
    <w:nsid w:val="580BD78F"/>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30">
    <w:nsid w:val="153EA438"/>
    <w:multiLevelType w:val="hybridMultilevel"/>
    <w:lvl w:ilvl="0">
      <w:lvlJc w:val="left"/>
      <w:lvlText w:val="(%1)"/>
      <w:numFmt w:val="lowerLetter"/>
      <w:start w:val="35"/>
    </w:lvl>
    <w:lvl w:ilvl="1">
      <w:lvlJc w:val="left"/>
      <w:lvlText w:val="(%2)"/>
      <w:numFmt w:val="lowerLetter"/>
      <w:start w:val="12"/>
    </w:lvl>
    <w:lvl w:ilvl="2">
      <w:lvlJc w:val="left"/>
      <w:lvlText w:val="(%3)"/>
      <w:numFmt w:val="lowerRoman"/>
      <w:start w:val="1"/>
    </w:lvl>
  </w:abstractNum>
  <w:abstractNum w:abstractNumId="31">
    <w:nsid w:val="3855585C"/>
    <w:multiLevelType w:val="hybridMultilevel"/>
    <w:lvl w:ilvl="0">
      <w:lvlJc w:val="left"/>
      <w:lvlText w:val="(%1)"/>
      <w:numFmt w:val="lowerLetter"/>
      <w:start w:val="13"/>
    </w:lvl>
  </w:abstractNum>
  <w:abstractNum w:abstractNumId="32">
    <w:nsid w:val="70A64E2A"/>
    <w:multiLevelType w:val="hybridMultilevel"/>
    <w:lvl w:ilvl="0">
      <w:lvlJc w:val="left"/>
      <w:lvlText w:val="(%1)"/>
      <w:numFmt w:val="lowerLetter"/>
      <w:start w:val="15"/>
    </w:lvl>
  </w:abstractNum>
  <w:abstractNum w:abstractNumId="33">
    <w:nsid w:val="6A2342EC"/>
    <w:multiLevelType w:val="hybridMultilevel"/>
    <w:lvl w:ilvl="0">
      <w:lvlJc w:val="left"/>
      <w:lvlText w:val="%1"/>
      <w:numFmt w:val="decimal"/>
      <w:start w:val="1"/>
    </w:lvl>
    <w:lvl w:ilvl="1">
      <w:lvlJc w:val="left"/>
      <w:lvlText w:val="(%2)"/>
      <w:numFmt w:val="lowerLetter"/>
      <w:start w:val="20"/>
    </w:lvl>
  </w:abstractNum>
  <w:abstractNum w:abstractNumId="34">
    <w:nsid w:val="2A487CB0"/>
    <w:multiLevelType w:val="hybridMultilevel"/>
    <w:lvl w:ilvl="0">
      <w:lvlJc w:val="left"/>
      <w:lvlText w:val="%1."/>
      <w:numFmt w:val="decimal"/>
      <w:start w:val="8"/>
    </w:lvl>
    <w:lvl w:ilvl="1">
      <w:lvlJc w:val="left"/>
      <w:lvlText w:val="%2"/>
      <w:numFmt w:val="lowerLetter"/>
      <w:start w:val="1"/>
    </w:lvl>
  </w:abstractNum>
  <w:abstractNum w:abstractNumId="35">
    <w:nsid w:val="1D4ED43B"/>
    <w:multiLevelType w:val="hybridMultilevel"/>
    <w:lvl w:ilvl="0">
      <w:lvlJc w:val="left"/>
      <w:lvlText w:val="%1."/>
      <w:numFmt w:val="decimal"/>
      <w:start w:val="9"/>
    </w:lvl>
    <w:lvl w:ilvl="1">
      <w:lvlJc w:val="left"/>
      <w:lvlText w:val="(%2)"/>
      <w:numFmt w:val="lowerLetter"/>
      <w:start w:val="1"/>
    </w:lvl>
  </w:abstractNum>
  <w:abstractNum w:abstractNumId="36">
    <w:nsid w:val="725A06FB"/>
    <w:multiLevelType w:val="hybridMultilevel"/>
    <w:lvl w:ilvl="0">
      <w:lvlJc w:val="left"/>
      <w:lvlText w:val="(%1)"/>
      <w:numFmt w:val="lowerLetter"/>
      <w:start w:val="3"/>
    </w:lvl>
  </w:abstractNum>
  <w:abstractNum w:abstractNumId="37">
    <w:nsid w:val="2CD89A32"/>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8">
    <w:nsid w:val="57E4CCA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9">
    <w:nsid w:val="7A6D8D3C"/>
    <w:multiLevelType w:val="hybridMultilevel"/>
    <w:lvl w:ilvl="0">
      <w:lvlJc w:val="left"/>
      <w:lvlText w:val="(%1)"/>
      <w:numFmt w:val="lowerLetter"/>
      <w:start w:val="2"/>
    </w:lvl>
  </w:abstractNum>
  <w:abstractNum w:abstractNumId="40">
    <w:nsid w:val="4B588F54"/>
    <w:multiLevelType w:val="hybridMultilevel"/>
    <w:lvl w:ilvl="0">
      <w:lvlJc w:val="left"/>
      <w:lvlText w:val="(%1)"/>
      <w:numFmt w:val="lowerLetter"/>
      <w:start w:val="4"/>
    </w:lvl>
  </w:abstractNum>
  <w:abstractNum w:abstractNumId="41">
    <w:nsid w:val="542289EC"/>
    <w:multiLevelType w:val="hybridMultilevel"/>
    <w:lvl w:ilvl="0">
      <w:lvlJc w:val="left"/>
      <w:lvlText w:val="%1."/>
      <w:numFmt w:val="decimal"/>
      <w:start w:val="11"/>
    </w:lvl>
    <w:lvl w:ilvl="1">
      <w:lvlJc w:val="left"/>
      <w:lvlText w:val="(%2)"/>
      <w:numFmt w:val="lowerLetter"/>
      <w:start w:val="1"/>
    </w:lvl>
  </w:abstractNum>
  <w:abstractNum w:abstractNumId="42">
    <w:nsid w:val="6DE91B18"/>
    <w:multiLevelType w:val="hybridMultilevel"/>
    <w:lvl w:ilvl="0">
      <w:lvlJc w:val="left"/>
      <w:lvlText w:val="(%1)"/>
      <w:numFmt w:val="lowerLetter"/>
      <w:start w:val="2"/>
    </w:lvl>
  </w:abstractNum>
  <w:abstractNum w:abstractNumId="43">
    <w:nsid w:val="38437FDB"/>
    <w:multiLevelType w:val="hybridMultilevel"/>
    <w:lvl w:ilvl="0">
      <w:lvlJc w:val="left"/>
      <w:lvlText w:val="%1"/>
      <w:numFmt w:val="decimal"/>
      <w:start w:val="1"/>
    </w:lvl>
    <w:lvl w:ilvl="1">
      <w:lvlJc w:val="left"/>
      <w:lvlText w:val="(%2)"/>
      <w:numFmt w:val="lowerLetter"/>
      <w:start w:val="5"/>
    </w:lvl>
  </w:abstractNum>
  <w:abstractNum w:abstractNumId="44">
    <w:nsid w:val="7644A45C"/>
    <w:multiLevelType w:val="hybridMultilevel"/>
    <w:lvl w:ilvl="0">
      <w:lvlJc w:val="left"/>
      <w:lvlText w:val="%1."/>
      <w:numFmt w:val="decimal"/>
      <w:start w:val="13"/>
    </w:lvl>
    <w:lvl w:ilvl="1">
      <w:lvlJc w:val="left"/>
      <w:lvlText w:val="%2"/>
      <w:numFmt w:val="lowerLetter"/>
      <w:start w:val="1"/>
    </w:lvl>
  </w:abstractNum>
  <w:abstractNum w:abstractNumId="45">
    <w:nsid w:val="32FFF902"/>
    <w:multiLevelType w:val="hybridMultilevel"/>
    <w:lvl w:ilvl="0">
      <w:lvlJc w:val="left"/>
      <w:lvlText w:val="%1."/>
      <w:numFmt w:val="decimal"/>
      <w:start w:val="14"/>
    </w:lvl>
  </w:abstractNum>
  <w:abstractNum w:abstractNumId="46">
    <w:nsid w:val="684A481A"/>
    <w:multiLevelType w:val="hybridMultilevel"/>
    <w:lvl w:ilvl="0">
      <w:lvlJc w:val="left"/>
      <w:lvlText w:val="%1."/>
      <w:numFmt w:val="decimal"/>
      <w:start w:val="17"/>
    </w:lvl>
  </w:abstractNum>
  <w:abstractNum w:abstractNumId="47">
    <w:nsid w:val="579478FE"/>
    <w:multiLevelType w:val="hybridMultilevel"/>
    <w:lvl w:ilvl="0">
      <w:lvlJc w:val="left"/>
      <w:lvlText w:val="%1."/>
      <w:numFmt w:val="decimal"/>
      <w:start w:val="20"/>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5"/>
    </w:lvl>
  </w:abstractNum>
  <w:abstractNum w:abstractNumId="49">
    <w:nsid w:val="3DC240FB"/>
    <w:multiLevelType w:val="hybridMultilevel"/>
    <w:lvl w:ilvl="0">
      <w:lvlJc w:val="left"/>
      <w:lvlText w:val="%1."/>
      <w:numFmt w:val="decimal"/>
      <w:start w:val="23"/>
    </w:lvl>
    <w:lvl w:ilvl="1">
      <w:lvlJc w:val="left"/>
      <w:lvlText w:val="%2"/>
      <w:numFmt w:val="lowerLetter"/>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2023-12-22T16:02:02Z</dcterms:created>
  <dcterms:modified xsi:type="dcterms:W3CDTF">2023-12-22T16:02:02Z</dcterms:modified>
</cp:coreProperties>
</file>