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28, 2022</w:t>
      </w:r>
    </w:p>
    <w:p>
      <w:pPr>
        <w:spacing w:after="0" w:line="2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9" w:lineRule="exact"/>
        <w:rPr>
          <w:sz w:val="24"/>
          <w:szCs w:val="24"/>
          <w:color w:val="auto"/>
        </w:rPr>
      </w:pPr>
    </w:p>
    <w:p>
      <w:pPr>
        <w:ind w:left="2580"/>
        <w:spacing w:after="0"/>
        <w:tabs>
          <w:tab w:leader="none" w:pos="80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85-1403134</w:t>
      </w:r>
    </w:p>
    <w:p>
      <w:pPr>
        <w:spacing w:after="0" w:line="15" w:lineRule="exact"/>
        <w:rPr>
          <w:sz w:val="24"/>
          <w:szCs w:val="24"/>
          <w:color w:val="auto"/>
        </w:rPr>
      </w:pPr>
    </w:p>
    <w:p>
      <w:pPr>
        <w:ind w:left="2000"/>
        <w:spacing w:after="0"/>
        <w:tabs>
          <w:tab w:leader="none" w:pos="792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960"/>
        <w:spacing w:after="0"/>
        <w:tabs>
          <w:tab w:leader="none" w:pos="772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Number)</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1601 Trapelo Road, Suite 178</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Waltham, MA 02451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(781) 819-0080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David Hering</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Invivyd,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1601 Trapelo Road, Suite 178</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Waltham, MA 02451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(781) 819-0080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3" w:lineRule="exact"/>
        <w:rPr>
          <w:sz w:val="24"/>
          <w:szCs w:val="24"/>
          <w:color w:val="auto"/>
        </w:rPr>
      </w:pPr>
    </w:p>
    <w:tbl>
      <w:tblPr>
        <w:tblLayout w:type="fixed"/>
        <w:tblInd w:w="1740" w:type="dxa"/>
        <w:tblCellMar>
          <w:top w:w="0" w:type="dxa"/>
          <w:left w:w="0" w:type="dxa"/>
          <w:bottom w:w="0" w:type="dxa"/>
          <w:right w:w="0" w:type="dxa"/>
        </w:tblCellMar>
      </w:tblPr>
      <w:tr>
        <w:trPr>
          <w:trHeight w:val="214"/>
        </w:trPr>
        <w:tc>
          <w:tcPr>
            <w:tcW w:w="2940" w:type="dxa"/>
            <w:vAlign w:val="bottom"/>
          </w:tcPr>
          <w:p>
            <w:pPr>
              <w:spacing w:after="0"/>
              <w:rPr>
                <w:sz w:val="18"/>
                <w:szCs w:val="18"/>
                <w:color w:val="auto"/>
              </w:rPr>
            </w:pPr>
          </w:p>
        </w:tc>
        <w:tc>
          <w:tcPr>
            <w:tcW w:w="48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60"/>
        </w:trPr>
        <w:tc>
          <w:tcPr>
            <w:tcW w:w="2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Steven J. Abrams, Esq.</w:t>
            </w:r>
          </w:p>
        </w:tc>
        <w:tc>
          <w:tcPr>
            <w:tcW w:w="480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Jill Andersen</w:t>
            </w:r>
          </w:p>
        </w:tc>
      </w:tr>
      <w:tr>
        <w:trPr>
          <w:trHeight w:val="203"/>
        </w:trPr>
        <w:tc>
          <w:tcPr>
            <w:tcW w:w="294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Stephen M. Nicolai, Esq.</w:t>
            </w:r>
          </w:p>
        </w:tc>
        <w:tc>
          <w:tcPr>
            <w:tcW w:w="4800" w:type="dxa"/>
            <w:vAlign w:val="bottom"/>
          </w:tcPr>
          <w:p>
            <w:pPr>
              <w:jc w:val="center"/>
              <w:ind w:left="2659"/>
              <w:spacing w:after="0"/>
              <w:rPr>
                <w:sz w:val="20"/>
                <w:szCs w:val="20"/>
                <w:color w:val="auto"/>
              </w:rPr>
            </w:pPr>
            <w:r>
              <w:rPr>
                <w:rFonts w:ascii="Times New Roman" w:cs="Times New Roman" w:eastAsia="Times New Roman" w:hAnsi="Times New Roman"/>
                <w:sz w:val="16"/>
                <w:szCs w:val="16"/>
                <w:b w:val="1"/>
                <w:bCs w:val="1"/>
                <w:color w:val="auto"/>
              </w:rPr>
              <w:t>Chief Legal Officer</w:t>
            </w:r>
          </w:p>
        </w:tc>
      </w:tr>
      <w:tr>
        <w:trPr>
          <w:trHeight w:val="202"/>
        </w:trPr>
        <w:tc>
          <w:tcPr>
            <w:tcW w:w="2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Hogan Lovells US LLP</w:t>
            </w:r>
          </w:p>
        </w:tc>
        <w:tc>
          <w:tcPr>
            <w:tcW w:w="480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Invivyd, Inc.</w:t>
            </w:r>
          </w:p>
        </w:tc>
      </w:tr>
      <w:tr>
        <w:trPr>
          <w:trHeight w:val="203"/>
        </w:trPr>
        <w:tc>
          <w:tcPr>
            <w:tcW w:w="2940" w:type="dxa"/>
            <w:vAlign w:val="bottom"/>
          </w:tcPr>
          <w:p>
            <w:pPr>
              <w:jc w:val="center"/>
              <w:ind w:right="539"/>
              <w:spacing w:after="0" w:line="203" w:lineRule="exact"/>
              <w:rPr>
                <w:sz w:val="20"/>
                <w:szCs w:val="20"/>
                <w:color w:val="auto"/>
              </w:rPr>
            </w:pPr>
            <w:r>
              <w:rPr>
                <w:rFonts w:ascii="Times New Roman" w:cs="Times New Roman" w:eastAsia="Times New Roman" w:hAnsi="Times New Roman"/>
                <w:sz w:val="16"/>
                <w:szCs w:val="16"/>
                <w:b w:val="1"/>
                <w:bCs w:val="1"/>
                <w:color w:val="auto"/>
                <w:w w:val="99"/>
              </w:rPr>
              <w:t>1735 Market Street, 23</w:t>
            </w:r>
            <w:r>
              <w:rPr>
                <w:rFonts w:ascii="Times New Roman" w:cs="Times New Roman" w:eastAsia="Times New Roman" w:hAnsi="Times New Roman"/>
                <w:sz w:val="23"/>
                <w:szCs w:val="23"/>
                <w:b w:val="1"/>
                <w:bCs w:val="1"/>
                <w:color w:val="auto"/>
                <w:w w:val="99"/>
                <w:vertAlign w:val="superscript"/>
              </w:rPr>
              <w:t>rd</w:t>
            </w:r>
            <w:r>
              <w:rPr>
                <w:rFonts w:ascii="Times New Roman" w:cs="Times New Roman" w:eastAsia="Times New Roman" w:hAnsi="Times New Roman"/>
                <w:sz w:val="16"/>
                <w:szCs w:val="16"/>
                <w:b w:val="1"/>
                <w:bCs w:val="1"/>
                <w:color w:val="auto"/>
                <w:w w:val="99"/>
              </w:rPr>
              <w:t xml:space="preserve"> Floor</w:t>
            </w:r>
          </w:p>
        </w:tc>
        <w:tc>
          <w:tcPr>
            <w:tcW w:w="480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1601 Trapelo Road, Suite 178</w:t>
            </w:r>
          </w:p>
        </w:tc>
      </w:tr>
      <w:tr>
        <w:trPr>
          <w:trHeight w:val="203"/>
        </w:trPr>
        <w:tc>
          <w:tcPr>
            <w:tcW w:w="2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Philadelphia, Pennsylvania 19103</w:t>
            </w:r>
          </w:p>
        </w:tc>
        <w:tc>
          <w:tcPr>
            <w:tcW w:w="480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Waltham, MA 02451</w:t>
            </w:r>
          </w:p>
        </w:tc>
      </w:tr>
      <w:tr>
        <w:trPr>
          <w:trHeight w:val="212"/>
        </w:trPr>
        <w:tc>
          <w:tcPr>
            <w:tcW w:w="2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9"/>
              </w:rPr>
              <w:t>(267) 675-4600</w:t>
            </w:r>
          </w:p>
        </w:tc>
        <w:tc>
          <w:tcPr>
            <w:tcW w:w="480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w w:val="99"/>
              </w:rPr>
              <w:t>(781) 819-0080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spacing w:after="0" w:line="103"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3" w:lineRule="exact"/>
        <w:rPr>
          <w:sz w:val="24"/>
          <w:szCs w:val="24"/>
          <w:color w:val="auto"/>
        </w:rPr>
      </w:pPr>
    </w:p>
    <w:p>
      <w:pPr>
        <w:ind w:left="120" w:right="8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2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60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58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0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6" w:right="459" w:bottom="143" w:gutter="0" w:footer="0" w:header="0"/>
        </w:sectPr>
      </w:pPr>
    </w:p>
    <w:p>
      <w:pPr>
        <w:spacing w:after="0" w:line="64" w:lineRule="exact"/>
        <w:rPr>
          <w:sz w:val="24"/>
          <w:szCs w:val="24"/>
          <w:color w:val="auto"/>
        </w:rPr>
      </w:pPr>
    </w:p>
    <w:p>
      <w:pPr>
        <w:ind w:left="120"/>
        <w:spacing w:after="0" w:line="161" w:lineRule="exact"/>
        <w:tabs>
          <w:tab w:leader="none" w:pos="1640" w:val="left"/>
          <w:tab w:leader="none" w:pos="90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62" w:lineRule="exact"/>
        <w:rPr>
          <w:sz w:val="24"/>
          <w:szCs w:val="24"/>
          <w:color w:val="auto"/>
        </w:rPr>
      </w:pPr>
    </w:p>
    <w:p>
      <w:pPr>
        <w:ind w:left="120"/>
        <w:spacing w:after="0" w:line="161" w:lineRule="exact"/>
        <w:tabs>
          <w:tab w:leader="none" w:pos="1640" w:val="left"/>
          <w:tab w:leader="none" w:pos="90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31"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04" w:lineRule="exact"/>
        <w:rPr>
          <w:sz w:val="24"/>
          <w:szCs w:val="24"/>
          <w:color w:val="auto"/>
        </w:rPr>
      </w:pPr>
    </w:p>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79" w:lineRule="exact"/>
        <w:rPr>
          <w:sz w:val="24"/>
          <w:szCs w:val="24"/>
          <w:color w:val="auto"/>
        </w:rPr>
      </w:pPr>
    </w:p>
    <w:p>
      <w:pPr>
        <w:sectPr>
          <w:pgSz w:w="11900" w:h="16838" w:orient="portrait"/>
          <w:cols w:equalWidth="0" w:num="2">
            <w:col w:w="10760" w:space="240"/>
            <w:col w:w="120"/>
          </w:cols>
          <w:pgMar w:left="320" w:top="226" w:right="459" w:bottom="143" w:gutter="0" w:footer="0" w:header="0"/>
          <w:type w:val="continuous"/>
        </w:sectPr>
      </w:pPr>
    </w:p>
    <w:p>
      <w:pPr>
        <w:spacing w:after="0" w:line="123" w:lineRule="exact"/>
        <w:rPr>
          <w:sz w:val="24"/>
          <w:szCs w:val="24"/>
          <w:color w:val="auto"/>
        </w:rPr>
      </w:pPr>
    </w:p>
    <w:p>
      <w:pPr>
        <w:ind w:left="1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6" w:right="459" w:bottom="14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contained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such offer or sale is not permitted.</w:t>
      </w:r>
    </w:p>
    <w:p>
      <w:pPr>
        <w:spacing w:after="0" w:line="1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28,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97155</wp:posOffset>
            </wp:positionV>
            <wp:extent cx="4886325" cy="72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8632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may offer to the public from time to time in one or more series or issuances and on terms that we will determine at the time of the offering:</w:t>
      </w:r>
    </w:p>
    <w:p>
      <w:pPr>
        <w:spacing w:after="0" w:line="140"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common stock;</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preferred stock;</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shares of our common stock, preferred stock and/or debt securities;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consisting of debentures, notes or other evidences of indebtedness;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consisting of a combination of the foregoing securities; or</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these securities.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aggregate initial offering price of all securities sold by us pursuant to this prospectus will not exceed $400,000,000.</w:t>
      </w:r>
    </w:p>
    <w:p>
      <w:pPr>
        <w:spacing w:after="0" w:line="12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Any prospectus supplement may add to, update or change information contained or incorporated by reference in this prospectus.</w:t>
      </w:r>
    </w:p>
    <w:p>
      <w:pPr>
        <w:spacing w:after="0" w:line="69"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6"/>
          <w:szCs w:val="16"/>
          <w:color w:val="auto"/>
        </w:rPr>
        <w:t>The securities may be sold by us to or through underwriters or dealers, directly to purchasers or through agents designated from time to time. For additional information on the methods of sale, you should refer to the section entitled “Plan of Distribution” in this prospectus and the comparable section of any applicable prospectus supplement. If any underwriters are involved in the sale of the securities with respect to which this prospectus is being delivered, the names of such underwriters and any applicable discounts, commissions and purchase options will be set forth in the applicable prospectus supplement.</w:t>
      </w:r>
    </w:p>
    <w:p>
      <w:pPr>
        <w:spacing w:after="0" w:line="75"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Our common stock trades on the Nasdaq Global Market under the ticker symbol “IVVD”. On September 27, 2022, the last reported sale price per share of our common stock was $3.10.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those securities will be listed.</w:t>
      </w:r>
    </w:p>
    <w:p>
      <w:pPr>
        <w:spacing w:after="0" w:line="7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and, as such, we are subject to reduced public company reporting requirements for this prospectus and future filings. Refer to the section entitled “Implications of Being an Emerging Growth Company” beginning on page 4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4"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6.</w:t>
      </w:r>
    </w:p>
    <w:p>
      <w:pPr>
        <w:spacing w:after="0" w:line="75" w:lineRule="exact"/>
        <w:rPr>
          <w:sz w:val="20"/>
          <w:szCs w:val="20"/>
          <w:color w:val="auto"/>
        </w:rPr>
      </w:pPr>
    </w:p>
    <w:p>
      <w:pPr>
        <w:ind w:left="120" w:right="16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You should read this prospectus and any applicable prospectus supplement together with additional information described under the heading “Where You Can Find More Information” before you make your investment decision.</w:t>
      </w:r>
    </w:p>
    <w:p>
      <w:pPr>
        <w:spacing w:after="0" w:line="52" w:lineRule="exact"/>
        <w:rPr>
          <w:sz w:val="20"/>
          <w:szCs w:val="20"/>
          <w:color w:val="auto"/>
        </w:rPr>
      </w:pPr>
    </w:p>
    <w:p>
      <w:pPr>
        <w:ind w:left="120" w:right="1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128270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308" w:lineRule="exact"/>
        <w:rPr>
          <w:sz w:val="20"/>
          <w:szCs w:val="20"/>
          <w:color w:val="auto"/>
        </w:rPr>
      </w:pPr>
    </w:p>
    <w:p>
      <w:pPr>
        <w:ind w:left="4080"/>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The date of this prospectus is</w:t>
      </w:r>
      <w:r>
        <w:rPr>
          <w:sz w:val="20"/>
          <w:szCs w:val="20"/>
          <w:color w:val="auto"/>
        </w:rPr>
        <w:tab/>
      </w:r>
      <w:r>
        <w:rPr>
          <w:rFonts w:ascii="Times New Roman" w:cs="Times New Roman" w:eastAsia="Times New Roman" w:hAnsi="Times New Roman"/>
          <w:sz w:val="15"/>
          <w:szCs w:val="15"/>
          <w:b w:val="1"/>
          <w:bCs w:val="1"/>
          <w:color w:val="auto"/>
        </w:rPr>
        <w:t>, 2022</w:t>
      </w:r>
    </w:p>
    <w:p>
      <w:pPr>
        <w:sectPr>
          <w:pgSz w:w="11900" w:h="16838" w:orient="portrait"/>
          <w:cols w:equalWidth="0" w:num="1">
            <w:col w:w="11060"/>
          </w:cols>
          <w:pgMar w:left="320" w:top="455"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38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7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3820" w:type="dxa"/>
            <w:vAlign w:val="bottom"/>
            <w:gridSpan w:val="16"/>
            <w:vMerge w:val="continue"/>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71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400" w:type="dxa"/>
            <w:vAlign w:val="bottom"/>
            <w:tcBorders>
              <w:top w:val="single" w:sz="8" w:color="0000EE"/>
            </w:tcBorders>
            <w:gridSpan w:val="9"/>
          </w:tcPr>
          <w:p>
            <w:pPr>
              <w:spacing w:after="0"/>
              <w:rPr>
                <w:sz w:val="17"/>
                <w:szCs w:val="17"/>
                <w:color w:val="auto"/>
              </w:rPr>
            </w:pPr>
          </w:p>
        </w:tc>
        <w:tc>
          <w:tcPr>
            <w:tcW w:w="500" w:type="dxa"/>
            <w:vAlign w:val="bottom"/>
            <w:gridSpan w:val="5"/>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240" w:type="dxa"/>
            <w:vAlign w:val="bottom"/>
            <w:gridSpan w:val="11"/>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DESCRIPTION OF OUR SECURITIES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COMMON STOCK</w:t>
            </w:r>
          </w:p>
        </w:tc>
        <w:tc>
          <w:tcPr>
            <w:tcW w:w="440" w:type="dxa"/>
            <w:vAlign w:val="bottom"/>
            <w:gridSpan w:val="4"/>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260" w:type="dxa"/>
            <w:vAlign w:val="bottom"/>
            <w:gridSpan w:val="2"/>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UNITS</w:t>
            </w:r>
          </w:p>
        </w:tc>
        <w:tc>
          <w:tcPr>
            <w:tcW w:w="380" w:type="dxa"/>
            <w:vAlign w:val="bottom"/>
            <w:gridSpan w:val="3"/>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2360" w:type="dxa"/>
            <w:vAlign w:val="bottom"/>
            <w:gridSpan w:val="12"/>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$400,000,000.</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w:t>
      </w:r>
    </w:p>
    <w:p>
      <w:pPr>
        <w:spacing w:after="0" w:line="1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References in this prospectus to the terms “the Company,” “Invivyd,” “we,” “our” and “us” or other similar terms mean Invivyd, Inc. and our wholly owned subsidiaries, unless we state otherwise or the context indicates otherwise.</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“Invivyd,” “IVVD” and the Invivyd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w:t>
      </w:r>
    </w:p>
    <w:p>
      <w:pPr>
        <w:spacing w:after="0" w:line="97" w:lineRule="exact"/>
        <w:rPr>
          <w:sz w:val="20"/>
          <w:szCs w:val="20"/>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current and future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these patients in our clinical trials;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adintrevimab or any other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to identify and develop future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regarding the sufficiency of our cash resources to fund our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our preclinical studies or the initiation, patient enrollment, development and operation of our clinical trials, including a public health crisis, such as the outbreak of COVID-19;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w:t>
      </w:r>
    </w:p>
    <w:p>
      <w:pPr>
        <w:spacing w:after="0" w:line="225"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2021, as revised or supplemented by our Quarterly Reports on Form 10-Q and other documents we file with the SEC, describe material risks to our business, and you should read and interpret any forward-looking statements together with these risks. A variety of factors, including these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73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on a mission to protect humanity from serious viral respiratory diseases. We are developing antibodies to transcend the limits of naturally occurring immunity and provide superior protection from viral diseases,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products for use in both prevention and treatment of disease. NVD200, our first antibody combination product for COVID-19, is expected to enter the clinic in Q1 2023. Our most advanced pipeline candidate is adintrevimab, an investigational monoclonal antibody which has demonstrated clinically meaningful results in global Phase 3 clinical trials against multiple variants of concern for the prevention and treatment of COVID-19. We also have multiple discovery stage candidates for the prevention of seasonal influenza.</w:t>
      </w:r>
    </w:p>
    <w:p>
      <w:pPr>
        <w:spacing w:after="0" w:line="192"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For more information about our company, please refer to other documents that we have filed with the SEC and that are incorporated by reference into this prospectus, as listed under the heading “Incorporation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4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240" w:right="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975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9754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240" w:right="10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40" w:firstLine="440"/>
        <w:spacing w:after="0" w:line="269"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Additional information on the use of net proceeds from the sale of securities by us under this prospectus may be set forth in the accompanying prospectus supplement relating to the specific offering.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or agents,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securities being registered are to be offered otherwise than for cash, the general purposes of the distribution, the basis upon which the securities are to be offered, the amount of compensation and other expenses of distribution, and by whom they are to be borne;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and relationships of any finders, if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purchase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short-covering transactions involve purchases of the securities, either through exercise of the purchase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underwriters that are qualified market makers on the Nasdaq Stock Market may engage in passive market making transactions in the common stock on the Nasdaq Stock Market in accordance with Regulation M under the Securities Exchange Act of 1934, as amended, or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GENERAL DESCRIPTION OF OUR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and sell, at any time and from time to time:</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preferred stock and/or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consisting of debentures, notes or other evidences of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 combination of the foregoing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terms of any securities we offer will be determined at the time of sale. We may issue debt securities that are exchangeable for and/or convertible into common stock or any of the other securities that may be sold under this prospectus. When particular securities are offered by us, a supplement to this prospectus will be filed with the SEC, which will describe the terms of the offering and sale of the offered securities.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60"/>
          </w:cols>
          <w:pgMar w:left="320" w:top="455" w:right="9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summary of general terms and provisions of our common stock set forth below does not purport to be complete and is subject to and qualified by reference to our Amended and Restated Certificate of Incorporation, or the Certificate of Incorporation, and Amended and Restated Bylaws, or the Bylaws, and together with the Certificate of Incorporation, the Charter Documents, each of which is included as an exhibit to our most recent Annual Report on Form 10-K filed with the SEC and incorporated by reference herein. For additional information, please read the Charter Documents and the applicable provisions of the Delaware General Corporation Law, or the DGCL.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authorized to issue up to 1,010,000,000 shares, of which 1,000,000,000 have been designated common stock, par value $0.0001 per share. As of September 12, 2022, there were 109,925,049 shares of our common stock outstanding. As of June 30, 2022, we had approximately 120 stockholders of record. This figure does not reflect the number of beneficial owners of shares of our common stock as a single stockholder of record often holds shares in nominee name (also referred to as, in “street name”) on behalf of multiple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classified board, the size of our board of directors, removal of directors, director liability, vacancies on our board of directors, stockholder notices, actions by written consent and exclusive forum.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our board of directors out of legally available funds.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we had outstanding options to purchase 19,936,084 shares of our common stock at a weighted-average exercise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$8.73 per share, pursuant to our 2020 Equity Incentive Plan and 2021 Equity Incentive Plan. As of June 30, 2022, there were no shares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reserved for future issuance under the 2020 Equity Incentive Plan and 23,149,318 shares of our common stock reserved for future issuance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2021 Equity Incentive 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there were 1,342,773 shares of our common stock reserved for future issuance under our 2021 Employee Stock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and certain holders of our common stock have entered into a second amended and restated investors’ rights agreement, or the investors’ rights agreement. The registration rights provisions of this agreement provide those holders with demand, piggyback and Form S-3 registration rights with respect to the shares of common stock currently held by them. These shares are collectively referred to herein as registrable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The holders of piggyback registration rights granted pursuant to the investors’ rights agreement have waived their piggyback registration rights in connection with the registration statement of which this prospectus is a part, as well as all subsequent offerings related to the registration statement of which this prospectus is a part.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on Form S-3</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holders of at least 30% of the registrable securities outstanding are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3"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registration rights granted under the investors’ rights agreement will terminate with respect to any particular stockholder upon the earliest of</w:t>
      </w:r>
    </w:p>
    <w:p>
      <w:pPr>
        <w:spacing w:after="0" w:line="27" w:lineRule="exact"/>
        <w:rPr>
          <w:sz w:val="20"/>
          <w:szCs w:val="20"/>
          <w:color w:val="auto"/>
        </w:rPr>
      </w:pPr>
    </w:p>
    <w:p>
      <w:pPr>
        <w:jc w:val="both"/>
        <w:ind w:left="120" w:right="460" w:hanging="4"/>
        <w:spacing w:after="0" w:line="255" w:lineRule="auto"/>
        <w:tabs>
          <w:tab w:leader="none" w:pos="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our initial public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right="5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 (in one transaction or a series of transactions);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and the Bylaws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The Certificate of Incorporation and the Bylaws provide that directors may be removed by the stockholders only for cause upon the vote of at least 66 2/3% of the voting power of all of the then-outstanding shares of capital stock entitled to vote generally at an election of directors. Furthermore, the authorized number of directors may be changed only by resolution of our board of directors, and vacancies and newly created directorships on our board of directors may, except as otherwise required by law or determined by our board and subject to the rights of any series of then-outstanding preferred stock, only be filled by a majority vote of the directors then serving on our board of directors, even though less than a quorum.</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the stockholders cannot amend many of the provisions described above except by a vote of at least 66 2/3% of the voting power of all of the then-outstanding shares of capital stock entitled to vote generally at an election of directors.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us.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our Certificate of Incorporation, or our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the Certificate of Incorporation or the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color w:val="auto"/>
        </w:rPr>
        <w:t>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further significant additional costs associated with resolving the dispute in other jurisdictions, all of which could seriously harm our business.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agent’s address is 6201 15th Avenue, Brooklyn, New York 11219.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“IVVD”.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authorized to issue up to 10,000,000 shares of preferred stock, par value $0.0001 per share, all of which shares of preferred stock are currently undesignated.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series and may, at the time of issuance, determine and fix the number of shares of such series and the designation of such series, the voting powers, if any, of the shares of such series,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preferred stock on the rights of holders of common stock until the board of directors determines the specific rights attached to that preferred stock. We have no current plan to issue any shares of preferred stock.</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our other securities and, if applicable, the conversion price (or how it will be calculated), the conversion period and any other terms of conversion (including any anti-dilution provisions, if any);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our affairs;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our liquidation, dissolution, or winding up;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affirmative, negative or other covenants or contractual rights which might be attendant with the specific series of preferred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preferred stock offered by this prospectus, when issued, will not have, or be subject to, any preemptive or similar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each applicable prospectus supplement.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of the warrants, and a description of that series of our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our debt securities to be received upon exercise of the warrants, and a description of that series of debt securities;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or foreign tax consequences;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if any,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 or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put or call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descriptions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$400,000,000 in debt securities, or if debt securities are issued at a discount, or in a foreign currency, foreign currency units or composite currency, the principal amount as may be sold for an aggregate initial public offering price of up to $400,000,000. Unless otherwise specified in the applicable prospectus supplement, the debt securities will represent direct, unsecured obligations of our company and will rank equally with all of our other unsecured indebtedness.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statements relating to the debt securities and the indenture are summaries, qualified in their entirety by reference to the detailed provisions of the indenture and the final form indenture as may be filed with a future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set forth, to the extent required, the following terms of the debt securities in respect of which the prospectus supplement is delivered:</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be issued and on which principal of, and premium, if any,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30"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a minimum denomination of $2,000 or an integral multiple of $1,000 in excess thereof;</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(as described below) or global debt securities (as described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including an index based on a currency or currencies other than in which the debt securities are payable,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common stock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and/or Conversion Rights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and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that will be represented by either:</w:t>
      </w:r>
    </w:p>
    <w:p>
      <w:pPr>
        <w:spacing w:after="0" w:line="131" w:lineRule="exact"/>
        <w:rPr>
          <w:sz w:val="20"/>
          <w:szCs w:val="20"/>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securities,” which means that there will be one or more global securities registered in the name of a depositary or a nominee of a depositary;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which means that they will be represented by a certificate issued in definitive registered form.</w:t>
      </w:r>
    </w:p>
    <w:p>
      <w:pPr>
        <w:spacing w:after="0" w:line="225"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will specify in the prospectus supplement applicable to a particular offering whether the debt securities offered will be book-entry or certificated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Protection in the Event of Change of Control</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our company, or a highly leveraged transaction will be described in the applicable prospectus supplement.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Conveyance, Transfer or Lease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Defaults and Notice</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of any series will contain events of default to be specified in the applicable prospectus supplement, which may include, without limitation:</w:t>
      </w:r>
    </w:p>
    <w:p>
      <w:pPr>
        <w:spacing w:after="0" w:line="67" w:lineRule="exact"/>
        <w:rPr>
          <w:sz w:val="20"/>
          <w:szCs w:val="20"/>
          <w:color w:val="auto"/>
        </w:rPr>
      </w:pPr>
    </w:p>
    <w:p>
      <w:pPr>
        <w:ind w:left="1080" w:right="4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debt security of that series at its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covenants or agreements in the indenture with respect to the debt securities of such series;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relating to our bankruptcy, insolvency or reorganization.</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However, in the case of a default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any indenture that governs our debt securities of any series covered by this prospectus with or without the consent of the holders of such debt securities, under certain circumstances to be described in a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Satisfaction and Discharge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outline the conditions under which we may elect to have certain of our obligations under the indenture discharged and under which the indenture obligations will be deemed to be satisfied.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Regarding the Trustee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law governing the indenture and the debt securities will be identified in the prospectus supplement relating to the applicable indenture and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UNITS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one or more of the securities that may be offered under this prospectus, in any combination,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securities that may be offered under this prospectus.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unit agent,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Our Common Stock,” “Description of our Preferred Stock,” “Description of Our Debt Securities” and “Description of Our Warrants,” will apply to each unit and to any common stock, preferred stock, debt securities or warrants included in each unit,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w:t>
      </w:r>
    </w:p>
    <w:p>
      <w:pPr>
        <w:spacing w:after="0" w:line="3" w:lineRule="exact"/>
        <w:rPr>
          <w:sz w:val="20"/>
          <w:szCs w:val="20"/>
          <w:color w:val="auto"/>
        </w:rPr>
      </w:pPr>
    </w:p>
    <w:p>
      <w:pPr>
        <w:ind w:left="120" w:right="140" w:hanging="4"/>
        <w:spacing w:after="0" w:line="253"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filed with the SEC on March 31, 2022 (as amended by the Annual Report on </w:t>
      </w:r>
      <w:hyperlink r:id="rId55">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29, 2022);</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1"/>
          <w:numId w:val="20"/>
        </w:numPr>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auto"/>
          </w:rPr>
          <w:t xml:space="preserve">our Quarterly Reports on Form 10-Q for the quarterly periods ended March 31, 2022 and June 30, 2022,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August 15, 2022</w:t>
        </w:r>
      </w:hyperlink>
      <w:hyperlink r:id="rId56">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080" w:right="200" w:hanging="424"/>
        <w:spacing w:after="0" w:line="261" w:lineRule="auto"/>
        <w:tabs>
          <w:tab w:leader="none" w:pos="1080" w:val="left"/>
        </w:tabs>
        <w:numPr>
          <w:ilvl w:val="1"/>
          <w:numId w:val="20"/>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8"/>
            <w:szCs w:val="18"/>
            <w:u w:val="single" w:color="auto"/>
            <w:color w:val="0000EE"/>
          </w:rPr>
          <w:t>January 13,</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2022, February 18, 2022, February 22, 2022, February 23,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the Current Report on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12,</w:t>
        </w:r>
      </w:hyperlink>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September 13, 2022</w:t>
        </w:r>
      </w:hyperlink>
      <w:hyperlink r:id="rId60">
        <w:r>
          <w:rPr>
            <w:rFonts w:ascii="Times New Roman" w:cs="Times New Roman" w:eastAsia="Times New Roman" w:hAnsi="Times New Roman"/>
            <w:sz w:val="18"/>
            <w:szCs w:val="18"/>
            <w:color w:val="000000"/>
          </w:rPr>
          <w:t>; and</w:t>
        </w:r>
      </w:hyperlink>
    </w:p>
    <w:p>
      <w:pPr>
        <w:spacing w:after="0" w:line="85" w:lineRule="exact"/>
        <w:rPr>
          <w:rFonts w:ascii="Times New Roman" w:cs="Times New Roman" w:eastAsia="Times New Roman" w:hAnsi="Times New Roman"/>
          <w:sz w:val="18"/>
          <w:szCs w:val="18"/>
          <w:color w:val="0000EE"/>
        </w:rPr>
      </w:pPr>
    </w:p>
    <w:p>
      <w:pPr>
        <w:ind w:left="1080" w:right="220" w:hanging="424"/>
        <w:spacing w:after="0" w:line="266" w:lineRule="auto"/>
        <w:tabs>
          <w:tab w:leader="none" w:pos="1080" w:val="left"/>
        </w:tabs>
        <w:numPr>
          <w:ilvl w:val="1"/>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3, 2021, as updated by </w:t>
      </w:r>
      <w:hyperlink r:id="rId63">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fiscal year ended December 31, 2021, including any amendments or reports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purpose of updating such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 Invivyd, Inc., Corporate Secretary, at 1601 Trapelo Road, Suite 178, Waltham, MA 02451 or (781) 819-0080. In addition, copies of any or all of the documents incorporated herein by reference may be accessed at our website at www.invivyd.com. The information on such website is not incorporated by reference and is not a part of this prospectus.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Hogan Lovells US LLP, Philadelphia, Pennsylvania. As appropriate, legal counsel representing the underwriters, dealers or agents will be named in the accompanying prospectus supplement and may opine to certain legal matters.</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729615</wp:posOffset>
            </wp:positionV>
            <wp:extent cx="4886325" cy="728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4886325" cy="7289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859790</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an estimate (except in the case of the registration fee and the FINRA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Invivyd, Inc.</w:t>
      </w:r>
    </w:p>
    <w:p>
      <w:pPr>
        <w:spacing w:after="0" w:line="18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Amount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be paid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FINRA fee</w:t>
            </w:r>
          </w:p>
        </w:tc>
        <w:tc>
          <w:tcPr>
            <w:tcW w:w="2380" w:type="dxa"/>
            <w:vAlign w:val="bottom"/>
            <w:gridSpan w:val="2"/>
          </w:tcPr>
          <w:p>
            <w:pPr>
              <w:ind w:left="23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38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380" w:type="dxa"/>
            <w:vAlign w:val="bottom"/>
            <w:gridSpan w:val="2"/>
          </w:tcPr>
          <w:p>
            <w:pPr>
              <w:ind w:left="23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38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380" w:type="dxa"/>
            <w:vAlign w:val="bottom"/>
            <w:gridSpan w:val="2"/>
          </w:tcPr>
          <w:p>
            <w:pPr>
              <w:ind w:left="23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102(b)(7) of the General Corporation Law of the State of Delaware, or the DGCL,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such person is threatened to be made a party by reason of such position, if such person acted in good faith and in a manner such person reasonably believed to be in or not opposed to the best interests of the corporation, and, in any criminal action or proceeding, had no reasonable cause to believe such person’s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88"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permitted by the DGCL, our amended and restated certificate of incorporation and amended and restated bylaws provide that: (i) we are required to indemnify our directors to the fullest extent permitted by the DGCL; (ii) we may, in our discretion, indemnify our officers, employees and agents as set forth in the DGCL; (iii) we are required, upon satisfaction of certain conditions, to advance all expenses incurred by our directors in connection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with certain legal proceedings; (iv) the rights conferred in the bylaws are not exclusive; and (v) we are authorized to enter into indemnification agreements with our directors, officers, employees and agents.</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which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8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300" w:type="dxa"/>
            <w:vAlign w:val="bottom"/>
            <w:gridSpan w:val="9"/>
          </w:tcPr>
          <w:p>
            <w:pPr>
              <w:spacing w:after="0"/>
              <w:rPr>
                <w:sz w:val="15"/>
                <w:szCs w:val="15"/>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spacing w:after="0"/>
              <w:rPr>
                <w:sz w:val="24"/>
                <w:szCs w:val="24"/>
                <w:color w:val="auto"/>
              </w:rPr>
            </w:pPr>
          </w:p>
        </w:tc>
        <w:tc>
          <w:tcPr>
            <w:tcW w:w="9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Amended and Restated Certificate of Incorporation (incorporated by reference to Exhibit 3.1 of the Company’s Current Report on</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8-K (File No. 001-40703), filed with the Securities and Exchange Commission on August 10, 2021).</w:t>
              </w:r>
            </w:hyperlink>
          </w:p>
        </w:tc>
        <w:tc>
          <w:tcPr>
            <w:tcW w:w="1660" w:type="dxa"/>
            <w:vAlign w:val="bottom"/>
            <w:gridSpan w:val="6"/>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spacing w:after="0"/>
              <w:rPr>
                <w:sz w:val="24"/>
                <w:szCs w:val="24"/>
                <w:color w:val="auto"/>
              </w:rPr>
            </w:pPr>
          </w:p>
        </w:tc>
        <w:tc>
          <w:tcPr>
            <w:tcW w:w="9340" w:type="dxa"/>
            <w:vAlign w:val="bottom"/>
            <w:gridSpan w:val="14"/>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Amendment to the Amended and Restated Certificate of Incorporation (incorporated by reference to Exhibit 3.1 of</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the Company’s Current Report on Form 8-K (File No. 001-40703), filed with the Securities and Exchange Commission on</w:t>
              </w:r>
            </w:hyperlink>
          </w:p>
        </w:tc>
        <w:tc>
          <w:tcPr>
            <w:tcW w:w="42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40" w:type="dxa"/>
            <w:vAlign w:val="bottom"/>
            <w:gridSpan w:val="14"/>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September 13, 2022).</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Delaware Certificate of Change of Registered Agent (filed herewith).</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tcPr>
          <w:p>
            <w:pPr>
              <w:spacing w:after="0"/>
              <w:rPr>
                <w:sz w:val="24"/>
                <w:szCs w:val="24"/>
                <w:color w:val="auto"/>
              </w:rPr>
            </w:pPr>
          </w:p>
        </w:tc>
        <w:tc>
          <w:tcPr>
            <w:tcW w:w="9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Amended and Restated Bylaws (incorporated by reference to Exhibit 3.2 of the Company’s Current Report on Form 8-K (File</w:t>
              </w:r>
            </w:hyperlink>
          </w:p>
        </w:tc>
        <w:tc>
          <w:tcPr>
            <w:tcW w:w="28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40" w:type="dxa"/>
            <w:vAlign w:val="bottom"/>
            <w:gridSpan w:val="1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No. 001-40703), filed with the Securities and Exchange Commission on September 13, 2022).</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tcPr>
          <w:p>
            <w:pPr>
              <w:spacing w:after="0"/>
              <w:rPr>
                <w:sz w:val="24"/>
                <w:szCs w:val="24"/>
                <w:color w:val="auto"/>
              </w:rPr>
            </w:pPr>
          </w:p>
        </w:tc>
        <w:tc>
          <w:tcPr>
            <w:tcW w:w="9340" w:type="dxa"/>
            <w:vAlign w:val="bottom"/>
            <w:gridSpan w:val="14"/>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Second Amended and Restated Investors’ Rights Agreement, by and among the Company and certain of its stockholders, dated</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April 16, 2021 (incorporated by reference to Exhibit 4.1 of the Company’s Registration Statement on Form S-1 (File</w:t>
              </w:r>
            </w:hyperlink>
          </w:p>
        </w:tc>
        <w:tc>
          <w:tcPr>
            <w:tcW w:w="720" w:type="dxa"/>
            <w:vAlign w:val="bottom"/>
            <w:tcBorders>
              <w:top w:val="single" w:sz="8" w:color="0000EE"/>
            </w:tcBorders>
            <w:gridSpan w:val="3"/>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40" w:type="dxa"/>
            <w:vAlign w:val="bottom"/>
            <w:gridSpan w:val="1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No. 333-257975), filed with the Securities and Exchange Commission on July 16, 2021).</w:t>
              </w:r>
            </w:hyperlink>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Pr>
          <w:p>
            <w:pPr>
              <w:spacing w:after="0"/>
              <w:rPr>
                <w:sz w:val="24"/>
                <w:szCs w:val="24"/>
                <w:color w:val="auto"/>
              </w:rPr>
            </w:pPr>
          </w:p>
        </w:tc>
        <w:tc>
          <w:tcPr>
            <w:tcW w:w="64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Specimen certificate evidencing shares of preferred stock.</w:t>
            </w:r>
          </w:p>
        </w:tc>
        <w:tc>
          <w:tcPr>
            <w:tcW w:w="2900" w:type="dxa"/>
            <w:vAlign w:val="bottom"/>
            <w:gridSpan w:val="8"/>
          </w:tcPr>
          <w:p>
            <w:pPr>
              <w:spacing w:after="0"/>
              <w:rPr>
                <w:sz w:val="24"/>
                <w:szCs w:val="24"/>
                <w:color w:val="auto"/>
              </w:rPr>
            </w:pP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any Certificate of Designation setting forth the preferences and rights with respect to any preferred stock issued</w:t>
            </w:r>
          </w:p>
        </w:tc>
      </w:tr>
      <w:tr>
        <w:trPr>
          <w:trHeight w:val="234"/>
        </w:trPr>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hereunder.</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Form of Indenture (filed herewith).</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Warrant Agreement for Common Stock, including Warrant Certificate for Common Stock.</w:t>
            </w:r>
          </w:p>
        </w:tc>
      </w:tr>
      <w:tr>
        <w:trPr>
          <w:trHeight w:val="365"/>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4.6*</w:t>
            </w:r>
          </w:p>
        </w:tc>
        <w:tc>
          <w:tcPr>
            <w:tcW w:w="8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Warrant Agreement for Preferred Stock, including Warrant Certificate for Preferred Stock.</w:t>
            </w:r>
          </w:p>
        </w:tc>
      </w:tr>
      <w:tr>
        <w:trPr>
          <w:trHeight w:val="324"/>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4.7*</w:t>
            </w:r>
          </w:p>
        </w:tc>
        <w:tc>
          <w:tcPr>
            <w:tcW w:w="8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Warrant Agreement for Debt Securities, including Warrant Certificate for Debt Securities.</w:t>
            </w:r>
          </w:p>
        </w:tc>
      </w:tr>
      <w:tr>
        <w:trPr>
          <w:trHeight w:val="324"/>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c>
          <w:tcPr>
            <w:tcW w:w="8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8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5.1</w:t>
            </w:r>
          </w:p>
        </w:tc>
        <w:tc>
          <w:tcPr>
            <w:tcW w:w="89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Hogan Lovells US LLP (filed herewith).</w:t>
            </w:r>
          </w:p>
        </w:tc>
      </w:tr>
      <w:tr>
        <w:trPr>
          <w:trHeight w:val="20"/>
        </w:trPr>
        <w:tc>
          <w:tcPr>
            <w:tcW w:w="92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23.1</w:t>
            </w:r>
          </w:p>
        </w:tc>
        <w:tc>
          <w:tcPr>
            <w:tcW w:w="7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 accounting firm (filed herewith).</w:t>
            </w:r>
          </w:p>
        </w:tc>
        <w:tc>
          <w:tcPr>
            <w:tcW w:w="1340" w:type="dxa"/>
            <w:vAlign w:val="bottom"/>
          </w:tcPr>
          <w:p>
            <w:pPr>
              <w:spacing w:after="0"/>
              <w:rPr>
                <w:sz w:val="24"/>
                <w:szCs w:val="24"/>
                <w:color w:val="auto"/>
              </w:rPr>
            </w:pPr>
          </w:p>
        </w:tc>
      </w:tr>
      <w:tr>
        <w:trPr>
          <w:trHeight w:val="304"/>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23.2</w:t>
            </w:r>
          </w:p>
        </w:tc>
        <w:tc>
          <w:tcPr>
            <w:tcW w:w="89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Hogan Lovells US LLP (included in Exhibit 5.1).</w:t>
            </w:r>
          </w:p>
        </w:tc>
      </w:tr>
      <w:tr>
        <w:trPr>
          <w:trHeight w:val="304"/>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24.1</w:t>
            </w:r>
          </w:p>
        </w:tc>
        <w:tc>
          <w:tcPr>
            <w:tcW w:w="39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hereto).</w:t>
            </w:r>
          </w:p>
        </w:tc>
        <w:tc>
          <w:tcPr>
            <w:tcW w:w="400" w:type="dxa"/>
            <w:vAlign w:val="bottom"/>
            <w:tcBorders>
              <w:top w:val="single" w:sz="8" w:color="0000EE"/>
            </w:tcBorders>
          </w:tcPr>
          <w:p>
            <w:pPr>
              <w:spacing w:after="0"/>
              <w:rPr>
                <w:sz w:val="24"/>
                <w:szCs w:val="24"/>
                <w:color w:val="auto"/>
              </w:rPr>
            </w:pPr>
          </w:p>
        </w:tc>
        <w:tc>
          <w:tcPr>
            <w:tcW w:w="4540" w:type="dxa"/>
            <w:vAlign w:val="bottom"/>
            <w:gridSpan w:val="2"/>
          </w:tcPr>
          <w:p>
            <w:pPr>
              <w:spacing w:after="0"/>
              <w:rPr>
                <w:sz w:val="24"/>
                <w:szCs w:val="24"/>
                <w:color w:val="auto"/>
              </w:rPr>
            </w:pPr>
          </w:p>
        </w:tc>
      </w:tr>
      <w:tr>
        <w:trPr>
          <w:trHeight w:val="344"/>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25.1**</w:t>
            </w:r>
          </w:p>
        </w:tc>
        <w:tc>
          <w:tcPr>
            <w:tcW w:w="89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Form T-1 Statement of Eligibility and Qualification under the Trust Indenture Act of 1939 of Trustee for Form of Indenture.</w:t>
            </w:r>
          </w:p>
        </w:tc>
      </w:tr>
    </w:tbl>
    <w:p>
      <w:pPr>
        <w:spacing w:after="0" w:line="90" w:lineRule="exact"/>
        <w:rPr>
          <w:sz w:val="20"/>
          <w:szCs w:val="20"/>
          <w:color w:val="auto"/>
        </w:rPr>
      </w:pPr>
    </w:p>
    <w:p>
      <w:pPr>
        <w:ind w:left="1040" w:hanging="92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 (filed herewith).</w:t>
      </w:r>
    </w:p>
    <w:p>
      <w:pPr>
        <w:spacing w:after="0" w:line="252" w:lineRule="exact"/>
        <w:rPr>
          <w:sz w:val="20"/>
          <w:szCs w:val="20"/>
          <w:color w:val="auto"/>
        </w:rPr>
      </w:pPr>
    </w:p>
    <w:p>
      <w:pPr>
        <w:ind w:left="540" w:right="82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subsequent to the effectiveness of this registration statement by an amendment to this registration statement or incorporated by reference pursuant to a Current Report on Form 8-K in connection with an offering of securities.</w:t>
      </w: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and Rule 5b-3 thereunder.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right="40" w:hanging="439"/>
        <w:spacing w:after="0" w:line="255" w:lineRule="auto"/>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ind w:left="56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(ii) and (iii)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sz w:val="20"/>
          <w:szCs w:val="20"/>
          <w:color w:val="auto"/>
        </w:rPr>
      </w:pPr>
    </w:p>
    <w:p>
      <w:pPr>
        <w:ind w:left="1080" w:hanging="532"/>
        <w:spacing w:after="0"/>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9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8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5" w:lineRule="exact"/>
        <w:rPr>
          <w:sz w:val="20"/>
          <w:szCs w:val="20"/>
          <w:color w:val="auto"/>
        </w:rPr>
      </w:pPr>
    </w:p>
    <w:p>
      <w:pPr>
        <w:jc w:val="both"/>
        <w:ind w:left="540" w:right="60" w:hanging="424"/>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9" w:lineRule="exact"/>
        <w:rPr>
          <w:sz w:val="20"/>
          <w:szCs w:val="20"/>
          <w:color w:val="auto"/>
        </w:rPr>
      </w:pPr>
    </w:p>
    <w:p>
      <w:pPr>
        <w:ind w:left="540" w:right="24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applicable, 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Securities Act of 1933.</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00"/>
          </w:cols>
          <w:pgMar w:left="320" w:top="455" w:right="5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Invivyd, Inc., certifies that it has reasonable grounds to believe that it meets all of the requirements for filing on Form S-3 and has duly caused this registration statement to be signed on its behalf by the undersigned, thereunto duly authorized, in the City of Waltham, Commonwealth of Massachusetts, on this 28th day of September,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David Hering, M.B.A.</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David Hering and Jane Pritchett Henderson as his or her true and lawful attorney-in-fact and agent, with the full power of substitution, for him or her and in his or her name, place or stead, in any and all capacities, to sign any and all amendments to this registration statement (including post-effective amendments), and any other registration statements for the same offering pursuant to Rule 462(b) of the Securities Act of 1933, as amended,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00" w:type="dxa"/>
            <w:vAlign w:val="bottom"/>
          </w:tcPr>
          <w:p>
            <w:pPr>
              <w:spacing w:after="0"/>
              <w:rPr>
                <w:sz w:val="15"/>
                <w:szCs w:val="15"/>
                <w:color w:val="auto"/>
              </w:rPr>
            </w:pP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Hering, M.B.A.</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Chief Executive Officer &amp; Director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David Hering, M.B.A.</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Jane Pritchett Henderson</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Chief Financial Officer &amp; Chief Business Officer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Jane Pritchett Henderson</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i w:val="1"/>
                <w:iCs w:val="1"/>
                <w:color w:val="auto"/>
                <w:w w:val="99"/>
              </w:rPr>
              <w:t>(Principal Financial and Principal Accounting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Marc Elia</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Chair of the Board of Directors</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 Elia</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Tamsin Berry</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Tamsin Berry</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Tom Heyman</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Tom Heyman</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Terry McGuire</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Terry McGuire</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Clive A. Meanwell, M.D.</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Clive A. Meanwell, M.D.</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Redonda Miller, M.D., M.B.A.</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Redonda Miller, M.D., M.B.A.</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S. Wyzga</w:t>
            </w:r>
          </w:p>
        </w:tc>
        <w:tc>
          <w:tcPr>
            <w:tcW w:w="514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9"/>
              </w:rPr>
              <w:t>September 28, 2022</w:t>
            </w:r>
          </w:p>
        </w:tc>
      </w:tr>
      <w:tr>
        <w:trPr>
          <w:trHeight w:val="23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S. Wyzga</w:t>
            </w: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080"/>
          </w:cols>
          <w:pgMar w:left="320" w:top="455" w:right="4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27"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CERTIFICATE OF CHANGE OF REGISTERED AGENT</w:t>
      </w:r>
    </w:p>
    <w:p>
      <w:pPr>
        <w:spacing w:after="0" w:line="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AND/OR REGISTERED OFFICE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corporation organized and existing under the General Corporation Law of the State of Delaware, hereby certifies as follows:</w:t>
      </w:r>
    </w:p>
    <w:p>
      <w:pPr>
        <w:spacing w:after="0" w:line="117" w:lineRule="exact"/>
        <w:rPr>
          <w:sz w:val="20"/>
          <w:szCs w:val="20"/>
          <w:color w:val="auto"/>
        </w:rPr>
      </w:pPr>
    </w:p>
    <w:p>
      <w:pPr>
        <w:ind w:left="4"/>
        <w:spacing w:after="0"/>
        <w:tabs>
          <w:tab w:leader="none" w:pos="283" w:val="left"/>
        </w:tabs>
        <w:rPr>
          <w:sz w:val="20"/>
          <w:szCs w:val="20"/>
          <w:color w:val="auto"/>
        </w:rPr>
      </w:pPr>
      <w:r>
        <w:rPr>
          <w:rFonts w:ascii="Times New Roman" w:cs="Times New Roman" w:eastAsia="Times New Roman" w:hAnsi="Times New Roman"/>
          <w:sz w:val="18"/>
          <w:szCs w:val="18"/>
          <w:color w:val="auto"/>
        </w:rPr>
        <w:t>1.</w:t>
        <w:tab/>
        <w:t>The name of the corporation is 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-7620</wp:posOffset>
            </wp:positionV>
            <wp:extent cx="1986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1986280" cy="8255"/>
                    </a:xfrm>
                    <a:prstGeom prst="rect">
                      <a:avLst/>
                    </a:prstGeom>
                    <a:noFill/>
                  </pic:spPr>
                </pic:pic>
              </a:graphicData>
            </a:graphic>
          </wp:anchor>
        </w:drawing>
      </w:r>
    </w:p>
    <w:p>
      <w:pPr>
        <w:spacing w:after="0" w:line="97" w:lineRule="exact"/>
        <w:rPr>
          <w:sz w:val="20"/>
          <w:szCs w:val="20"/>
          <w:color w:val="auto"/>
        </w:rPr>
      </w:pPr>
    </w:p>
    <w:p>
      <w:pPr>
        <w:ind w:left="8864"/>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6267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5626735" cy="8255"/>
                    </a:xfrm>
                    <a:prstGeom prst="rect">
                      <a:avLst/>
                    </a:prstGeom>
                    <a:noFill/>
                  </pic:spPr>
                </pic:pic>
              </a:graphicData>
            </a:graphic>
          </wp:anchor>
        </w:drawing>
      </w:r>
    </w:p>
    <w:p>
      <w:pPr>
        <w:spacing w:after="0" w:line="97" w:lineRule="exact"/>
        <w:rPr>
          <w:sz w:val="20"/>
          <w:szCs w:val="20"/>
          <w:color w:val="auto"/>
        </w:rPr>
      </w:pPr>
    </w:p>
    <w:p>
      <w:pPr>
        <w:ind w:left="4" w:right="4560" w:hanging="4"/>
        <w:spacing w:after="0" w:line="261"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corporation in the State of Delaware is changed to Corporation Trust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6019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5601970" cy="889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6"/>
        </w:trPr>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1209 Orange Street</w:t>
            </w:r>
          </w:p>
        </w:tc>
        <w:tc>
          <w:tcPr>
            <w:tcW w:w="388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(street), in the City of Wilmington</w:t>
            </w:r>
          </w:p>
        </w:tc>
        <w:tc>
          <w:tcPr>
            <w:tcW w:w="23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24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County of New Castle</w:t>
            </w:r>
          </w:p>
        </w:tc>
        <w:tc>
          <w:tcPr>
            <w:tcW w:w="16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Zip Code 19801</w:t>
            </w:r>
          </w:p>
        </w:tc>
        <w:tc>
          <w:tcPr>
            <w:tcW w:w="2300" w:type="dxa"/>
            <w:vAlign w:val="bottom"/>
            <w:tcBorders>
              <w:top w:val="single" w:sz="8" w:color="auto"/>
            </w:tcBorders>
            <w:gridSpan w:val="2"/>
          </w:tcPr>
          <w:p>
            <w:pPr>
              <w:ind w:left="820"/>
              <w:spacing w:after="0" w:line="196" w:lineRule="exact"/>
              <w:rPr>
                <w:sz w:val="20"/>
                <w:szCs w:val="20"/>
                <w:color w:val="auto"/>
              </w:rPr>
            </w:pPr>
            <w:r>
              <w:rPr>
                <w:rFonts w:ascii="Times New Roman" w:cs="Times New Roman" w:eastAsia="Times New Roman" w:hAnsi="Times New Roman"/>
                <w:sz w:val="18"/>
                <w:szCs w:val="18"/>
                <w:color w:val="auto"/>
              </w:rPr>
              <w:t>. The name of the</w:t>
            </w:r>
          </w:p>
        </w:tc>
        <w:tc>
          <w:tcPr>
            <w:tcW w:w="6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Registered Agent at such address upon whom process against this Corporation may be served is </w:t>
      </w:r>
      <w:r>
        <w:rPr>
          <w:rFonts w:ascii="Times New Roman" w:cs="Times New Roman" w:eastAsia="Times New Roman" w:hAnsi="Times New Roman"/>
          <w:sz w:val="18"/>
          <w:szCs w:val="18"/>
          <w:u w:val="single" w:color="auto"/>
          <w:color w:val="auto"/>
        </w:rPr>
        <w:t>THE CORPORATION TRUST</w:t>
      </w:r>
    </w:p>
    <w:p>
      <w:pPr>
        <w:spacing w:after="0" w:line="27" w:lineRule="exact"/>
        <w:rPr>
          <w:sz w:val="20"/>
          <w:szCs w:val="20"/>
          <w:color w:val="auto"/>
        </w:rPr>
      </w:pPr>
    </w:p>
    <w:p>
      <w:pPr>
        <w:ind w:left="4"/>
        <w:spacing w:after="0"/>
        <w:tabs>
          <w:tab w:leader="none" w:pos="3783"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4130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79" w:lineRule="exact"/>
        <w:rPr>
          <w:sz w:val="20"/>
          <w:szCs w:val="20"/>
          <w:color w:val="auto"/>
        </w:rPr>
      </w:pPr>
    </w:p>
    <w:p>
      <w:pPr>
        <w:ind w:left="4"/>
        <w:spacing w:after="0"/>
        <w:tabs>
          <w:tab w:leader="none" w:pos="283" w:val="left"/>
        </w:tabs>
        <w:rPr>
          <w:sz w:val="20"/>
          <w:szCs w:val="20"/>
          <w:color w:val="auto"/>
        </w:rPr>
      </w:pPr>
      <w:r>
        <w:rPr>
          <w:rFonts w:ascii="Times New Roman" w:cs="Times New Roman" w:eastAsia="Times New Roman" w:hAnsi="Times New Roman"/>
          <w:sz w:val="18"/>
          <w:szCs w:val="18"/>
          <w:color w:val="auto"/>
        </w:rPr>
        <w:t>3.</w:t>
        <w:tab/>
        <w:t>The foregoing change to the registered office/agent was adopted by a resolution of the Board of Directors of the corporation.</w:t>
      </w:r>
    </w:p>
    <w:p>
      <w:pPr>
        <w:spacing w:after="0" w:line="200" w:lineRule="exact"/>
        <w:rPr>
          <w:sz w:val="20"/>
          <w:szCs w:val="20"/>
          <w:color w:val="auto"/>
        </w:rPr>
      </w:pPr>
    </w:p>
    <w:p>
      <w:pPr>
        <w:spacing w:after="0" w:line="268" w:lineRule="exact"/>
        <w:rPr>
          <w:sz w:val="20"/>
          <w:szCs w:val="20"/>
          <w:color w:val="auto"/>
        </w:rPr>
      </w:pPr>
    </w:p>
    <w:p>
      <w:pPr>
        <w:ind w:left="6184"/>
        <w:spacing w:after="0"/>
        <w:rPr>
          <w:sz w:val="20"/>
          <w:szCs w:val="20"/>
          <w:color w:val="auto"/>
        </w:rPr>
      </w:pPr>
      <w:r>
        <w:rPr>
          <w:rFonts w:ascii="Times New Roman" w:cs="Times New Roman" w:eastAsia="Times New Roman" w:hAnsi="Times New Roman"/>
          <w:sz w:val="18"/>
          <w:szCs w:val="18"/>
          <w:color w:val="auto"/>
        </w:rPr>
        <w:t>By: /s/ Kimberly Bowens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17145</wp:posOffset>
            </wp:positionV>
            <wp:extent cx="25971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864"/>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63" w:lineRule="exact"/>
        <w:rPr>
          <w:sz w:val="20"/>
          <w:szCs w:val="20"/>
          <w:color w:val="auto"/>
        </w:rPr>
      </w:pPr>
    </w:p>
    <w:p>
      <w:pPr>
        <w:ind w:left="6184"/>
        <w:spacing w:after="0"/>
        <w:rPr>
          <w:sz w:val="20"/>
          <w:szCs w:val="20"/>
          <w:color w:val="auto"/>
        </w:rPr>
      </w:pPr>
      <w:r>
        <w:rPr>
          <w:rFonts w:ascii="Times New Roman" w:cs="Times New Roman" w:eastAsia="Times New Roman" w:hAnsi="Times New Roman"/>
          <w:sz w:val="18"/>
          <w:szCs w:val="18"/>
          <w:color w:val="auto"/>
        </w:rPr>
        <w:t>Name: Kimberly Bowens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17145</wp:posOffset>
            </wp:positionV>
            <wp:extent cx="2459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8184"/>
        <w:spacing w:after="0"/>
        <w:rPr>
          <w:sz w:val="20"/>
          <w:szCs w:val="20"/>
          <w:color w:val="auto"/>
        </w:rPr>
      </w:pPr>
      <w:r>
        <w:rPr>
          <w:rFonts w:ascii="Times New Roman" w:cs="Times New Roman" w:eastAsia="Times New Roman" w:hAnsi="Times New Roman"/>
          <w:sz w:val="18"/>
          <w:szCs w:val="18"/>
          <w:color w:val="auto"/>
        </w:rPr>
        <w:t>Print or Type</w:t>
      </w:r>
    </w:p>
    <w:p>
      <w:pPr>
        <w:sectPr>
          <w:pgSz w:w="11900" w:h="16838" w:orient="portrait"/>
          <w:cols w:equalWidth="0" w:num="1">
            <w:col w:w="10584"/>
          </w:cols>
          <w:pgMar w:left="876" w:top="117"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DATED AS OF</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r>
    </w:tbl>
    <w:p>
      <w:pPr>
        <w:spacing w:after="0" w:line="19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Invivyd,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Providing for Issuance of</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OTHER PROVISIONS OF GENERAL APPLICATION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Acts of Holders; Record Dates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to Holders; Waiver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Separability Clause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of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Holidays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Incorporators, Equityholders, Directors, Members, Managers, Officers and Employees of the Company Exempt from</w:t>
            </w:r>
          </w:p>
        </w:tc>
        <w:tc>
          <w:tcPr>
            <w:tcW w:w="5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Individual Liability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SECURITY FORM</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Forms Generally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Legend for Global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Denominations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Temporary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Registration of Transfer and Exchange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Persons Deemed Owners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Computation of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CUSIP Numbers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Original Issue Discount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SATISFACTION AND DISCHARGE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REMEDIES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Suits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and Interest and to Convert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 by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Past Defaults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Undertaking for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Usury, Stay or Extension Laws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THE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Defaults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Hold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Held in Trust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Conflicting Interests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HOLDERS’ LISTS AND REPORTS BY TRUSTEE AND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CONSOLIDATION, MERGER, CONVEYANCE, TRANSFER OR LEASE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May Consolidate, Etc., Only on Certain Terms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 Substituted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SUPPLEMENTAL INDENTURES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Statement by Officer as to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REDEMPTION OF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SINKING FUNDS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DEFEASANCE AND COVENANT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Company’s Option to Effect Defeasance or Covenant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Defeasance and Discharge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Covenant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Miscellaneous 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Reinstatement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Note: This table of contents shall not, for any purpose, be deemed to be a part of the Indenture.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378" w:right="4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760" w:type="dxa"/>
            <w:vAlign w:val="bottom"/>
            <w:gridSpan w:val="3"/>
          </w:tcPr>
          <w:p>
            <w:pPr>
              <w:jc w:val="center"/>
              <w:ind w:right="2193"/>
              <w:spacing w:after="0"/>
              <w:rPr>
                <w:sz w:val="20"/>
                <w:szCs w:val="20"/>
                <w:color w:val="auto"/>
              </w:rPr>
            </w:pPr>
            <w:r>
              <w:rPr>
                <w:rFonts w:ascii="Times New Roman" w:cs="Times New Roman" w:eastAsia="Times New Roman" w:hAnsi="Times New Roman"/>
                <w:sz w:val="18"/>
                <w:szCs w:val="18"/>
                <w:color w:val="auto"/>
                <w:w w:val="99"/>
              </w:rPr>
              <w:t>Invivyd, Inc.</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8760" w:type="dxa"/>
            <w:vAlign w:val="bottom"/>
            <w:gridSpan w:val="3"/>
          </w:tcPr>
          <w:p>
            <w:pPr>
              <w:jc w:val="center"/>
              <w:ind w:right="2173"/>
              <w:spacing w:after="0"/>
              <w:rPr>
                <w:sz w:val="20"/>
                <w:szCs w:val="20"/>
                <w:color w:val="auto"/>
              </w:rPr>
            </w:pPr>
            <w:r>
              <w:rPr>
                <w:rFonts w:ascii="Times New Roman" w:cs="Times New Roman" w:eastAsia="Times New Roman" w:hAnsi="Times New Roman"/>
                <w:sz w:val="18"/>
                <w:szCs w:val="18"/>
                <w:color w:val="auto"/>
              </w:rPr>
              <w:t>Certain Sections of this Indenture relating to Sections 310 - 318, inclusive,</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760" w:type="dxa"/>
            <w:vAlign w:val="bottom"/>
            <w:gridSpan w:val="3"/>
          </w:tcPr>
          <w:p>
            <w:pPr>
              <w:jc w:val="center"/>
              <w:ind w:right="2193"/>
              <w:spacing w:after="0"/>
              <w:rPr>
                <w:sz w:val="20"/>
                <w:szCs w:val="20"/>
                <w:color w:val="auto"/>
              </w:rPr>
            </w:pPr>
            <w:r>
              <w:rPr>
                <w:rFonts w:ascii="Times New Roman" w:cs="Times New Roman" w:eastAsia="Times New Roman" w:hAnsi="Times New Roman"/>
                <w:sz w:val="18"/>
                <w:szCs w:val="18"/>
                <w:color w:val="auto"/>
                <w:w w:val="99"/>
              </w:rPr>
              <w:t>of the Trust Indenture Act of 1939, as amended</w:t>
            </w:r>
          </w:p>
        </w:tc>
        <w:tc>
          <w:tcPr>
            <w:tcW w:w="0" w:type="dxa"/>
            <w:vAlign w:val="bottom"/>
          </w:tcPr>
          <w:p>
            <w:pPr>
              <w:spacing w:after="0"/>
              <w:rPr>
                <w:sz w:val="1"/>
                <w:szCs w:val="1"/>
                <w:color w:val="auto"/>
              </w:rPr>
            </w:pPr>
          </w:p>
        </w:tc>
      </w:tr>
      <w:tr>
        <w:trPr>
          <w:trHeight w:val="367"/>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3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Indenture</w:t>
            </w:r>
          </w:p>
        </w:tc>
        <w:tc>
          <w:tcPr>
            <w:tcW w:w="0" w:type="dxa"/>
            <w:vAlign w:val="bottom"/>
          </w:tcPr>
          <w:p>
            <w:pPr>
              <w:spacing w:after="0"/>
              <w:rPr>
                <w:sz w:val="1"/>
                <w:szCs w:val="1"/>
                <w:color w:val="auto"/>
              </w:rPr>
            </w:pPr>
          </w:p>
        </w:tc>
      </w:tr>
      <w:tr>
        <w:trPr>
          <w:trHeight w:val="187"/>
        </w:trPr>
        <w:tc>
          <w:tcPr>
            <w:tcW w:w="2260" w:type="dxa"/>
            <w:vAlign w:val="bottom"/>
            <w:tcBorders>
              <w:bottom w:val="single" w:sz="8" w:color="auto"/>
            </w:tcBorders>
            <w:vMerge w:val="continue"/>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310(a)(1)</w:t>
            </w:r>
          </w:p>
        </w:tc>
        <w:tc>
          <w:tcPr>
            <w:tcW w:w="3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(a)(2)</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(a)(3)</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(a)(4)</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(a)(5)</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6.08, 6.10</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7.01, 7.02</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(b)(1)</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(b)(2)</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(a)(4)</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1.04, 10.04</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(c)(1)</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(c)(2)</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(c)(3)</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316(a)(last sentence)</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(a)(1)(A)</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5.02, 5.12</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(a)(1)(B)</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(a)(2)</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4"/>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760" w:type="dxa"/>
            <w:vAlign w:val="bottom"/>
            <w:gridSpan w:val="3"/>
          </w:tcPr>
          <w:p>
            <w:pPr>
              <w:ind w:left="5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70" w:right="439" w:bottom="1440" w:gutter="0" w:footer="0" w:header="0"/>
        </w:sectPr>
      </w:pPr>
    </w:p>
    <w:bookmarkStart w:id="44" w:name="page45"/>
    <w:bookmarkEnd w:id="44"/>
    <w:tbl>
      <w:tblPr>
        <w:tblLayout w:type="fixed"/>
        <w:tblInd w:w="4"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Indenture</w:t>
            </w:r>
          </w:p>
        </w:tc>
        <w:tc>
          <w:tcPr>
            <w:tcW w:w="0" w:type="dxa"/>
            <w:vAlign w:val="bottom"/>
          </w:tcPr>
          <w:p>
            <w:pPr>
              <w:spacing w:after="0"/>
              <w:rPr>
                <w:sz w:val="1"/>
                <w:szCs w:val="1"/>
                <w:color w:val="auto"/>
              </w:rPr>
            </w:pPr>
          </w:p>
        </w:tc>
      </w:tr>
      <w:tr>
        <w:trPr>
          <w:trHeight w:val="187"/>
        </w:trPr>
        <w:tc>
          <w:tcPr>
            <w:tcW w:w="7380" w:type="dxa"/>
            <w:vAlign w:val="bottom"/>
            <w:gridSpan w:val="2"/>
            <w:vMerge w:val="continue"/>
          </w:tcPr>
          <w:p>
            <w:pPr>
              <w:spacing w:after="0"/>
              <w:rPr>
                <w:sz w:val="16"/>
                <w:szCs w:val="16"/>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91"/>
        </w:trPr>
        <w:tc>
          <w:tcPr>
            <w:tcW w:w="5500" w:type="dxa"/>
            <w:vAlign w:val="bottom"/>
            <w:tcBorders>
              <w:top w:val="single" w:sz="8" w:color="auto"/>
            </w:tcBorders>
          </w:tcPr>
          <w:p>
            <w:pPr>
              <w:jc w:val="right"/>
              <w:ind w:right="4733"/>
              <w:spacing w:after="0" w:line="191" w:lineRule="exact"/>
              <w:rPr>
                <w:sz w:val="20"/>
                <w:szCs w:val="20"/>
                <w:color w:val="auto"/>
              </w:rPr>
            </w:pPr>
            <w:r>
              <w:rPr>
                <w:rFonts w:ascii="Times New Roman" w:cs="Times New Roman" w:eastAsia="Times New Roman" w:hAnsi="Times New Roman"/>
                <w:sz w:val="18"/>
                <w:szCs w:val="18"/>
                <w:color w:val="auto"/>
                <w:w w:val="97"/>
              </w:rPr>
              <w:t>317(a)(1)</w:t>
            </w:r>
          </w:p>
        </w:tc>
        <w:tc>
          <w:tcPr>
            <w:tcW w:w="1880" w:type="dxa"/>
            <w:vAlign w:val="bottom"/>
          </w:tcPr>
          <w:p>
            <w:pPr>
              <w:spacing w:after="0"/>
              <w:rPr>
                <w:sz w:val="16"/>
                <w:szCs w:val="16"/>
                <w:color w:val="auto"/>
              </w:rPr>
            </w:pPr>
          </w:p>
        </w:tc>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7380" w:type="dxa"/>
            <w:vAlign w:val="bottom"/>
            <w:gridSpan w:val="2"/>
          </w:tcPr>
          <w:p>
            <w:pPr>
              <w:jc w:val="right"/>
              <w:ind w:right="6700"/>
              <w:spacing w:after="0"/>
              <w:rPr>
                <w:sz w:val="20"/>
                <w:szCs w:val="20"/>
                <w:color w:val="auto"/>
              </w:rPr>
            </w:pPr>
            <w:r>
              <w:rPr>
                <w:rFonts w:ascii="Times New Roman" w:cs="Times New Roman" w:eastAsia="Times New Roman" w:hAnsi="Times New Roman"/>
                <w:sz w:val="18"/>
                <w:szCs w:val="18"/>
                <w:color w:val="auto"/>
              </w:rPr>
              <w:t>(a)(2)</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7380" w:type="dxa"/>
            <w:vAlign w:val="bottom"/>
            <w:gridSpan w:val="2"/>
          </w:tcPr>
          <w:p>
            <w:pPr>
              <w:jc w:val="right"/>
              <w:ind w:right="6920"/>
              <w:spacing w:after="0"/>
              <w:rPr>
                <w:sz w:val="20"/>
                <w:szCs w:val="20"/>
                <w:color w:val="auto"/>
              </w:rPr>
            </w:pPr>
            <w:r>
              <w:rPr>
                <w:rFonts w:ascii="Times New Roman" w:cs="Times New Roman" w:eastAsia="Times New Roman" w:hAnsi="Times New Roman"/>
                <w:sz w:val="18"/>
                <w:szCs w:val="18"/>
                <w:color w:val="auto"/>
                <w:w w:val="93"/>
              </w:rPr>
              <w:t>318(a)</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7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 means inapplicable.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This reconciliation and tie shall not, for any purpose, be deemed to be part of the Indenture.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24"/>
          </w:cols>
          <w:pgMar w:left="436" w:top="251" w:right="439" w:bottom="1440" w:gutter="0" w:footer="0" w:header="0"/>
        </w:sectPr>
      </w:pPr>
    </w:p>
    <w:bookmarkStart w:id="45" w:name="page46"/>
    <w:bookmarkEnd w:id="45"/>
    <w:p>
      <w:pPr>
        <w:spacing w:after="0" w:line="200" w:lineRule="exact"/>
        <w:rPr>
          <w:sz w:val="20"/>
          <w:szCs w:val="20"/>
          <w:color w:val="auto"/>
        </w:rPr>
      </w:pPr>
    </w:p>
    <w:p>
      <w:pPr>
        <w:spacing w:after="0" w:line="23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THIS INDENTURE, dated as of</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r>
    </w:tbl>
    <w:p>
      <w:pPr>
        <w:spacing w:after="0"/>
        <w:rPr>
          <w:sz w:val="20"/>
          <w:szCs w:val="20"/>
          <w:color w:val="auto"/>
        </w:rPr>
      </w:pPr>
      <w:r>
        <w:rPr>
          <w:rFonts w:ascii="Times New Roman" w:cs="Times New Roman" w:eastAsia="Times New Roman" w:hAnsi="Times New Roman"/>
          <w:sz w:val="18"/>
          <w:szCs w:val="18"/>
          <w:color w:val="auto"/>
        </w:rPr>
        <w:t xml:space="preserve">Delaware (herein called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-210820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ind w:left="80" w:hanging="80"/>
        <w:spacing w:after="0"/>
        <w:tabs>
          <w:tab w:leader="none" w:pos="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Invivyd, Inc.</w:t>
      </w:r>
      <w:r>
        <w:rPr>
          <w:rFonts w:ascii="Times New Roman" w:cs="Times New Roman" w:eastAsia="Times New Roman" w:hAnsi="Times New Roman"/>
          <w:sz w:val="18"/>
          <w:szCs w:val="18"/>
          <w:color w:val="auto"/>
        </w:rPr>
        <w:t>, a corporation duly organized and existing under the laws of the State of</w:t>
      </w:r>
    </w:p>
    <w:p>
      <w:pPr>
        <w:spacing w:after="0" w:line="31"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00" w:lineRule="exact"/>
        <w:rPr>
          <w:sz w:val="20"/>
          <w:szCs w:val="20"/>
          <w:color w:val="auto"/>
        </w:rPr>
      </w:pPr>
    </w:p>
    <w:p>
      <w:pPr>
        <w:sectPr>
          <w:pgSz w:w="11900" w:h="16838" w:orient="portrait"/>
          <w:cols w:equalWidth="0" w:num="2">
            <w:col w:w="3640" w:space="220"/>
            <w:col w:w="7000"/>
          </w:cols>
          <w:pgMar w:left="440" w:top="266" w:right="599" w:bottom="1440" w:gutter="0" w:footer="0" w:header="0"/>
        </w:sectPr>
      </w:pPr>
    </w:p>
    <w:p>
      <w:pPr>
        <w:spacing w:after="0" w:line="29"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The Company has duly authorized the execution and delivery of this Indenture to provide for the issuance from time to time of the Company’s debentures, notes or other evidences of indebtedness (herein called the “Securities”), to be issued in one or more series as provided in this Indenture.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agreed, for the equal and proportionate benefit of all Holders of the Securities or of any series thereof, as follows:</w:t>
      </w:r>
    </w:p>
    <w:p>
      <w:pPr>
        <w:spacing w:after="0" w:line="3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ARTICLE I. DEFINITIONS AND OTHER PROVISIONS OF GENERAL APPLICATION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right="420" w:firstLine="436"/>
        <w:spacing w:after="0" w:line="282"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 and the masculine gender shall include the feminine and neuter, and vice versa, unless the context otherwise requires;</w:t>
      </w:r>
    </w:p>
    <w:p>
      <w:pPr>
        <w:spacing w:after="0" w:line="53"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that are defined in the Trust Indenture Act, either directly or by reference therein, have the meanings assigned to them therein;</w:t>
      </w:r>
    </w:p>
    <w:p>
      <w:pPr>
        <w:spacing w:after="0" w:line="53" w:lineRule="exact"/>
        <w:rPr>
          <w:rFonts w:ascii="Times New Roman" w:cs="Times New Roman" w:eastAsia="Times New Roman" w:hAnsi="Times New Roman"/>
          <w:sz w:val="18"/>
          <w:szCs w:val="18"/>
          <w:color w:val="auto"/>
        </w:rPr>
      </w:pPr>
    </w:p>
    <w:p>
      <w:pPr>
        <w:ind w:right="360" w:firstLine="436"/>
        <w:spacing w:after="0" w:line="312" w:lineRule="auto"/>
        <w:tabs>
          <w:tab w:leader="none" w:pos="68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accounting terms not otherwise defined herein have the meanings assigned to them in accordance with generally accepted accounting principles in the United States of America (including, if applicable, International Financial Reporting Standards) as in effect from time to time;</w:t>
      </w:r>
    </w:p>
    <w:p>
      <w:pPr>
        <w:spacing w:after="0" w:line="31" w:lineRule="exact"/>
        <w:rPr>
          <w:rFonts w:ascii="Times New Roman" w:cs="Times New Roman" w:eastAsia="Times New Roman" w:hAnsi="Times New Roman"/>
          <w:sz w:val="17"/>
          <w:szCs w:val="17"/>
          <w:color w:val="auto"/>
        </w:rPr>
      </w:pPr>
    </w:p>
    <w:p>
      <w:pPr>
        <w:ind w:firstLine="436"/>
        <w:spacing w:after="0" w:line="282"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or a “Section” refers to an Article or a Section, as the case may be, of this Indenture;</w:t>
      </w:r>
    </w:p>
    <w:p>
      <w:pPr>
        <w:spacing w:after="0" w:line="53"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and “including” means “including without limitation”, “including but not limited to” or words of similar import;</w:t>
      </w:r>
    </w:p>
    <w:p>
      <w:pPr>
        <w:spacing w:after="0" w:line="117"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these words are not intended to refer to any right of the Holder or the Company to exchange such Security for other Securities of the same series and like tenor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or another similar provisions of this Indenture, unless the context otherwise requires; and references herein to the terms of any Security that may be converted mean such terms as may be specified for such Security as contemplated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and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440" w:top="266" w:right="599" w:bottom="1440" w:gutter="0" w:footer="0" w:header="0"/>
          <w:type w:val="continuous"/>
        </w:sectPr>
      </w:pPr>
    </w:p>
    <w:bookmarkStart w:id="46" w:name="page47"/>
    <w:bookmarkEnd w:id="46"/>
    <w:p>
      <w:pPr>
        <w:ind w:firstLine="436"/>
        <w:spacing w:after="0" w:line="312" w:lineRule="auto"/>
        <w:tabs>
          <w:tab w:leader="none" w:pos="69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when used with respect to any Holder, has the meaning specified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of a Depositary means, with respect to any matter at any time, the policies and procedures of such Depositary, if any, that are applicable to such matter at such time.</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xml:space="preserve">” means any Person authorized by the Trustee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to act on behalf of the Trustee to authenticate Securities of one or more series.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either the board of directors of the Company or any duly authorized committee of that board of directors.</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when used with respect to any Place of Payment, means, except as otherwise provided or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each Monday, Tuesday, Wednesday, Thursday and Friday which is not a day on which banking institutions in that Place of Payment are authorized or obligated by law or executive order or regulation to close.</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its Chief Executive Officer, Chief Financial Officer or Corporate Secretary of the Company, or any other officer or officers of the Company designated in writing by or pursuant to authority of the Board of Directors, and delivered to the Trustee.</w:t>
      </w:r>
    </w:p>
    <w:p>
      <w:pPr>
        <w:spacing w:after="0" w:line="171"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office of the Trustee at which at any particular time its corporate trust business shall be administered, or at any other time at such other address as the Trustee may designate from time to time by notice to the Holders.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means a corporation, association, limited liability company, company, joint-stock company or business trust.</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“Depositary” </w:t>
      </w:r>
      <w:r>
        <w:rPr>
          <w:rFonts w:ascii="Times New Roman" w:cs="Times New Roman" w:eastAsia="Times New Roman" w:hAnsi="Times New Roman"/>
          <w:sz w:val="18"/>
          <w:szCs w:val="18"/>
          <w:color w:val="auto"/>
        </w:rPr>
        <w:t>means, with respect to Securities of any series issuable in whole or in part in the form of one or more Global Securities, a clearing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agency registered under the Exchange Act that is designated to act as Depositary for such Securities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and any statute successor thereto, in each case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xml:space="preserve">” means a Security that evidences all or part of the Securities of any series and bears the legend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such legend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Security is registered in the Security Register.</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“Indenture” </w:t>
      </w:r>
      <w:r>
        <w:rPr>
          <w:rFonts w:ascii="Times New Roman" w:cs="Times New Roman" w:eastAsia="Times New Roman" w:hAnsi="Times New Roman"/>
          <w:sz w:val="17"/>
          <w:szCs w:val="17"/>
          <w:color w:val="auto"/>
        </w:rPr>
        <w:t>means this instrument as originally executed and as it may from time to time be supplemented or amended by one or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an Original Issue Discount Security that by its terms bears interest only after Maturity, means interest payable after Maturity.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sinking fund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xml:space="preserve">” means a written notice of the kind specified in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the Chairman of the Board, the Chief Executive Officer, the Chief Financial Officer or the Corporate Secretary or any other officer or officers of the Company designated in writing by or pursuant to authority of the Board of Directors and delivered to the Trustee.</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of counsel, who may be an employee of, or outside counsel to, but does not have to be counsel for, the Company, and who shall be acceptable to the Trustee, which acceptance shall not be unreasonably withheld. Opinions of Counsel required to be delivered under this Indenture may have qualifications customary for opinions of the type required.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8" w:name="page49"/>
    <w:bookmarkEnd w:id="48"/>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Original Issue Discount Security</w:t>
      </w:r>
      <w:r>
        <w:rPr>
          <w:rFonts w:ascii="Times New Roman" w:cs="Times New Roman" w:eastAsia="Times New Roman" w:hAnsi="Times New Roman"/>
          <w:sz w:val="18"/>
          <w:szCs w:val="18"/>
          <w:color w:val="auto"/>
        </w:rPr>
        <w:t xml:space="preserve">” means any Security that provides for an amount less than the principal amount thereof to be due and payable upon a declaration of acceleration of the Maturity thereof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51" w:lineRule="exact"/>
        <w:rPr>
          <w:sz w:val="20"/>
          <w:szCs w:val="20"/>
          <w:color w:val="auto"/>
        </w:rPr>
      </w:pPr>
    </w:p>
    <w:p>
      <w:pPr>
        <w:ind w:left="704" w:hanging="264"/>
        <w:spacing w:after="0"/>
        <w:tabs>
          <w:tab w:leader="none" w:pos="7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and delivered to the Trustee or delivered to the Trustee for cancellation;</w:t>
      </w:r>
    </w:p>
    <w:p>
      <w:pPr>
        <w:spacing w:after="0" w:line="117"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has been made;</w:t>
      </w:r>
    </w:p>
    <w:p>
      <w:pPr>
        <w:spacing w:after="0" w:line="7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except to the extent provided in </w:t>
      </w:r>
      <w:r>
        <w:rPr>
          <w:rFonts w:ascii="Times New Roman" w:cs="Times New Roman" w:eastAsia="Times New Roman" w:hAnsi="Times New Roman"/>
          <w:sz w:val="18"/>
          <w:szCs w:val="18"/>
          <w:u w:val="single" w:color="auto"/>
          <w:color w:val="auto"/>
        </w:rPr>
        <w:t>Sections 13.02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xml:space="preserve"> respectively, as to which the Company has effected Defeasance pursuant to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Covenant Defeasance pursuant to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have been paid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67"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as to which any property deliverable upon conversion thereof has been delivered (or such delivery has been made available), or as to which any other particular conditions have been satisfied, in each case as may be provided for such Securities as contemplated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(B) if, as of such date, the principal amount payable at the Stated Maturity of a Security is not determinable, the principal amount of such Security which shall be deemed to be Outstanding shall be the amount as specified or determined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(C) the principal amount of a Security denominated in one or more foreign currencies, composite currencies or currency units which shall be deemed to be Outstanding shall be the U.S. dollar equivalent, determined as of such date in the manner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of the principal amount of such Security (or, in the case of a Security described in Clause (A) or</w:t>
      </w:r>
    </w:p>
    <w:p>
      <w:pPr>
        <w:spacing w:after="0" w:line="1" w:lineRule="exact"/>
        <w:rPr>
          <w:sz w:val="20"/>
          <w:szCs w:val="20"/>
          <w:color w:val="auto"/>
        </w:rPr>
      </w:pPr>
    </w:p>
    <w:p>
      <w:pPr>
        <w:ind w:left="4" w:right="60" w:hanging="4"/>
        <w:spacing w:after="0" w:line="252" w:lineRule="auto"/>
        <w:tabs>
          <w:tab w:leader="none" w:pos="2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The Trustee shall be protected in relying on an Officer’s Certificate or other evidence satisfactory to it in determining ownership.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4"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any Person authorized by the Company to pay the principal of or any premium or interest on any Securities on behalf of the Company.</w:t>
      </w:r>
    </w:p>
    <w:p>
      <w:pPr>
        <w:spacing w:after="0" w:line="15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company (including a limited liability company), partnership, joint venture, association, joint stock company, trust, unincorporated organization or government or any agency or political subdivision thereof or any other entity.</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49" w:name="page50"/>
    <w:bookmarkEnd w:id="49"/>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Place of Payment</w:t>
      </w:r>
      <w:r>
        <w:rPr>
          <w:rFonts w:ascii="Times New Roman" w:cs="Times New Roman" w:eastAsia="Times New Roman" w:hAnsi="Times New Roman"/>
          <w:sz w:val="18"/>
          <w:szCs w:val="18"/>
          <w:color w:val="auto"/>
        </w:rPr>
        <w:t xml:space="preserve">”, when used with respect to the Securities of any series, means the place or places where the principal of and any premium and interest on the Securities of that series are payable as specified or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16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Predecessor Security</w:t>
      </w:r>
      <w:r>
        <w:rPr>
          <w:rFonts w:ascii="Times New Roman" w:cs="Times New Roman" w:eastAsia="Times New Roman" w:hAnsi="Times New Roman"/>
          <w:sz w:val="17"/>
          <w:szCs w:val="17"/>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xml:space="preserve"> in exchange for or in lieu of a mutilated, destroyed, lost or stolen Security shall be deemed to evidence the same debt as the mutilated, destroyed, lost or stolen Security.</w:t>
      </w:r>
    </w:p>
    <w:p>
      <w:pPr>
        <w:spacing w:after="0" w:line="153"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xml:space="preserve">” for the interest payable on any Interest Payment Date on the Securities of any series means the date specified for that purpose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means the chairman or any vice-chairman of the board of directors, the chairman or any vice-chairman of the executive committee of the board of directors, the chairman of the trust committee, the president, any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who shall have direct responsibility for the administration of this Indenture.</w:t>
      </w:r>
    </w:p>
    <w:p>
      <w:pPr>
        <w:spacing w:after="0" w:line="182"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and any statute successor thereto, in each case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xml:space="preserve">” have the respective meanings specified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Record Date</w:t>
      </w:r>
      <w:r>
        <w:rPr>
          <w:rFonts w:ascii="Times New Roman" w:cs="Times New Roman" w:eastAsia="Times New Roman" w:hAnsi="Times New Roman"/>
          <w:sz w:val="18"/>
          <w:szCs w:val="18"/>
          <w:color w:val="auto"/>
        </w:rPr>
        <w:t xml:space="preserve">” for the payment of any Defaulted Interest means a date fixed by the Trustee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5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Person a majority of the combined voting power of the total outstanding ownership interests in which is, at the time of determination, beneficially owned or held, directly or indirectly, by the Company or one or more other Subsidiaries. For this purpose, “voting power” means power to vote in an ordinary election of directors (or, in the case of a Person that is not a corporation, ordinarily to appoint or approve the appointment of Persons holding similar positions), whether at all times or only as long as no senior class of ownership interests has such voting power by reason of any contingency.</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in force at the date as of which this Indenture was executed, except as otherwise provided in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provided, however, that in the event the Trust Indenture Act of 1939 is amended after such date, “Trust Indenture Act” means, to the extent required by any such amendment, the Trust Indenture Act of 1939 as so amended.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50" w:name="page51"/>
    <w:bookmarkEnd w:id="50"/>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Obligation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Vice President</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Upon any application or request by the Company to the Trustee to take or refrain from taking any action under any provision of this Indenture, the Company shall furnish to the Trustee such certificates and opinions as may be required under the Trust Indenture Act; provided, however, that no opinion shall be required in connection with the issuance of Securities that are part of any series as to which such an opinion has been furnished. Each such certificate and opinion shall be given in the form of an Officer’s Certificate, if to be given by an officer of the Company and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Every certificate or opinion with respect to compliance with a condition or covenant provided for in this Indenture (except for certificates provided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shall include:</w:t>
      </w:r>
    </w:p>
    <w:p>
      <w:pPr>
        <w:spacing w:after="0" w:line="54" w:lineRule="exact"/>
        <w:rPr>
          <w:sz w:val="20"/>
          <w:szCs w:val="20"/>
          <w:color w:val="auto"/>
        </w:rPr>
      </w:pPr>
    </w:p>
    <w:p>
      <w:pPr>
        <w:ind w:left="680" w:hanging="24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 relating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8"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Counsel delivering an Opinion of Counsel may also rely as to factual matters on certificates of governmental or other officials customary for opinions of the type required.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51" w:name="page52"/>
    <w:bookmarkEnd w:id="51"/>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 Record Dates.</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of the Holders signing such instrument or instruments. Proof of execution of any such instrument or of a writing appointing any such agent shall be sufficient for any purpose of this Indenture and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conclusive in favor of the Trustee and the Company, if made in the manner provided in this Section.</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a Holder, including a Depositary that is a Holder of a Global Security, may make, give or take, by a proxy or proxies, duly appointed in writing, any request, demand, authorization, direction, notice, consent, waiver or other action provided in this Indenture to be made, given or taken by Holders, and a Depositary that is a Holder of a Global Security may provide its proxy or proxies to the beneficial owners of interests in any such Global Security.</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ownership, principal amount and serial numbers of Securities held by any Person, and the date of commencement of such Person’s holding the same, shall be proved by the Security Register.</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but the Company shall have no obligation to do so;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2" w:name="page53"/>
    <w:bookmarkEnd w:id="52"/>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Trustee may set any day as a record date for the purpose of determining the Holders of Outstanding Securities of any series entitled to join in the giving or making of (i) any Notice of Default, (ii) any declaration of acceleration referred to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(iii) any request to institute proceedings referred to in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 xml:space="preserve"> or (iv) any direction referred to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With respect to any record date set pursuant to this Section, the party hereto which sets such record date may designate any day as the “</w:t>
      </w: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from time to time may change the Expiration Date to any earlier or later day; provided that no such change shall be effective unless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proposed new Expiration Date is given to the other party hereto in writing, and to each Holder of Securities of the relevant series in the manner set forth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on or prior to the then existing Expiration Date. If an Expiration Date is not designated with respect to any record date set pursuant to this Section, the party hereto which set such record date shall be deemed to have initially designated the 180th day following such record date as the Expiration Date with respect thereto, subject to its right to change the Expiration Date as provided in this paragraph. Notwithstanding the foregoing, no Expiration Date shall be later than the 180th day following the applicable record date.</w:t>
      </w:r>
    </w:p>
    <w:p>
      <w:pPr>
        <w:spacing w:after="0" w:line="187"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 provided or permitted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be made upon, given or furnished to, or filed with:</w:t>
      </w:r>
    </w:p>
    <w:p>
      <w:pPr>
        <w:spacing w:after="0" w:line="99" w:lineRule="exact"/>
        <w:rPr>
          <w:sz w:val="20"/>
          <w:szCs w:val="20"/>
          <w:color w:val="auto"/>
        </w:rPr>
      </w:pPr>
    </w:p>
    <w:p>
      <w:pPr>
        <w:ind w:right="260" w:firstLine="436"/>
        <w:spacing w:after="0" w:line="312" w:lineRule="auto"/>
        <w:tabs>
          <w:tab w:leader="none" w:pos="69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by any Holder or by the Company shall be sufficient for every purpose hereunder if made, given, furnished or filed in writing (which may be by facsimile or electronic transmission) to or with the Trustee at its Corporate Trust Office at the location specified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or</w:t>
      </w:r>
    </w:p>
    <w:p>
      <w:pPr>
        <w:spacing w:after="0" w:line="31" w:lineRule="exact"/>
        <w:rPr>
          <w:rFonts w:ascii="Times New Roman" w:cs="Times New Roman" w:eastAsia="Times New Roman" w:hAnsi="Times New Roman"/>
          <w:sz w:val="17"/>
          <w:szCs w:val="17"/>
          <w:color w:val="auto"/>
        </w:rPr>
      </w:pPr>
    </w:p>
    <w:p>
      <w:pPr>
        <w:ind w:right="20" w:firstLine="436"/>
        <w:spacing w:after="0" w:line="26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at the address of the Company’s principal office specified in writing to the Trustee, which shall be, until further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Invivyd,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1735 Market Street, 23rd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Steven J. Abrams, Esq.</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foregoing, the Trustee agrees to accept and act upon notices, instructions or directions pursuant to this Indenture sent by unsecured e-mail, facsimile transmission or other similar unsecured electronic methods. If the party elects to give the Trustee e-mail or facsimile notices, instructions or directions (or notices, instructions or directions by a similar electronic method) and the Trustee acts upon such notices, instructions or directions, the Trustee’s understanding of such notices, instructions or directions shall be deemed controlling. The Trustee shall not be liable for any losses, costs or expenses arising directly or indirectly from the Trustee’s reliance upon and compliance with such notices, instructions or directions notwithstanding such notices, instructions or directions conflict or are inconsistent with a subsequent written notice, instruction or direction. The Company agrees to assume all risks arising out of the use of such electronic methods to submit notices, instructions and directions to the Trustee, including without limitation the risk of the Trustee acting on unauthorized notices, instructions or directions, and the risk or interception and misuse by third parties.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mailed to a Holder in the aforesaid manner shall be conclusively deemed to have been received by such Holder whether or not actually received by such Holder.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2"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Conflict with Trust Indenture Act.</w:t>
      </w:r>
    </w:p>
    <w:p>
      <w:pPr>
        <w:spacing w:after="0" w:line="11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that are required to be a part of this Indenture and, to the extent applicable, shall be governed by such provisions. If any provision hereof limits, qualifies or conflicts with a provision of the Trust Indenture Act or with another provision hereof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excluded, as the case may be.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Effect of Headings and Table of Contents.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Successors and Assigns.</w:t>
      </w:r>
    </w:p>
    <w:p>
      <w:pPr>
        <w:spacing w:after="0" w:line="11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All covenants and agreements in this Indenture by the Company shall bind its successors and assigns, whether so expressed or not. All agreements of the Trustee in this Indenture shall bind its successors and assigns, whether so expressed or not.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Separability Clause.</w:t>
      </w:r>
    </w:p>
    <w:p>
      <w:pPr>
        <w:spacing w:after="0" w:line="11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Benefits of Indenture.</w:t>
      </w:r>
    </w:p>
    <w:p>
      <w:pPr>
        <w:spacing w:after="0" w:line="117"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Nothing in this Indenture or in the Securities, express or implied, shall give to any Person, other than the parties hereto and their successors hereunder and the Holders, any benefit or any legal or equitable right, remedy or claim under this Indenture, except as may otherwise be expressly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specific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Indenture and the Securities shall be governed by and construed in accordance with the laws of the State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Legal Holidays.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any case where any Interest Payment Date, Redemption Date or Stated Maturity of any Security, or any date on which a Holder has the right to convert such Holder’s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the Redemption Price or conversion of such Security, need not be made at such Place of Payment on such date, but may be made on the next succeeding Business Day at such Place of Payment with the same force and effect as if made on the Interest Payment Date or Redemption Date, or at the Stated Maturity, or on such conversion date. No interest shall accrue for the period from and after any such Interest Payment Date, Redemption Date, Stated Maturity or conversion date, as the case may be, to the date of such payment.</w:t>
      </w:r>
    </w:p>
    <w:p>
      <w:pPr>
        <w:spacing w:after="0" w:line="18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Incorporators, Equityholders, Directors, Members, Managers, Officers and Employees of the Company Exempt from Individual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Liability.</w:t>
      </w:r>
    </w:p>
    <w:p>
      <w:pPr>
        <w:spacing w:after="0" w:line="5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this Indenture, or in any Security, or because of any indebtedness evidenced thereby, shall be had against any incorporator, as such, or against any past, present or future equityholder, director, member, manager, officer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Counterparts.</w:t>
      </w:r>
    </w:p>
    <w:p>
      <w:pPr>
        <w:spacing w:after="0" w:line="11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This Indenture may be executed in several counterparts, each of which shall be an original and all of which shall constitute but one and the same instrument. Delivery of an executed signature page of this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Indenture or in any other certificate, agreement or document related to this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5" w:name="page56"/>
    <w:bookmarkEnd w:id="5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and any other applicable law, including, without limitation, any state law based on the Uniform Electronic Transactions Act or the Uniform Commercial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WAIVER OF JURY TRIAL.</w:t>
      </w:r>
    </w:p>
    <w:p>
      <w:pPr>
        <w:spacing w:after="0" w:line="117" w:lineRule="exact"/>
        <w:rPr>
          <w:sz w:val="20"/>
          <w:szCs w:val="20"/>
          <w:color w:val="auto"/>
        </w:rPr>
      </w:pPr>
    </w:p>
    <w:p>
      <w:pPr>
        <w:ind w:right="400" w:firstLine="440"/>
        <w:spacing w:after="0" w:line="289" w:lineRule="auto"/>
        <w:rPr>
          <w:sz w:val="20"/>
          <w:szCs w:val="20"/>
          <w:color w:val="auto"/>
        </w:rPr>
      </w:pPr>
      <w:r>
        <w:rPr>
          <w:rFonts w:ascii="Times New Roman" w:cs="Times New Roman" w:eastAsia="Times New Roman" w:hAnsi="Times New Roman"/>
          <w:sz w:val="17"/>
          <w:szCs w:val="17"/>
          <w:color w:val="auto"/>
        </w:rPr>
        <w:t>EACH OF THE COMPANY, THE HOLDERS AND THE TRUSTEE HEREBY IRREVOCABLY WAIVES, TO THE FULLEST EXTENT PERMITTED BY APPLICABLE LAW, ANY AND ALL RIGHT TO TRIAL BY JURY IN ANY LEGAL PROCEEDING AS BETWEEN THE COMPANY AND THE TRUSTEE ONLY ARISING OUT OF OR RELATING TO THIS INDENTURE OR THE SECURITIES.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 SECURITY FORM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Generally.</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Securities of each series and the Trustee’s certificate of authentication shall be in substantially the forms set forth in this Article, or in such other form as shall be established by or pursuant to a Board Resolution and,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to the extent established in an Officer’s Certificate or Company Order setting forth, or determining the manner of, such establishment,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laws or the rules of any securities exchange or automated quotation system on which the Securities of such series may be listed or traded or of any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for the authentication and delivery of such Securities. If all of the Securities of any series established by action taken pursuant to a Board Resolution are not to be issued at one time, it shall not be necessary to deliver a record of such action at the time of issuance of each Security of such series, but an appropriate record of such action shall be delivered at or before the time of issuance of the first Security of such series.</w:t>
      </w:r>
    </w:p>
    <w:p>
      <w:pPr>
        <w:spacing w:after="0" w:line="19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Legend for Global Securities.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Unless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the Securities evidenced thereby or as required by Applicable Procedures, every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Security authenticated and delivered hereunder shall bear a legend in substantially the following form:</w:t>
      </w:r>
    </w:p>
    <w:p>
      <w:pPr>
        <w:spacing w:after="0" w:line="20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56" w:name="page57"/>
    <w:bookmarkEnd w:id="56"/>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Securities of a series are issuable in whole or in part in the form of one or more Global Securities,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then, notwithstanding Clause (i)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any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the case may be, to reflect exchanges. Any endorsement of a Global Security to reflect the amount, or any reduction or increase in the amount, of Outstanding Securities represented thereby shall be made in such manner and upon instructions given by such Person or Persons as shall be specified therein or in a Company Order. Subject to the provisions of </w:t>
      </w:r>
      <w:r>
        <w:rPr>
          <w:rFonts w:ascii="Times New Roman" w:cs="Times New Roman" w:eastAsia="Times New Roman" w:hAnsi="Times New Roman"/>
          <w:sz w:val="18"/>
          <w:szCs w:val="18"/>
          <w:u w:val="single" w:color="auto"/>
          <w:color w:val="auto"/>
        </w:rPr>
        <w:t>Sections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the Trustee shall deliver and redeliver any Global Security in the manner and upon instructions given by the Person or Persons specified therein or in the applicable Company Order. Any instructions by the Company with respect to endorsement or delivery or redelivery of a Global Security shall be in a Company Order (which need not comply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need not be accompanied by an Opinion of Counsel).</w:t>
      </w:r>
    </w:p>
    <w:p>
      <w:pPr>
        <w:spacing w:after="0" w:line="19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the last sentence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shall apply to any Security represented by a Global Security if such Security was never issued and sold by the Company and the Company delivers to the Trustee the Global Security together with a Company Order (which need not comply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need not be accompanied by an Opinion of Counsel) with regard to the reduction in the principal amount of Securities represented thereby, together with the written statement contemplated by the last sentence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Trustee’s Certificate of 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Trustee’s certificates of authentication shall be in substantially the following form: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herein and referred to in the within-mentioned Indenture.</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1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Trustee</w:t>
            </w:r>
          </w:p>
        </w:tc>
        <w:tc>
          <w:tcPr>
            <w:tcW w:w="2680" w:type="dxa"/>
            <w:vAlign w:val="bottom"/>
          </w:tcPr>
          <w:p>
            <w:pPr>
              <w:spacing w:after="0"/>
              <w:rPr>
                <w:sz w:val="20"/>
                <w:szCs w:val="20"/>
                <w:color w:val="auto"/>
              </w:rPr>
            </w:pP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80" w:type="dxa"/>
            <w:vAlign w:val="bottom"/>
          </w:tcPr>
          <w:p>
            <w:pPr>
              <w:spacing w:after="0"/>
              <w:rPr>
                <w:sz w:val="24"/>
                <w:szCs w:val="24"/>
                <w:color w:val="auto"/>
              </w:rPr>
            </w:pPr>
          </w:p>
        </w:tc>
      </w:tr>
      <w:tr>
        <w:trPr>
          <w:trHeight w:val="432"/>
        </w:trPr>
        <w:tc>
          <w:tcPr>
            <w:tcW w:w="17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Authorized Signatory</w:t>
            </w:r>
          </w:p>
        </w:tc>
        <w:tc>
          <w:tcPr>
            <w:tcW w:w="2680" w:type="dxa"/>
            <w:vAlign w:val="bottom"/>
          </w:tcPr>
          <w:p>
            <w:pPr>
              <w:spacing w:after="0"/>
              <w:rPr>
                <w:sz w:val="19"/>
                <w:szCs w:val="19"/>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 THE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w:t>
      </w:r>
    </w:p>
    <w:p>
      <w:pPr>
        <w:spacing w:after="0" w:line="225"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Securities may be issued in one or more series. There shall be established in or pursuant to a Board Resolution and, subject to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to the extent established pursuant to, rather than set forth in, a Board Resolution, in an Officer’s Certificate or Company Order setting forth, or determining the manner of, such establishment, or established in one or more indentures supplemental hereto, prior to the issuance of Securities of any series:</w:t>
      </w:r>
    </w:p>
    <w:p>
      <w:pPr>
        <w:spacing w:after="0" w:line="50" w:lineRule="exact"/>
        <w:rPr>
          <w:sz w:val="20"/>
          <w:szCs w:val="20"/>
          <w:color w:val="auto"/>
        </w:rPr>
      </w:pPr>
    </w:p>
    <w:p>
      <w:pPr>
        <w:ind w:left="680" w:hanging="244"/>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title of the Securities of the series (which shall distinguish the Securities of the series from Securities of any other series);</w:t>
      </w:r>
    </w:p>
    <w:p>
      <w:pPr>
        <w:spacing w:after="0" w:line="117"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 xml:space="preserve"> and except for any Securities which,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are deemed never to have been authenticated and delivered hereunder); provided, however, that the authorized aggregate principal amount of such series may from time to time be increased above such amount by a Board Resolution to such effect;</w:t>
      </w:r>
    </w:p>
    <w:p>
      <w:pPr>
        <w:spacing w:after="0" w:line="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of originally issued Securities, expressed as a percentage of the principal amount, and the original issue date;</w:t>
      </w:r>
    </w:p>
    <w:p>
      <w:pPr>
        <w:spacing w:after="0" w:line="117"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53" w:lineRule="exact"/>
        <w:rPr>
          <w:rFonts w:ascii="Times New Roman" w:cs="Times New Roman" w:eastAsia="Times New Roman" w:hAnsi="Times New Roman"/>
          <w:sz w:val="18"/>
          <w:szCs w:val="18"/>
          <w:color w:val="auto"/>
        </w:rPr>
      </w:pPr>
    </w:p>
    <w:p>
      <w:pPr>
        <w:ind w:right="480" w:firstLine="436"/>
        <w:spacing w:after="0" w:line="282"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Securities will be issued and on which principal of, and premium, if any, on, any Securities of the series is payable or the method of determination thereof;</w:t>
      </w:r>
    </w:p>
    <w:p>
      <w:pPr>
        <w:spacing w:after="0" w:line="53" w:lineRule="exact"/>
        <w:rPr>
          <w:rFonts w:ascii="Times New Roman" w:cs="Times New Roman" w:eastAsia="Times New Roman" w:hAnsi="Times New Roman"/>
          <w:sz w:val="18"/>
          <w:szCs w:val="18"/>
          <w:color w:val="auto"/>
        </w:rPr>
      </w:pPr>
    </w:p>
    <w:p>
      <w:pPr>
        <w:ind w:right="80" w:firstLine="436"/>
        <w:spacing w:after="0" w:line="258" w:lineRule="auto"/>
        <w:tabs>
          <w:tab w:leader="none" w:pos="6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combination thereof) at which any Securities of the series shall bear interest, if any, or the method of determination thereof, the date or dates from which any such interest shall accrue, or the method of determination thereof, the Interest Payment Dates on which any such interest shall be payable and the Regular Record Date for any such interest payable on any Interest Payment Date, or the method by which such date or dates shall be determined, and the basis upon which interest shall be calculated if other than that of a 360-day year of twelve 30-day months, the right, if any, to extend or defer interest payments and the duration of such extension or deferral;</w:t>
      </w:r>
    </w:p>
    <w:p>
      <w:pPr>
        <w:spacing w:after="0" w:line="7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place or places where, subject to the provisions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the principal of and any premium and interest on any Securities of the series shall be payable, Securities of the series may be surrendered for registration or transfer, Securities of the series may be surrendered for exchange, and notices and demands to or upon the Company in respect of the Securities of the series and this Indenture may be served;</w:t>
      </w:r>
    </w:p>
    <w:p>
      <w:pPr>
        <w:spacing w:after="0" w:line="67"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67" w:lineRule="exact"/>
        <w:rPr>
          <w:rFonts w:ascii="Times New Roman" w:cs="Times New Roman" w:eastAsia="Times New Roman" w:hAnsi="Times New Roman"/>
          <w:sz w:val="18"/>
          <w:szCs w:val="18"/>
          <w:color w:val="auto"/>
        </w:rPr>
      </w:pPr>
    </w:p>
    <w:p>
      <w:pPr>
        <w:ind w:right="120" w:firstLine="436"/>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and the option, if any, of the Company to redeem, purchase or repay any Securities of the series pursuant to any sinking fund, amortization or analogous provisions or upon the happening of a specified event or at the option of the Holder thereof and the period or periods within which, the price or prices at which and the terms and conditions upon which any Securities of the series shall be redeemed, purchased or repaid, in whole or in part, pursuant to such obligation or option;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58" w:name="page59"/>
    <w:bookmarkEnd w:id="58"/>
    <w:p>
      <w:pPr>
        <w:ind w:left="-20" w:right="380" w:firstLine="436"/>
        <w:spacing w:after="0" w:line="282"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other than a minimum denomination equal to $2,000 or an integral multiple of $1,000 in excess thereof, the denominations in which any Securities of the series shall be issuable;</w:t>
      </w:r>
    </w:p>
    <w:p>
      <w:pPr>
        <w:spacing w:after="0" w:line="53" w:lineRule="exact"/>
        <w:rPr>
          <w:rFonts w:ascii="Times New Roman" w:cs="Times New Roman" w:eastAsia="Times New Roman" w:hAnsi="Times New Roman"/>
          <w:sz w:val="18"/>
          <w:szCs w:val="18"/>
          <w:color w:val="auto"/>
        </w:rPr>
      </w:pPr>
    </w:p>
    <w:p>
      <w:pPr>
        <w:ind w:left="-20" w:right="640" w:firstLine="436"/>
        <w:spacing w:after="0" w:line="282"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issued in registered or bearer form or both and, if in bearer form, the related terms and conditions and any limitations on issuance of such bearer debt Securities (including exchange for registered debt Securities of the same series);</w:t>
      </w:r>
    </w:p>
    <w:p>
      <w:pPr>
        <w:spacing w:after="0" w:line="53"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any premium or interest on any Securities of the series may be determined with reference to an index including an index based on a currency or currencies other than in which the Securities of that series are payable or pursuant to a formula, the manner in which such amounts shall be determined;</w:t>
      </w:r>
    </w:p>
    <w:p>
      <w:pPr>
        <w:spacing w:after="0" w:line="67" w:lineRule="exact"/>
        <w:rPr>
          <w:rFonts w:ascii="Times New Roman" w:cs="Times New Roman" w:eastAsia="Times New Roman" w:hAnsi="Times New Roman"/>
          <w:sz w:val="18"/>
          <w:szCs w:val="18"/>
          <w:color w:val="auto"/>
        </w:rPr>
      </w:pPr>
    </w:p>
    <w:p>
      <w:pPr>
        <w:ind w:left="-20" w:right="40" w:firstLine="436"/>
        <w:spacing w:after="0" w:line="289" w:lineRule="auto"/>
        <w:tabs>
          <w:tab w:leader="none" w:pos="72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other than the currency of the United States of America, the currency, currencies or currency units in which the principal of or any premium or interest on any Securities of the series shall be denominated, payable, redeemable or purchasable and the manner of determining the equivalent thereof in the currency of the United States of America for any purpose, including for purposes of the definition of “Outstanding”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20" w:right="140" w:firstLine="436"/>
        <w:spacing w:after="0" w:line="258"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Securities of the series is to be payable, redeemable or purchasable, at the election of the Company or the Holder thereof, in one or more currencies or currency units other than that or those in which such Securities are stated to be payable, redeemable, or purchasable, the currency, currencies or currency units in which the principal of or any premium or interest on such Securities as to which such election is made shall be payable, redeemable or purchasable, the periods within which and the terms and conditions upon which such election is to be made and the amount so payable, redeemable or purchasable (or the manner in which such amount shall be determined);</w:t>
      </w:r>
    </w:p>
    <w:p>
      <w:pPr>
        <w:spacing w:after="0" w:line="75"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the entire principal amount thereof, the portion of the principal amount of any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provable in bankruptcy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or the method of determination thereof;</w:t>
      </w:r>
    </w:p>
    <w:p>
      <w:pPr>
        <w:spacing w:after="0" w:line="67"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75" w:lineRule="exact"/>
        <w:rPr>
          <w:rFonts w:ascii="Times New Roman" w:cs="Times New Roman" w:eastAsia="Times New Roman" w:hAnsi="Times New Roman"/>
          <w:sz w:val="18"/>
          <w:szCs w:val="18"/>
          <w:color w:val="auto"/>
        </w:rPr>
      </w:pPr>
    </w:p>
    <w:p>
      <w:pPr>
        <w:jc w:val="both"/>
        <w:ind w:left="-20" w:right="140" w:firstLine="436"/>
        <w:spacing w:after="0" w:line="261"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applicable, that the Securities of the series, in whole or any specified part, shall be defeasible pursuant to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or both such Sections or if other than as provided in </w:t>
      </w:r>
      <w:r>
        <w:rPr>
          <w:rFonts w:ascii="Times New Roman" w:cs="Times New Roman" w:eastAsia="Times New Roman" w:hAnsi="Times New Roman"/>
          <w:sz w:val="18"/>
          <w:szCs w:val="18"/>
          <w:u w:val="single" w:color="auto"/>
          <w:color w:val="auto"/>
        </w:rPr>
        <w:t>Sections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the terms and conditions upon which and the manner in which such series of Securities may be defeased or discharged, and, if other than by a Board Resolution, the manner in which any election by the Company to defease or discharge such Securities shall be evidenced;</w:t>
      </w:r>
    </w:p>
    <w:p>
      <w:pPr>
        <w:spacing w:after="0" w:line="71" w:lineRule="exact"/>
        <w:rPr>
          <w:rFonts w:ascii="Times New Roman" w:cs="Times New Roman" w:eastAsia="Times New Roman" w:hAnsi="Times New Roman"/>
          <w:sz w:val="18"/>
          <w:szCs w:val="18"/>
          <w:color w:val="auto"/>
        </w:rPr>
      </w:pPr>
    </w:p>
    <w:p>
      <w:pPr>
        <w:ind w:left="-20" w:right="120" w:firstLine="436"/>
        <w:spacing w:after="0" w:line="256" w:lineRule="auto"/>
        <w:tabs>
          <w:tab w:leader="none" w:pos="6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information with respect to book-entry procedures, and any circumstances in addition to or in lieu of those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79"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Security is issued as an original issue discount debt Security, and if so, the yield to maturity;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59" w:name="page60"/>
    <w:bookmarkEnd w:id="59"/>
    <w:p>
      <w:pPr>
        <w:ind w:right="20" w:firstLine="436"/>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deletion from, addition to or change in the Events of Default that apply to Securities of the series and any change in the right of the Trustee or the requisite Holders of such Securities to declare the principal amount thereof due and payable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 to or change in the covenants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that apply to Securities of the series or in any defined term used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the Company to defer payments of interest by extending the interest payment periods and specify the duration of such extension, the Interest Payment Dates on which such interest shall be payable and whether and under what circumstances additional interest on amounts deferred shall be payable;</w:t>
      </w:r>
    </w:p>
    <w:p>
      <w:pPr>
        <w:spacing w:after="0" w:line="6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any other trustee, the Security Registrar and any Paying Agent;</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as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provisions relating to the satisfaction and discharge of this Indenture;</w:t>
      </w:r>
    </w:p>
    <w:p>
      <w:pPr>
        <w:spacing w:after="0" w:line="117"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will be guaranteed by any Person or Persons and, if so, the identity of such Person or Persons, the terms and conditions upon which such Securities shall be guaranteed and, if applicable, the terms and conditions upon which such guarantees may be subordinated to other indebtedness of the respective guarantors;</w:t>
      </w:r>
    </w:p>
    <w:p>
      <w:pPr>
        <w:spacing w:after="0" w:line="67" w:lineRule="exact"/>
        <w:rPr>
          <w:rFonts w:ascii="Times New Roman" w:cs="Times New Roman" w:eastAsia="Times New Roman" w:hAnsi="Times New Roman"/>
          <w:sz w:val="18"/>
          <w:szCs w:val="18"/>
          <w:color w:val="auto"/>
        </w:rPr>
      </w:pPr>
    </w:p>
    <w:p>
      <w:pPr>
        <w:ind w:right="220" w:firstLine="436"/>
        <w:spacing w:after="0" w:line="312" w:lineRule="auto"/>
        <w:tabs>
          <w:tab w:leader="none" w:pos="68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w:t>
      </w:r>
    </w:p>
    <w:p>
      <w:pPr>
        <w:spacing w:after="0" w:line="32" w:lineRule="exact"/>
        <w:rPr>
          <w:sz w:val="20"/>
          <w:szCs w:val="20"/>
          <w:color w:val="auto"/>
        </w:rPr>
      </w:pPr>
    </w:p>
    <w:p>
      <w:pPr>
        <w:ind w:right="40" w:firstLine="436"/>
        <w:spacing w:after="0" w:line="282" w:lineRule="auto"/>
        <w:tabs>
          <w:tab w:leader="none" w:pos="7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issued in a transaction exempt from registration under the Securities Act and any restriction or condition on the transferability of the Securities of such series;</w:t>
      </w:r>
    </w:p>
    <w:p>
      <w:pPr>
        <w:spacing w:after="0" w:line="53"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if any, on which the Securities may be listed;</w:t>
      </w:r>
    </w:p>
    <w:p>
      <w:pPr>
        <w:spacing w:after="0" w:line="117" w:lineRule="exact"/>
        <w:rPr>
          <w:rFonts w:ascii="Times New Roman" w:cs="Times New Roman" w:eastAsia="Times New Roman" w:hAnsi="Times New Roman"/>
          <w:sz w:val="18"/>
          <w:szCs w:val="18"/>
          <w:color w:val="auto"/>
        </w:rPr>
      </w:pPr>
    </w:p>
    <w:p>
      <w:pPr>
        <w:ind w:right="280" w:firstLine="436"/>
        <w:spacing w:after="0" w:line="266" w:lineRule="auto"/>
        <w:tabs>
          <w:tab w:leader="none" w:pos="7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 and</w:t>
      </w:r>
    </w:p>
    <w:p>
      <w:pPr>
        <w:spacing w:after="0" w:line="6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terms shall not be prohibited by the provisions of this Indenture).</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Securities of any one series shall be substantially identical except as to denomination and except as may otherwise be provided in or pursuant to the Board Resolution referred to above and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set forth, or determined in the manner provided, in the Officer’s Certificate referred to above or in any such indenture supplemental hereto. Accordingly, the terms of any Security of a series may differ from the terms of other Securities of the same series, if and to the extent provided pursuant to this Section. The matters referenced in any or all of Clauses (a) through (dd) above may be established and set forth or determined as aforesaid with respect to all or any specific Securities of a series (in each case to the extent permitted by the Trust Indenture Act).</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such Board Resolution or Officer’s Certificate referred to above with respect to Securities of any series filed with the Trustee on or before the initial issuance of the Securities of such series shall be incorporated herein by reference with respect to Securities of such series and shall thereafter be deemed to be a part of this Indenture for all purposes relating to Securities of such series as fully as if such Board Resolution or Officer’s Certificate were set forth herein in full.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60" w:name="page61"/>
    <w:bookmarkEnd w:id="60"/>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p>
    <w:p>
      <w:pPr>
        <w:spacing w:after="0" w:line="117"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Securities of each series shall be issuable only in registered form without coupons and only in such denominations as shall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In the absence of any such specified denomination with respect to the Securities of any series, the Securities of such series shall be issuable in a denomination equal to $2,000 or an integral multiple of $1,000 in excess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its Chairman of the Board, Chief Executive Officer, Chief Financial Officer, or Corporate Secretary (or any other officer of the Company designated in writing by or pursuant to authority of the Board of Directors and delivered to the Trustee from time to time). The signature of any of these officers on the Securities may be manual, electronic or facsimile.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w:t>
      </w:r>
      <w:r>
        <w:rPr>
          <w:rFonts w:ascii="Times New Roman" w:cs="Times New Roman" w:eastAsia="Times New Roman" w:hAnsi="Times New Roman"/>
          <w:sz w:val="18"/>
          <w:szCs w:val="18"/>
          <w:u w:val="single" w:color="auto"/>
          <w:color w:val="auto"/>
        </w:rPr>
        <w:t>Sections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in authenticating such Securities, and accepting the additional responsibilities under this Indenture in relation to such Securities, the Trustee shall be entitled to receive, and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shall be fully protected in relying upon, an Opinion of Counsel stating:</w:t>
      </w:r>
    </w:p>
    <w:p>
      <w:pPr>
        <w:spacing w:after="0" w:line="79" w:lineRule="exact"/>
        <w:rPr>
          <w:sz w:val="20"/>
          <w:szCs w:val="20"/>
          <w:color w:val="auto"/>
        </w:rPr>
      </w:pPr>
    </w:p>
    <w:p>
      <w:pPr>
        <w:ind w:right="120" w:firstLine="436"/>
        <w:spacing w:after="0" w:line="282"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form of such Securities has been established by or pursuant to a Board Resolution as permitted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that such form has been established in conformity with the provisions of this Indenture;</w:t>
      </w:r>
    </w:p>
    <w:p>
      <w:pPr>
        <w:spacing w:after="0" w:line="53"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such Securities have been established by or pursuant to a Board Resolution as permitted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that such terms have been established in conformity with the provisions of this Indenture; and</w:t>
      </w:r>
    </w:p>
    <w:p>
      <w:pPr>
        <w:spacing w:after="0" w:line="53"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authenticated by the Trustee and issued and delivered by the Company in the manner and subject to any conditions specified in such Opinion of Counsel, will constitute valid and legally binding obligations of the Company, enforceable against the Company in accordance with their terms, subject to bankruptcy, insolvency, fraudulent transfer, reorganization, moratorium and similar laws of general applicability relating to or affecting creditors’ rights and to general equity principles or other customary exceptions.</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if the issue of such Securities pursuant to this Indenture in accordance with a Board Resolution will materially adversely affect the Trustee’s own rights, duties or immunities under the Securities and this Indenture or otherwise in a manner which is not reasonably acceptable to the Trustee.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1" w:name="page62"/>
    <w:bookmarkEnd w:id="6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provisions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of the preceding paragraph, if all Securities of a series are not to be originally issued at one time, it shall not be necessary, unless the Trustee reasonably determines otherwise, for the Company to deliver a Board Resolution, Officer’s Certificate or supplemental indenture otherwise required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the Company Order and Opinion of Counsel otherwise required pursuant to the third paragraph of this Section at or prior to the authentication of each Security of such series if such documents are delivered at or prior to the authentication upon original issuance of the first Security of such series to be issued.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and Exchange.</w:t>
      </w:r>
    </w:p>
    <w:p>
      <w:pPr>
        <w:spacing w:after="0" w:line="11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The Company shall cause to be kept at the Corporate Trust Office or other designated office of the Trustee a register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entitled to registration or transfer as provided herein. The Trustee is hereby appointed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 The Company may at any time replace such Security Registrar, change such office or agency or act as its own Security Registrar. The Company will give prompt written notice to the Trustee of any change of the Security Registrar or of the location of such office or agency. At all reasonable times the Security Register shall be available for inspection by the Trustee.</w:t>
      </w:r>
    </w:p>
    <w:p>
      <w:pPr>
        <w:spacing w:after="0" w:line="18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76"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(except a Global Security)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2" w:name="page63"/>
    <w:bookmarkEnd w:id="62"/>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 xml:space="preserve"> not involving any transfer.</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the Securities of any series (or of any series and specified tenor) are to be redeemed in part, neither the Company nor the Trustee shall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ending at the close of business on the day of such mailing, or (B) to register the transfer of or exchange any Security so selected for redemption in whole or in part, except the unredeemed portion of any Security being redeemed in 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Clauses (a), (b), (c) and (d) below shall apply only to Global Securities:</w:t>
      </w:r>
    </w:p>
    <w:p>
      <w:pPr>
        <w:spacing w:after="0" w:line="117" w:lineRule="exact"/>
        <w:rPr>
          <w:sz w:val="20"/>
          <w:szCs w:val="20"/>
          <w:color w:val="auto"/>
        </w:rPr>
      </w:pPr>
    </w:p>
    <w:p>
      <w:pPr>
        <w:ind w:firstLine="436"/>
        <w:spacing w:after="0" w:line="266"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67" w:lineRule="exact"/>
        <w:rPr>
          <w:rFonts w:ascii="Times New Roman" w:cs="Times New Roman" w:eastAsia="Times New Roman" w:hAnsi="Times New Roman"/>
          <w:sz w:val="18"/>
          <w:szCs w:val="18"/>
          <w:color w:val="auto"/>
        </w:rPr>
      </w:pPr>
    </w:p>
    <w:p>
      <w:pPr>
        <w:ind w:right="80" w:firstLine="436"/>
        <w:spacing w:after="0" w:line="25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in this Indenture, and subject to such applicable provisions, if any,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no Global Security may be exchanged in whole or in part for Securities registered, and no transfer of a Global Security in whole or in part may be registered, in the name of any Person other than the Depositary for such Global Security or a nominee thereof unless (1) such Depositary has notified the Company that it is unwilling or unable to continue as Depositary for such Global Security or has ceased to be a clearing agency registered under the Exchange Act, and a successor Depositary is not appointed by the Company within 90 days after the Company’s receipt of such notice, (2) there shall have occurred and be continuing an Event of Default with respect to such Global Security and the Security Registrar has received a request from the Depositary to issue certificated securities in lieu of the Global Security, (3) the Company shall determine in its sole discretion that Securities of a series issued in global form shall no longer be represented by a Global Security, or (4) there shall exist such circumstances, if any, in addition to or in lieu of the foregoing as have been specified for this purpose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then in any such case, such Global Security may be exchanged by such Depositary for definitive Securities of the same series, of any authorized denomination and of a like aggregate principal amount and tenor, registered in the names of, and the transfer of such Global Security or portion thereof may be registered to, such Persons as such Depositary shall direct. If the Company designates a successor Depositary pursuant to Clause (1) above,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(a), (b), (c) and (d) of this Section shall continue to apply thereto.</w:t>
      </w:r>
    </w:p>
    <w:p>
      <w:pPr>
        <w:spacing w:after="0" w:line="87"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(b) above and to such applicable provisions, if any,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63" w:name="page64"/>
    <w:bookmarkEnd w:id="63"/>
    <w:p>
      <w:pPr>
        <w:ind w:left="4" w:firstLine="436"/>
        <w:spacing w:after="0" w:line="289" w:lineRule="auto"/>
        <w:tabs>
          <w:tab w:leader="none" w:pos="69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Every Security authenticated and delivered upon registration of transfer of, or in exchange for or in lieu of, a Global Security or any portion thereof, whether pursuant to this Section,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9.06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11.07</w:t>
      </w:r>
      <w:r>
        <w:rPr>
          <w:rFonts w:ascii="Times New Roman" w:cs="Times New Roman" w:eastAsia="Times New Roman" w:hAnsi="Times New Roman"/>
          <w:sz w:val="17"/>
          <w:szCs w:val="17"/>
          <w:color w:val="auto"/>
        </w:rPr>
        <w:t xml:space="preserve"> or otherwise, shall be authenticated and delivered in the form of, and shall be, a Global Security, unless such Security is registered in the name of a Person other than the Depositary for such Global Security or a nominee thereof.</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any mutilated Security is surrendered to the Trustee, together with such security or indemnity as may be required by the Company or the Trustee to save each of them and any agent of either of them harmless, the Company shall execute and the Trustee shall authenticate and deliver in exchange therefor a new Security of the same series and of like tenor and principal amount and bearing a number not contemporaneously outstanding and shall cancel and dispose of such mutilated security in accordance with its customary procedures.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w:t>
      </w:r>
    </w:p>
    <w:p>
      <w:pPr>
        <w:spacing w:after="0" w:line="27" w:lineRule="exact"/>
        <w:rPr>
          <w:sz w:val="20"/>
          <w:szCs w:val="20"/>
          <w:color w:val="auto"/>
        </w:rPr>
      </w:pPr>
    </w:p>
    <w:p>
      <w:pPr>
        <w:ind w:left="4" w:hanging="4"/>
        <w:spacing w:after="0" w:line="251"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mutilated, destroyed, lost or stolen Security, a new Security of the same series and of like tenor and principal amount and bearing a number not contemporaneously Outstanding. If, after the delivery of such new Security, a bona fide purchaser of the original Security in lieu of which such new Security was issued presents for payment or registration such original Security, the Trustee shall be entitled to recover such new Security from the party to whom it was delivered or any party taking therefrom, except a bona fide purchaser, and shall be entitled to recover upon the security or indemnity provided therefor to the extent of any loss, damage, cost or expense incurred by the Company and the Trustee in connection therewith.</w:t>
      </w:r>
    </w:p>
    <w:p>
      <w:pPr>
        <w:spacing w:after="0" w:line="194"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the Company may require the payment of a sum sufficient to cover any tax or other governmental charge that may be imposed in relation thereto and any other expenses (including the fees and expenses of counsel to the Company and the fees and expenses of the Trustee and its counsel) connected therewith.</w:t>
      </w:r>
    </w:p>
    <w:p>
      <w:pPr>
        <w:spacing w:after="0" w:line="176" w:lineRule="exact"/>
        <w:rPr>
          <w:sz w:val="20"/>
          <w:szCs w:val="20"/>
          <w:color w:val="auto"/>
        </w:rPr>
      </w:pPr>
    </w:p>
    <w:p>
      <w:pPr>
        <w:ind w:left="4" w:right="400" w:firstLine="440"/>
        <w:spacing w:after="0" w:line="261"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mutilated, destroyed, lost or stolen Security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of that series duly issued hereunder.</w:t>
      </w:r>
    </w:p>
    <w:p>
      <w:pPr>
        <w:spacing w:after="0" w:line="18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w:t>
      </w:r>
    </w:p>
    <w:p>
      <w:pPr>
        <w:spacing w:after="0" w:line="117"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Except as otherwise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7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Any interest on any Security of any series which is payable, but is not punctually paid or duly provided for, on any Interest Payment Date (herein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shall forthwith cease to be payable to the Holder on the relevant Regular Record Date by virtue of having been such Holder, and such Defaulted Interest may be paid by the Company, at its election in each case, as provided in Clause (a) or (b) below: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64" w:name="page65"/>
    <w:bookmarkEnd w:id="64"/>
    <w:p>
      <w:pPr>
        <w:ind w:right="20" w:firstLine="436"/>
        <w:spacing w:after="0" w:line="252"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in consultation with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(b).</w:t>
      </w:r>
    </w:p>
    <w:p>
      <w:pPr>
        <w:spacing w:after="0" w:line="8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foregoing provisions of this Section and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For each series of Securities, the Company shall, prior to Noon, New York City time, on each payment date for principal and premium, if any, and interest, if any, deposit with the Trustee money in immediately available funds sufficient to make cash payments due on the applicable payment date.</w:t>
      </w:r>
    </w:p>
    <w:p>
      <w:pPr>
        <w:spacing w:after="0" w:line="14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Notwithstanding the foregoing, the terms of any Security that may be converted may provide that the provisions of this paragraph do not apply, or apply with such additions, changes or omissions as may be provided thereby, to such Security.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any interest on such Security and for all other purposes whatsoever, whether or not such Security be overdue, and neither the Company, the Trustee nor any agent of the Company or the Trustee shall be affected by notice to the contrary.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65" w:name="page66"/>
    <w:bookmarkEnd w:id="65"/>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p>
    <w:p>
      <w:pPr>
        <w:spacing w:after="0" w:line="117"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All Securities surrendered for payment, redemption, registration of transfer or exchange or conversion or for credit against any sinking fund payment shall, if surrendered to any Person other than the Trustee, be delivered to the Trustee and, if not already cancelled,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its customary procedures as directed by a Company Order, and the Trustee shall thereafter deliver to the Company a certificate with respect to such disposition.</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p>
    <w:p>
      <w:pPr>
        <w:spacing w:after="0" w:line="117"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interest on the Securities of each series shall be computed on the basis of a 360-day year of twelve 30-day months.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p>
    <w:p>
      <w:pPr>
        <w:spacing w:after="0" w:line="117"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in issuing the Securities may use “CUSIP” or “ISIN” numbers (in addition to the other identification numbers printed on the Securities), if then in use, and, if so, the Trustee shall use such “CUSIP” or “ISIN” numbers in notices of redemption as a convenience to Holders; provided, however, that any such notice may state that no representation is made as to the correctness of such “CUSIP” or “ISIN” numbers either as printed on the Securities or as contained in any notice of a redemption and that reliance may be placed only on the other identification numbers printed on the Securities, and any such redemption shall not be affected by any defect in or omission of such “CUSIP” or “ISIN” numbers. The Company will promptly notify the Trustee of any change in the “CUSIP” or “ISIN” numbers.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Original Issue Discount.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any of the Securities is an Original Issue Discount Security, the Company shall file with the Trustee promptly at the end of each calendar year</w:t>
      </w:r>
    </w:p>
    <w:p>
      <w:pPr>
        <w:spacing w:after="0" w:line="27" w:lineRule="exact"/>
        <w:rPr>
          <w:sz w:val="20"/>
          <w:szCs w:val="20"/>
          <w:color w:val="auto"/>
        </w:rPr>
      </w:pPr>
    </w:p>
    <w:p>
      <w:pPr>
        <w:ind w:left="4" w:right="280" w:hanging="4"/>
        <w:spacing w:after="0" w:line="255"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specifying the amount of original issue discount (including daily rates and accrual periods) accrued on such Outstanding Original Issue Discount Securities as of the end of such year and (2) such other specific information relating to such original issue discount as may then be relevant under the Internal Revenue Code.</w:t>
      </w:r>
    </w:p>
    <w:p>
      <w:pPr>
        <w:spacing w:after="0" w:line="398" w:lineRule="exact"/>
        <w:rPr>
          <w:sz w:val="20"/>
          <w:szCs w:val="20"/>
          <w:color w:val="auto"/>
        </w:rPr>
      </w:pPr>
    </w:p>
    <w:p>
      <w:pPr>
        <w:ind w:left="3504"/>
        <w:spacing w:after="0"/>
        <w:rPr>
          <w:sz w:val="20"/>
          <w:szCs w:val="20"/>
          <w:color w:val="auto"/>
        </w:rPr>
      </w:pPr>
      <w:r>
        <w:rPr>
          <w:rFonts w:ascii="Times New Roman" w:cs="Times New Roman" w:eastAsia="Times New Roman" w:hAnsi="Times New Roman"/>
          <w:sz w:val="18"/>
          <w:szCs w:val="18"/>
          <w:b w:val="1"/>
          <w:bCs w:val="1"/>
          <w:color w:val="auto"/>
        </w:rPr>
        <w:t>ARTICLE IV. SATISFACTION AND DISCHARGE</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p>
    <w:p>
      <w:pPr>
        <w:spacing w:after="0" w:line="11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Securities of any series (except as to any surviving rights of registration of transfer or exchange of Securities herein expressly provided for), and the Trustee, at the expense of the Company, shall execute proper instruments acknowledging satisfaction and discharge of this Indenture with respect to such Securities, when:</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either: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66" w:name="page67"/>
    <w:bookmarkEnd w:id="66"/>
    <w:p>
      <w:pPr>
        <w:ind w:right="140" w:firstLine="987"/>
        <w:spacing w:after="0" w:line="261" w:lineRule="auto"/>
        <w:tabs>
          <w:tab w:leader="none" w:pos="12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such Securities theretofore authenticated and delivered (other than (i) such Securities which have been mutilated, destroyed, lost or stolen and which have been replaced or paid as provided in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and (ii) such Securities for whose payment money has theretofore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have been delivered to the Trustee cancelled or for cancellation; or</w:t>
      </w:r>
    </w:p>
    <w:p>
      <w:pPr>
        <w:spacing w:after="0" w:line="7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as cancelled or for cancellation:</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440" w:right="700" w:firstLine="948"/>
        <w:spacing w:after="0" w:line="282" w:lineRule="auto"/>
        <w:tabs>
          <w:tab w:leader="none" w:pos="164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54" w:lineRule="exact"/>
        <w:rPr>
          <w:sz w:val="20"/>
          <w:szCs w:val="20"/>
          <w:color w:val="auto"/>
        </w:rPr>
      </w:pPr>
    </w:p>
    <w:p>
      <w:pPr>
        <w:ind w:left="440" w:right="240"/>
        <w:spacing w:after="0" w:line="258" w:lineRule="auto"/>
        <w:rPr>
          <w:sz w:val="20"/>
          <w:szCs w:val="20"/>
          <w:color w:val="auto"/>
        </w:rPr>
      </w:pPr>
      <w:r>
        <w:rPr>
          <w:rFonts w:ascii="Times New Roman" w:cs="Times New Roman" w:eastAsia="Times New Roman" w:hAnsi="Times New Roman"/>
          <w:sz w:val="18"/>
          <w:szCs w:val="18"/>
          <w:color w:val="auto"/>
        </w:rPr>
        <w:t>and the Company in the case of (1), (2) or (3) above, has deposited or caused to be deposited with the Trustee, as trust funds in trust for such purpose, an amount of money in the currency or currency units in which such Securities are payable sufficient to pay and discharge the entire indebtedness on such Securities not theretofore delivered to the Trustee as cancelled or for cancellation, for principal and any premium and interest to the date of such deposit (in the case of such Securities which have become due and payable) or to the Stated Maturity or Redemption Date, as the case may be;</w:t>
      </w:r>
    </w:p>
    <w:p>
      <w:pPr>
        <w:spacing w:after="0" w:line="75" w:lineRule="exact"/>
        <w:rPr>
          <w:sz w:val="20"/>
          <w:szCs w:val="20"/>
          <w:color w:val="auto"/>
        </w:rPr>
      </w:pPr>
    </w:p>
    <w:p>
      <w:pPr>
        <w:ind w:firstLine="436"/>
        <w:spacing w:after="0" w:line="282"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or otherwise made provision for the payment of, all other sums payable hereunder by the Company with respect to such Securities; and</w:t>
      </w:r>
    </w:p>
    <w:p>
      <w:pPr>
        <w:spacing w:after="0" w:line="53"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with respect to Securities of any series, the obligations of the Company to the Trustee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the obligations of the Trustee to any Authenticating Agent under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and the right of the Trustee to resign under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survive, and, if money shall have been deposited with the Trustee pursuant to subclause (2) of Clause (a) of this Section, the obligations of the Trustee under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survive such satisfaction and discharge.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67" w:name="page68"/>
    <w:bookmarkEnd w:id="6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Application of Trust Money.</w:t>
      </w:r>
    </w:p>
    <w:p>
      <w:pPr>
        <w:spacing w:after="0" w:line="117" w:lineRule="exact"/>
        <w:rPr>
          <w:sz w:val="20"/>
          <w:szCs w:val="20"/>
          <w:color w:val="auto"/>
        </w:rPr>
      </w:pPr>
    </w:p>
    <w:p>
      <w:pPr>
        <w:ind w:left="4" w:right="2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all money deposited with the Trustee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All money deposited with the Trustee pursuant to</w:t>
      </w:r>
    </w:p>
    <w:p>
      <w:pPr>
        <w:spacing w:after="0" w:line="3" w:lineRule="exact"/>
        <w:rPr>
          <w:sz w:val="20"/>
          <w:szCs w:val="20"/>
          <w:color w:val="auto"/>
        </w:rPr>
      </w:pPr>
    </w:p>
    <w:p>
      <w:pPr>
        <w:ind w:left="4" w:right="60"/>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(and held by it or any Paying Agent) for the payment of such Securities subsequently converted into other property shall be returned to the Company upon Company Request. The Company may direct by a Company Order the investment of any money deposited with the Trustee pursuant to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without distinction between principal and income, in (1) United States Treasury Securities with a maturity of one year or less or (2) a money market fund that invests solely in short term United States Treasury Securities (including money market funds for which the Trustee or an affiliate of the Trustee serves as investment advisor, administrator, shareholder, servicing agent and/or custodian or sub-custodian, notwithstanding that</w:t>
      </w:r>
    </w:p>
    <w:p>
      <w:pPr>
        <w:spacing w:after="0" w:line="1" w:lineRule="exact"/>
        <w:rPr>
          <w:sz w:val="20"/>
          <w:szCs w:val="20"/>
          <w:color w:val="auto"/>
        </w:rPr>
      </w:pPr>
    </w:p>
    <w:p>
      <w:pPr>
        <w:jc w:val="both"/>
        <w:ind w:left="4" w:right="80" w:hanging="4"/>
        <w:spacing w:after="0" w:line="255"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charges and collects fees and expenses from such funds for services rendered and (b) the Trustee charges and collects fees and expenses for services rendered pursuant to this Indenture at any time), and from time to time the Company may direct the reinvestment of all or a portion of such money in other securities or funds meeting the criteria specified in Clause (1) or (2) of this Section.</w:t>
      </w:r>
    </w:p>
    <w:p>
      <w:pPr>
        <w:spacing w:after="0" w:line="39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 REMEDIES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p>
    <w:p>
      <w:pPr>
        <w:spacing w:after="0" w:line="113"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Except as may otherwise be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wherever used herein or in a Security issued hereunder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2" w:lineRule="exact"/>
        <w:rPr>
          <w:sz w:val="20"/>
          <w:szCs w:val="20"/>
          <w:color w:val="auto"/>
        </w:rPr>
      </w:pPr>
    </w:p>
    <w:p>
      <w:pPr>
        <w:ind w:left="4" w:right="40" w:firstLine="436"/>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Security of that series when it becomes due and payable, and continuance of such default for a period of 30 days;</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Security of that series at its Maturity;</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Security of that series;</w:t>
      </w:r>
    </w:p>
    <w:p>
      <w:pPr>
        <w:spacing w:after="0" w:line="117" w:lineRule="exact"/>
        <w:rPr>
          <w:rFonts w:ascii="Times New Roman" w:cs="Times New Roman" w:eastAsia="Times New Roman" w:hAnsi="Times New Roman"/>
          <w:sz w:val="18"/>
          <w:szCs w:val="18"/>
          <w:color w:val="auto"/>
        </w:rPr>
      </w:pPr>
    </w:p>
    <w:p>
      <w:pPr>
        <w:ind w:left="4" w:right="40" w:firstLine="436"/>
        <w:spacing w:after="0" w:line="277" w:lineRule="auto"/>
        <w:tabs>
          <w:tab w:leader="none" w:pos="69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covenant of the Company in this Indenture (other than a default in the performance or the breach of a covenant which is specifically dealt with elsewhere in this Section or which has expressly been included in this Indenture solely for the benefit of series of Securities other than that series), and continuance of such default or breach for a period of 90 days after there has been given to the Company by the Trustee or to the Company and the Trustee by the Holders of at least 25% in aggregate principal amount of the Outstanding Securities of that series a written notice specifying such default or breach and requiring it to be remedied and stating that such notice is a “Notice of Default” hereunder;</w:t>
      </w:r>
    </w:p>
    <w:p>
      <w:pPr>
        <w:spacing w:after="0" w:line="59" w:lineRule="exact"/>
        <w:rPr>
          <w:rFonts w:ascii="Times New Roman" w:cs="Times New Roman" w:eastAsia="Times New Roman" w:hAnsi="Times New Roman"/>
          <w:sz w:val="17"/>
          <w:szCs w:val="17"/>
          <w:color w:val="auto"/>
        </w:rPr>
      </w:pPr>
    </w:p>
    <w:p>
      <w:pPr>
        <w:ind w:left="4" w:right="40" w:firstLine="436"/>
        <w:spacing w:after="0" w:line="256"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(1) a decree or order for relief in respect of the Company in an involuntary case or proceeding under any applicable Federal or State bankruptcy, insolvency, reorganization or other similar law or (2)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70" w:right="499" w:bottom="1440" w:gutter="0" w:footer="0" w:header="0"/>
        </w:sectPr>
      </w:pPr>
    </w:p>
    <w:bookmarkStart w:id="68" w:name="page69"/>
    <w:bookmarkEnd w:id="68"/>
    <w:p>
      <w:pPr>
        <w:ind w:firstLine="436"/>
        <w:spacing w:after="0" w:line="254" w:lineRule="auto"/>
        <w:tabs>
          <w:tab w:leader="none" w:pos="6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arrangement, adjustment or composition of or in respect of the Company under any applicable Federal or State law, or the consent by it to the filing of such petition or to the appointment of or taking possession by a custodian, receiver, liquidator, assignee, trustee, sequestrator or other similar official of the Company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Event of Default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Securities of that series.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p>
    <w:p>
      <w:pPr>
        <w:spacing w:after="0" w:line="11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an Event of Default (other than an Event of Default specified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5.01(f)</w:t>
      </w:r>
      <w:r>
        <w:rPr>
          <w:rFonts w:ascii="Times New Roman" w:cs="Times New Roman" w:eastAsia="Times New Roman" w:hAnsi="Times New Roman"/>
          <w:sz w:val="18"/>
          <w:szCs w:val="18"/>
          <w:color w:val="auto"/>
        </w:rPr>
        <w:t xml:space="preserve">) with respect to Securities of any series at the time Outstanding occurs and is continuing, then in every such case the Trustee or the Holders of not less than 25% in aggregate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5.01(f)</w:t>
      </w:r>
      <w:r>
        <w:rPr>
          <w:rFonts w:ascii="Times New Roman" w:cs="Times New Roman" w:eastAsia="Times New Roman" w:hAnsi="Times New Roman"/>
          <w:sz w:val="18"/>
          <w:szCs w:val="18"/>
          <w:color w:val="auto"/>
        </w:rPr>
        <w:t xml:space="preserve">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Upon payment of such amount, all obligations of the Company in respect of the payment of principal and interest of the Securities of such series shall terminate.</w:t>
      </w:r>
    </w:p>
    <w:p>
      <w:pPr>
        <w:spacing w:after="0" w:line="19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may otherwise be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all or any specific Securities of any series, 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Company and the Trustee, may rescind and annul such declaration and its consequences if</w:t>
      </w:r>
    </w:p>
    <w:p>
      <w:pPr>
        <w:spacing w:after="0" w:line="72" w:lineRule="exact"/>
        <w:rPr>
          <w:sz w:val="20"/>
          <w:szCs w:val="20"/>
          <w:color w:val="auto"/>
        </w:rPr>
      </w:pPr>
    </w:p>
    <w:p>
      <w:pPr>
        <w:ind w:left="680" w:hanging="244"/>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all:</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overdue interest on all Securities of that series;</w:t>
      </w:r>
    </w:p>
    <w:p>
      <w:pPr>
        <w:spacing w:after="0" w:line="117" w:lineRule="exact"/>
        <w:rPr>
          <w:rFonts w:ascii="Times New Roman" w:cs="Times New Roman" w:eastAsia="Times New Roman" w:hAnsi="Times New Roman"/>
          <w:sz w:val="18"/>
          <w:szCs w:val="18"/>
          <w:color w:val="auto"/>
        </w:rPr>
      </w:pPr>
    </w:p>
    <w:p>
      <w:pPr>
        <w:ind w:right="240" w:firstLine="987"/>
        <w:spacing w:after="0" w:line="282" w:lineRule="auto"/>
        <w:tabs>
          <w:tab w:leader="none" w:pos="125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or rates prescribed therefor in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w:t>
      </w:r>
    </w:p>
    <w:p>
      <w:pPr>
        <w:spacing w:after="0" w:line="98" w:lineRule="exact"/>
        <w:rPr>
          <w:rFonts w:ascii="Times New Roman" w:cs="Times New Roman" w:eastAsia="Times New Roman" w:hAnsi="Times New Roman"/>
          <w:sz w:val="18"/>
          <w:szCs w:val="18"/>
          <w:color w:val="auto"/>
        </w:rPr>
      </w:pPr>
    </w:p>
    <w:p>
      <w:pPr>
        <w:ind w:right="280" w:firstLine="987"/>
        <w:spacing w:after="0" w:line="282" w:lineRule="auto"/>
        <w:tabs>
          <w:tab w:leader="none" w:pos="12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Events of Default with respect to Securities of that series, other than the non-payment of the principal of Securities of that series which have become due solely by such declaration of acceleration, have been cured or waived as provided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right="220" w:firstLine="436"/>
        <w:spacing w:after="0" w:line="282"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180"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case of any judicial proceeding relative to the Company (or any other obligor upon the Securities), its property or its creditors, the Trustee (irrespective of whether the principal of the Securities shall then be due and payable as therein expressed or by declaration or otherwise and irrespective of whether the Trustee shall have made any demand for overdue principal or interest)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Trustee May Enforce Claims Without Possession of Securities.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Any money or property collected or to be applied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To the payment of the amounts then due and unpaid for principal of and any premium and interest on the Securities in respect of which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benefit of which such money has been collected, ratably, without preference or priority of any kind (other than contractual subordination agreements pursuant to the Indenture), according to the amounts due and payable on such Securities for principal and any premium and interest, respectively; and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balance, if any, to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p>
    <w:p>
      <w:pPr>
        <w:spacing w:after="0" w:line="11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assignee, trustee, liquidator or sequestrator (or similar official) or for any other remedy hereunder, unless:</w:t>
      </w:r>
    </w:p>
    <w:p>
      <w:pPr>
        <w:spacing w:after="0" w:line="54" w:lineRule="exact"/>
        <w:rPr>
          <w:sz w:val="20"/>
          <w:szCs w:val="20"/>
          <w:color w:val="auto"/>
        </w:rPr>
      </w:pPr>
    </w:p>
    <w:p>
      <w:pPr>
        <w:ind w:left="680" w:hanging="244"/>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117"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and if requested, provided to the Trustee reasonable security or indemnity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and, if requested, provision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5.08 </w:t>
      </w:r>
      <w:r>
        <w:rPr>
          <w:rFonts w:ascii="Times New Roman" w:cs="Times New Roman" w:eastAsia="Times New Roman" w:hAnsi="Times New Roman"/>
          <w:sz w:val="18"/>
          <w:szCs w:val="18"/>
          <w:u w:val="single" w:color="auto"/>
          <w:color w:val="auto"/>
        </w:rPr>
        <w:t>Unconditional Right of Holders to Receive Principal Premium and Interest and to Convert Securities.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Indenture, the Holder of any Security shall have the right, which is absolute and unconditional to receive payment of the principal of and any premium and (subject to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interest on such Security on the respective Stated Maturities expressed in such Security (or, in the case of redemption, on the Redemption Date or,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provided with respect to the replacement or payment of mutilated, destroyed, lost or stolen Securities in the last paragraph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Holders of not less than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p>
    <w:p>
      <w:pPr>
        <w:spacing w:after="0" w:line="11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54" w:lineRule="exact"/>
        <w:rPr>
          <w:sz w:val="20"/>
          <w:szCs w:val="20"/>
          <w:color w:val="auto"/>
        </w:rPr>
      </w:pPr>
    </w:p>
    <w:p>
      <w:pPr>
        <w:ind w:left="680" w:hanging="244"/>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any premium or interest on any Security of such series; or</w:t>
      </w:r>
    </w:p>
    <w:p>
      <w:pPr>
        <w:spacing w:after="0" w:line="117"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 covenant or provision hereof which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cannot be modified or amended without the consent of the Holder of each Outstanding Security of such series affected.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72" w:name="page73"/>
    <w:bookmarkEnd w:id="72"/>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Undertaking for Costs.</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(including the reasonable compensation, expenses and disbursements of its agents and counsel), and may assess reasonable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the Trustee, a suit by a Holder under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or a suit by Holders of more than 10% in aggregate principal amount of the Outstanding Securities.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Waiver of Usury, Stay or Extension Laws.</w:t>
      </w:r>
    </w:p>
    <w:p>
      <w:pPr>
        <w:spacing w:after="0" w:line="11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 that it will not hinder, delay or impede the execution of any power herein granted to the Trustee, but will suffer and permit the execution of every such power as though no such law had been enacted.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THE TRUSTEE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Certain Duties and Responsibilities.</w:t>
      </w:r>
    </w:p>
    <w:p>
      <w:pPr>
        <w:spacing w:after="0" w:line="117" w:lineRule="exact"/>
        <w:rPr>
          <w:sz w:val="20"/>
          <w:szCs w:val="20"/>
          <w:color w:val="auto"/>
        </w:rPr>
      </w:pPr>
    </w:p>
    <w:p>
      <w:pPr>
        <w:ind w:left="680" w:hanging="244"/>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with respect to any series of Securities:</w:t>
      </w:r>
    </w:p>
    <w:p>
      <w:pPr>
        <w:spacing w:after="0" w:line="117" w:lineRule="exact"/>
        <w:rPr>
          <w:rFonts w:ascii="Times New Roman" w:cs="Times New Roman" w:eastAsia="Times New Roman" w:hAnsi="Times New Roman"/>
          <w:sz w:val="18"/>
          <w:szCs w:val="18"/>
          <w:color w:val="auto"/>
        </w:rPr>
      </w:pPr>
    </w:p>
    <w:p>
      <w:pPr>
        <w:ind w:right="300" w:firstLine="987"/>
        <w:spacing w:after="0" w:line="312" w:lineRule="auto"/>
        <w:tabs>
          <w:tab w:leader="none" w:pos="1206"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undertakes to perform such duties and only such duties as are specifically set forth in this Indenture with respect to the Securities of such series, and no implied covenants or obligations shall be read into this Indenture against the Trustee with respect to such series; and</w:t>
      </w:r>
    </w:p>
    <w:p>
      <w:pPr>
        <w:spacing w:after="0" w:line="31" w:lineRule="exact"/>
        <w:rPr>
          <w:rFonts w:ascii="Times New Roman" w:cs="Times New Roman" w:eastAsia="Times New Roman" w:hAnsi="Times New Roman"/>
          <w:sz w:val="17"/>
          <w:szCs w:val="17"/>
          <w:color w:val="auto"/>
        </w:rPr>
      </w:pPr>
    </w:p>
    <w:p>
      <w:pPr>
        <w:ind w:firstLine="987"/>
        <w:spacing w:after="0" w:line="261" w:lineRule="auto"/>
        <w:tabs>
          <w:tab w:leader="none" w:pos="125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7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any series of Securities has occurred and is continuing, the Trustee shall exercise with respect to the Securities of such series such of the rights and powers vested in it by this Indenture, and use the same degree of care and skill in their exercise, as a prudent man would exercise under the circumstances in the conduct of his own affairs.</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117" w:lineRule="exact"/>
        <w:rPr>
          <w:rFonts w:ascii="Times New Roman" w:cs="Times New Roman" w:eastAsia="Times New Roman" w:hAnsi="Times New Roman"/>
          <w:sz w:val="18"/>
          <w:szCs w:val="18"/>
          <w:color w:val="auto"/>
        </w:rPr>
      </w:pPr>
    </w:p>
    <w:p>
      <w:pPr>
        <w:ind w:right="120" w:firstLine="987"/>
        <w:spacing w:after="0" w:line="282" w:lineRule="auto"/>
        <w:tabs>
          <w:tab w:leader="none" w:pos="125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73" w:name="page74"/>
    <w:bookmarkEnd w:id="73"/>
    <w:p>
      <w:pPr>
        <w:ind w:right="40" w:firstLine="987"/>
        <w:spacing w:after="0" w:line="261" w:lineRule="auto"/>
        <w:tabs>
          <w:tab w:leader="none" w:pos="130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with respect to any action taken or omitted to be taken by it in good faith in accordance with the direction of the Holders of a majority in aggregate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71" w:lineRule="exact"/>
        <w:rPr>
          <w:rFonts w:ascii="Times New Roman" w:cs="Times New Roman" w:eastAsia="Times New Roman" w:hAnsi="Times New Roman"/>
          <w:sz w:val="18"/>
          <w:szCs w:val="18"/>
          <w:color w:val="auto"/>
        </w:rPr>
      </w:pPr>
    </w:p>
    <w:p>
      <w:pPr>
        <w:ind w:right="120" w:firstLine="987"/>
        <w:spacing w:after="0" w:line="266" w:lineRule="auto"/>
        <w:tabs>
          <w:tab w:leader="none" w:pos="129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and powers, if it shall have reasonable grounds for believing that repayment of such funds or adequate indemnity against such risk or liability is not reasonably assured to it.</w:t>
      </w:r>
    </w:p>
    <w:p>
      <w:pPr>
        <w:spacing w:after="0" w:line="67"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Notice of Defaults.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Within 90 days after the occurrence, and during the continuance, of any default with respect to the Securities of any series that is known to the Trustee, the Trustee shall transmit, in the manner and to the extent provided in Section 313(c) of the Trust Indenture Act, notice of all such uncured or unwaived defaults; provided, however, that, except in the case of a default in the payment of the principal of (or premium, if any) or interest on Securities of any series or in the payment of any sinking or purchase fund installment with respect to such Securities,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Securities of such series; and provided, further, however, that in the case of any default of the character specified in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with respect to the Securities of such series, no such notice to Holders of Securities shall be given until at least 60 days after the occurrence thereof. For the purpose of this Section, the term “default” means any event which is, or after notice or lapse of time or both would become, an Event of Default.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Certain Rights of Trustee.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36"/>
        <w:spacing w:after="0" w:line="26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Company Request or Company Order, and any resolution of the Board of Directors shall be sufficiently evidenced by a Board Resolution;</w:t>
      </w:r>
    </w:p>
    <w:p>
      <w:pPr>
        <w:spacing w:after="0" w:line="53" w:lineRule="exact"/>
        <w:rPr>
          <w:rFonts w:ascii="Times New Roman" w:cs="Times New Roman" w:eastAsia="Times New Roman" w:hAnsi="Times New Roman"/>
          <w:sz w:val="18"/>
          <w:szCs w:val="18"/>
          <w:color w:val="auto"/>
        </w:rPr>
      </w:pPr>
    </w:p>
    <w:p>
      <w:pPr>
        <w:ind w:right="220" w:firstLine="436"/>
        <w:spacing w:after="0" w:line="26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67" w:lineRule="exact"/>
        <w:rPr>
          <w:rFonts w:ascii="Times New Roman" w:cs="Times New Roman" w:eastAsia="Times New Roman" w:hAnsi="Times New Roman"/>
          <w:sz w:val="18"/>
          <w:szCs w:val="18"/>
          <w:color w:val="auto"/>
        </w:rPr>
      </w:pPr>
    </w:p>
    <w:p>
      <w:pPr>
        <w:ind w:right="960" w:firstLine="436"/>
        <w:spacing w:after="0" w:line="312" w:lineRule="auto"/>
        <w:tabs>
          <w:tab w:leader="none" w:pos="6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74" w:name="page75"/>
    <w:bookmarkEnd w:id="74"/>
    <w:p>
      <w:pPr>
        <w:ind w:firstLine="436"/>
        <w:spacing w:after="0" w:line="266"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be under no obligation to exercise any of the rights or powers vested in it by this Indenture at the request or direction of any of the Holders pursuant to this Indenture, unless such Holders shall have offered to the Trustee reasonable security or indemnity satisfactory to it against the costs, expenses and liabilities which might be incurred by it in compliance with such request or direction;</w:t>
      </w:r>
    </w:p>
    <w:p>
      <w:pPr>
        <w:spacing w:after="0" w:line="67"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without obligation to do so,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7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7"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its agents;</w:t>
      </w:r>
    </w:p>
    <w:p>
      <w:pPr>
        <w:spacing w:after="0" w:line="53" w:lineRule="exact"/>
        <w:rPr>
          <w:rFonts w:ascii="Times New Roman" w:cs="Times New Roman" w:eastAsia="Times New Roman" w:hAnsi="Times New Roman"/>
          <w:sz w:val="18"/>
          <w:szCs w:val="18"/>
          <w:color w:val="auto"/>
        </w:rPr>
      </w:pPr>
    </w:p>
    <w:p>
      <w:pPr>
        <w:ind w:right="520" w:firstLine="436"/>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avoid and mitigate the effects of such occurrences and to resume performance as soon as practicable under the circumstances);</w:t>
      </w:r>
    </w:p>
    <w:p>
      <w:pPr>
        <w:spacing w:after="0" w:line="59" w:lineRule="exact"/>
        <w:rPr>
          <w:rFonts w:ascii="Times New Roman" w:cs="Times New Roman" w:eastAsia="Times New Roman" w:hAnsi="Times New Roman"/>
          <w:sz w:val="17"/>
          <w:szCs w:val="17"/>
          <w:color w:val="auto"/>
        </w:rPr>
      </w:pPr>
    </w:p>
    <w:p>
      <w:pPr>
        <w:jc w:val="both"/>
        <w:ind w:right="380" w:firstLine="436"/>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written notice of any event which is in fact such a default shall have been received by a Responsible Officer of the Trustee at the Corporate Trust Office of the Trustee, and such notice references the Securities and this Indenture;</w:t>
      </w:r>
    </w:p>
    <w:p>
      <w:pPr>
        <w:spacing w:after="0" w:line="67" w:lineRule="exact"/>
        <w:rPr>
          <w:rFonts w:ascii="Times New Roman" w:cs="Times New Roman" w:eastAsia="Times New Roman" w:hAnsi="Times New Roman"/>
          <w:sz w:val="18"/>
          <w:szCs w:val="18"/>
          <w:color w:val="auto"/>
        </w:rPr>
      </w:pPr>
    </w:p>
    <w:p>
      <w:pPr>
        <w:ind w:right="20" w:firstLine="436"/>
        <w:spacing w:after="0" w:line="282" w:lineRule="auto"/>
        <w:tabs>
          <w:tab w:leader="none" w:pos="7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53"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(PDF only), facsimile transmission or other similar unsecured electronic methods; provided, however, that the Company shall provide to the Trustee an incumbency certificate listing designated persons with the authority to provide such instructions, which incumbency certificate shall be amended whenever a person is to be added or deleted from the listing. If the Company elects to give the Trustee e-mail or facsimile transmission instructions (or instructions by a similar electronic method) and the Trustee in its sole and absolute discretion elects to act upon such instructions, the Trustee’s understanding of such instructions shall be deemed controlling. The Trustee shall not be liable for any losses, damages, costs, fees or expenses arising directly or indirectly from the Trustee’s reliance upon and compliance with such instructions notwithstanding such instructions conflict or inconsistency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by third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Not Responsible for Recitals or Issuance of Securities.</w:t>
      </w:r>
    </w:p>
    <w:p>
      <w:pPr>
        <w:spacing w:after="0" w:line="117"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Neither the Trustee nor any Authenticating Agent makes any representations as to the validity or sufficiency of this Indenture or of the Securities. Neither the Trustee nor any Authenticating Agent shall be accountable for the use or application by the Company of Securities or the proceeds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May Hold Securities.</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Trustee, any Authenticating Agent, any Paying Agent, any Security Registrar or any other agent of the Company, in its individual or any other capacity, may become the owner or pledgee of Securities and, subject to </w:t>
      </w:r>
      <w:r>
        <w:rPr>
          <w:rFonts w:ascii="Times New Roman" w:cs="Times New Roman" w:eastAsia="Times New Roman" w:hAnsi="Times New Roman"/>
          <w:sz w:val="18"/>
          <w:szCs w:val="18"/>
          <w:u w:val="single" w:color="auto"/>
          <w:color w:val="auto"/>
        </w:rPr>
        <w:t>Sections 6.08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6.13</w:t>
      </w:r>
      <w:r>
        <w:rPr>
          <w:rFonts w:ascii="Times New Roman" w:cs="Times New Roman" w:eastAsia="Times New Roman" w:hAnsi="Times New Roman"/>
          <w:sz w:val="18"/>
          <w:szCs w:val="18"/>
          <w:color w:val="auto"/>
        </w:rPr>
        <w:t>, may otherwise deal with the Company with the same rights it would have if it were not Trustee, Authenticating Agent, Paying Agent, Security Registrar or such other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Money Held in Trust.</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Compensation and Reimbursement.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agrees:</w:t>
      </w:r>
    </w:p>
    <w:p>
      <w:pPr>
        <w:spacing w:after="0" w:line="117" w:lineRule="exact"/>
        <w:rPr>
          <w:sz w:val="20"/>
          <w:szCs w:val="20"/>
          <w:color w:val="auto"/>
        </w:rPr>
      </w:pPr>
    </w:p>
    <w:p>
      <w:pPr>
        <w:ind w:right="180" w:firstLine="987"/>
        <w:spacing w:after="0" w:line="266" w:lineRule="auto"/>
        <w:tabs>
          <w:tab w:leader="none" w:pos="12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such reasonable compensation as shall be agreed in writing between the parties for all services rendered by it hereunder (which compensation shall not be limited by any provision of law in regard to the compensation of a trustee of an express trust);</w:t>
      </w:r>
    </w:p>
    <w:p>
      <w:pPr>
        <w:spacing w:after="0" w:line="67" w:lineRule="exact"/>
        <w:rPr>
          <w:rFonts w:ascii="Times New Roman" w:cs="Times New Roman" w:eastAsia="Times New Roman" w:hAnsi="Times New Roman"/>
          <w:sz w:val="18"/>
          <w:szCs w:val="18"/>
          <w:color w:val="auto"/>
        </w:rPr>
      </w:pPr>
    </w:p>
    <w:p>
      <w:pPr>
        <w:jc w:val="both"/>
        <w:ind w:firstLine="987"/>
        <w:spacing w:after="0" w:line="281" w:lineRule="auto"/>
        <w:tabs>
          <w:tab w:leader="none" w:pos="125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own negligence or willful misconduct, and the Trustee shall provide the Company reasonable notice of any expenditure not in the ordinary course of business; and</w:t>
      </w:r>
    </w:p>
    <w:p>
      <w:pPr>
        <w:spacing w:after="0" w:line="56" w:lineRule="exact"/>
        <w:rPr>
          <w:rFonts w:ascii="Times New Roman" w:cs="Times New Roman" w:eastAsia="Times New Roman" w:hAnsi="Times New Roman"/>
          <w:sz w:val="17"/>
          <w:szCs w:val="17"/>
          <w:color w:val="auto"/>
        </w:rPr>
      </w:pPr>
    </w:p>
    <w:p>
      <w:pPr>
        <w:ind w:right="340" w:firstLine="987"/>
        <w:spacing w:after="0" w:line="261" w:lineRule="auto"/>
        <w:tabs>
          <w:tab w:leader="none" w:pos="13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 for, and to hold it harmless against, any loss, liability or expense incurred without negligence or willful misconduct on its part, arising out of or in connection with the acceptance or administration of the trust or trusts hereunder, including the reasonable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under this Section to compensate the Trustee and to pay or reimburse the Trustee for expenses, disbursements and advances shall constitute additional indebtedness hereunder.</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any rights available to the Trustee under applicable law, when the Trustee incurs expenses or renders services in connection with an Event of Default specified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the expenses (including the reasonable charges and expenses of its counsel) and the compensation for such services are intended to constitute expenses of administration under any applicable Federal or State bankruptcy, insolvency, reorganization or other similar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this Section shall survive the satisfaction and discharge of this Indenture and the defeasance of the Securities.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6.08 </w:t>
      </w:r>
      <w:r>
        <w:rPr>
          <w:rFonts w:ascii="Times New Roman" w:cs="Times New Roman" w:eastAsia="Times New Roman" w:hAnsi="Times New Roman"/>
          <w:sz w:val="18"/>
          <w:szCs w:val="18"/>
          <w:u w:val="single" w:color="auto"/>
          <w:color w:val="auto"/>
        </w:rPr>
        <w:t>Conflicting Interests.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Corporate Trustee Required, Eligibility.</w:t>
      </w:r>
    </w:p>
    <w:p>
      <w:pPr>
        <w:spacing w:after="0" w:line="11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Resignation and Removal, Appointment of Successor.</w:t>
      </w:r>
    </w:p>
    <w:p>
      <w:pPr>
        <w:spacing w:after="0" w:line="11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 resignation or removal of the Trustee and no appointment of a successor Trustee pursuant to this Article shall become effective until the acceptance of appointment by the successor Trustee in accordance with the applicable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Trustee may resign at any time with respect to the Securities of one or more series by giving written notice thereof to the Company. If the instrument of acceptance by a successor Trustee required by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aggregate principal amount of the Outstanding Securities of such series, by written notice delivered to the Trustee and to the Company. If an instrument of acceptance by a successor Trustee shall not have been delivered to the Trustee within 30 days after giving of such notice of removal, the removed Trustee may petition any court of competent jurisdiction for the appointment of a successor Trustee.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at any time:</w:t>
      </w:r>
    </w:p>
    <w:p>
      <w:pPr>
        <w:spacing w:after="0" w:line="117" w:lineRule="exact"/>
        <w:rPr>
          <w:sz w:val="20"/>
          <w:szCs w:val="20"/>
          <w:color w:val="auto"/>
        </w:rPr>
      </w:pPr>
    </w:p>
    <w:p>
      <w:pPr>
        <w:ind w:right="300" w:firstLine="436"/>
        <w:spacing w:after="0" w:line="282"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fail to comply with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after written request therefor by the Company or by any Holder who has been a bona fide Holder of a Security for at least six months;</w:t>
      </w:r>
    </w:p>
    <w:p>
      <w:pPr>
        <w:spacing w:after="0" w:line="53"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under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shall fail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then, in any such case, (1) the Company by a Board Resolution may remove the Trustee with respect to all Securities of which such Trustee acts as trustee, or (2)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Holders of 10% in aggregate principal amount of Securities of any series who have been bona fide Holders of such Securities for at least six months may, on behalf of themselves and all others similarly situated, petition any court of competent jurisdiction for the removal of the Trustee with respect to all Securities of which such Trustee acts as trustee and the appointment of a successor Trustee or Trustees.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77" w:name="page78"/>
    <w:bookmarkEnd w:id="77"/>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If, within one year after such resignation, removal or incapability, or the occurrence of such vacancy, a successor Trustee with respect to the Securities of any series shall be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Holders of 10% in aggregate principal amount of Securities of any series who have been bona fide Holders of such Securities of such series for at least six months or the Trustee may, on behalf of themselves and all others similarly situated, petition any court of competent jurisdiction for the appointment of a successor Trustee with respect to the Securities of such series.</w:t>
      </w:r>
    </w:p>
    <w:p>
      <w:pPr>
        <w:spacing w:after="0" w:line="187"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Each notice shall include the name of the successor Trustee with respect to the Securities of such series and the address of its Corporate Trust Office.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Acceptance of Appointment by Successor.</w:t>
      </w:r>
    </w:p>
    <w:p>
      <w:pPr>
        <w:spacing w:after="0" w:line="117"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reimbursement of its expenses (including reasonable fees and expenses of counsel and agents), if any, to which such retiring Trustee is otherwise legally entitled,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1"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(a)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sz w:val="20"/>
          <w:szCs w:val="20"/>
          <w:color w:val="auto"/>
        </w:rPr>
      </w:pPr>
    </w:p>
    <w:p>
      <w:pPr>
        <w:ind w:left="4" w:hanging="4"/>
        <w:spacing w:after="0" w:line="251"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78" w:name="page79"/>
    <w:bookmarkEnd w:id="78"/>
    <w:p>
      <w:pPr>
        <w:jc w:val="both"/>
        <w:ind w:right="5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Merger, Conversion, Consolidation or Succession to Business.</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and in case at that time any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Preferential Collection of Claims Against Company.</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Appointment of Authenticating Agent.</w:t>
      </w:r>
    </w:p>
    <w:p>
      <w:pPr>
        <w:spacing w:after="0" w:line="117"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Trustee may appoint an Authenticating Agent or Agents with respect to one or more series of Securities which shall be authorized to act on behalf of and subject to the direction of the Trustee to authenticate and deliver Securities of such series issued upon original issue and upon exchange, registration of transfer or partial redemption thereof or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79" w:name="page80"/>
    <w:bookmarkEnd w:id="79"/>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be the successor of the Authenticating Agent hereunder, provided such corporation shall be otherwise eligible under this Section, without the execution or filing of any paper or any further act on the part of the Trustee or the Authenticating Agent.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an Authenticating Agent appointed at the request of the Company, the Trustee agrees to pay to each Authenticating Agent from time to time reasonable compensation for its services under this Section.</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tabs>
          <w:tab w:leader="none" w:pos="7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-7620</wp:posOffset>
            </wp:positionV>
            <wp:extent cx="22282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-19050</wp:posOffset>
            </wp:positionV>
            <wp:extent cx="3429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6960"/>
        <w:spacing w:after="0"/>
        <w:rPr>
          <w:sz w:val="20"/>
          <w:szCs w:val="20"/>
          <w:color w:val="auto"/>
        </w:rPr>
      </w:pPr>
      <w:r>
        <w:rPr>
          <w:rFonts w:ascii="Times New Roman" w:cs="Times New Roman" w:eastAsia="Times New Roman" w:hAnsi="Times New Roman"/>
          <w:sz w:val="18"/>
          <w:szCs w:val="18"/>
          <w:color w:val="auto"/>
        </w:rPr>
        <w:t>Authenticating Agent</w:t>
      </w:r>
    </w:p>
    <w:p>
      <w:pPr>
        <w:spacing w:after="0" w:line="20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0313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ARTICLE VII. HOLDERS’ LISTS AND REPORTS BY TRUSTEE AND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Company to Furnish Trustee Names and Addresses of Holders.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will furnish or cause to be furnished to the Trustee:</w:t>
      </w:r>
    </w:p>
    <w:p>
      <w:pPr>
        <w:spacing w:after="0" w:line="117" w:lineRule="exact"/>
        <w:rPr>
          <w:sz w:val="20"/>
          <w:szCs w:val="20"/>
          <w:color w:val="auto"/>
        </w:rPr>
      </w:pPr>
    </w:p>
    <w:p>
      <w:pPr>
        <w:ind w:right="440" w:firstLine="436"/>
        <w:spacing w:after="0" w:line="282" w:lineRule="auto"/>
        <w:tabs>
          <w:tab w:leader="none" w:pos="6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more than 15 days after each Regular Record Date, a list for each series of Securities, in such form as the Trustee may reasonably require, of the names and addresses of the Holders of Securities of such series as of such Regular Record Date; and</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provided, however, that if and so long as the Trustee shall be the Security Registrar for the Securities of a series, no such list need be furnished with respect to such series of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Preservation of Information; Communications to Holders.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compliance with its obligations pursuant to Section 312 of the Trust Indenture Act, the Trustee (i) shall preserve, in as current a form as is reasonably practicable, the names and addresses of Holders contained in the most recent list furnished to the Trustee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the names and addresses of Holders received by the Trustee in its capacity as Security Registrar and (ii) may destroy any list furnished to it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upon receipt of a new list so furnished.</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rights of Holders to communicate with other Holders with respect to their rights under this Indenture or the Securities, and the corresponding rights and privileges of the Trustee shall be as provided by the Trust Indenture Act.</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none of the Company, the Trustee nor any agent of any of them shall be held accountable by reason of any disclosure of information as to names and addresses of Holders made pursuant to the Trust Indenture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Trustee.</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Trustee shall transmit to Holders such reports concerning the Trustee and its actions under this Indenture as may be required pursuant to the Trust Indenture Act at the times and in the manner provided pursuant thereto. As promptly as practicable after each May 15 beginning with the May 15 following the date of this Indenture, and in any event prior to July 15 in each year, the Trustee shall deliver to each Holder a brief report dated as of May 15 that complies with Trust Indenture Act Section 313(a). The Trustee also shall comply with Trust Indenture Act Section 313(b). Prior to delivery to the Holders, the Trustee shall deliver to the Company a copy of any report it delivers to Holders pursuant to this Section.</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and automated quotation system, if any, upon which any Securities are listed, with the Commission and with the Company. The Company will notify the Trustee when any Securities are listed on any stock exchange or automated quotation system.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Reports by Company.</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Company files the same with the Commission.</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Such information, documents, reports and summaries shall be deemed to have been (i) filed by the Company with the Trustee and (ii) transmitted by the Company to Holders, as the case may be, if the Company has filed such information, documents, reports and summaries with the Commission using the EDGAR filing system (or any successor filing system) and such reports are publicly available, in each case to the extent such filing with the EDGAR filing system (or any successor filing system) and the foregoing effect thereof, is not prohibited by the Act.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81" w:name="page82"/>
    <w:bookmarkEnd w:id="81"/>
    <w:p>
      <w:pPr>
        <w:ind w:left="1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 CONSOLIDATION, MERGER, CONVEYANCE, TRANSFER OR LEASE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Company May Consolidate, Etc., Only on Certain Terms.</w:t>
      </w:r>
    </w:p>
    <w:p>
      <w:pPr>
        <w:spacing w:after="0" w:line="11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into any other Person or convey, transfer or lease (as lessor) its properties and assets as, or substantially as, an entirety to any Person, unless:</w:t>
      </w:r>
    </w:p>
    <w:p>
      <w:pPr>
        <w:spacing w:after="0" w:line="54" w:lineRule="exact"/>
        <w:rPr>
          <w:sz w:val="20"/>
          <w:szCs w:val="20"/>
          <w:color w:val="auto"/>
        </w:rPr>
      </w:pPr>
    </w:p>
    <w:p>
      <w:pPr>
        <w:ind w:firstLine="436"/>
        <w:spacing w:after="0" w:line="256"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merger, (1) the Company is the surviving Person, or (2) the Person formed by such consolidation or into which the Company is merged or the Person which acquires by conveyance or transfer, or which leases, the properties and assets of the Company as, or substantially as, an entirety shall be a corporation or partnership, shall be organized and validly existing under the laws of the United States of America,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79"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shall exist; and</w:t>
      </w:r>
    </w:p>
    <w:p>
      <w:pPr>
        <w:spacing w:after="0" w:line="53"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Successor Substituted.</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of the Company with, or merger of the Company into, any other Person or any conveyance, transfer or lease (as lessor) of the properties and assets of the Company as, or substantially as, an entirety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(where the Company is the lessor), the predecessor Person shall be relieved of all obligations and covenants under this Indenture and the Securities.</w:t>
      </w:r>
    </w:p>
    <w:p>
      <w:pPr>
        <w:spacing w:after="0" w:line="3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IX. SUPPLEMENTAL INDENTURES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p>
    <w:p>
      <w:pPr>
        <w:spacing w:after="0" w:line="11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Holders, the Company and the Trustee, at any time and from time to time, may enter into one or more indentures supplemental hereto, in form satisfactory to the Trustee, for any of the following purposes:</w:t>
      </w:r>
    </w:p>
    <w:p>
      <w:pPr>
        <w:spacing w:after="0" w:line="54" w:lineRule="exact"/>
        <w:rPr>
          <w:sz w:val="20"/>
          <w:szCs w:val="20"/>
          <w:color w:val="auto"/>
        </w:rPr>
      </w:pPr>
    </w:p>
    <w:p>
      <w:pPr>
        <w:ind w:right="120" w:firstLine="436"/>
        <w:spacing w:after="0" w:line="282"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under this Indenture and the Securities and the assumption by such successor of the obligations of the Company hereunder;</w:t>
      </w:r>
    </w:p>
    <w:p>
      <w:pPr>
        <w:spacing w:after="0" w:line="53"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with regard to all or any series of Securities (and if any such surrender is to be made with regard to less than all series of Securities, stating that such surrender is expressly being made solely with regard to such series);</w:t>
      </w:r>
    </w:p>
    <w:p>
      <w:pPr>
        <w:spacing w:after="0" w:line="71"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spacing w:after="0" w:line="6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82" w:name="page83"/>
    <w:bookmarkEnd w:id="82"/>
    <w:p>
      <w:pPr>
        <w:ind w:left="4" w:firstLine="436"/>
        <w:spacing w:after="0" w:line="255" w:lineRule="auto"/>
        <w:tabs>
          <w:tab w:leader="none" w:pos="68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to, change or eliminate any of the provisions of this Indenture in respect of all or any series of Securities (and if such addition, change or elimination is to apply to less than all series of Securities, stating that it is expressly being made to apply solely with respect to such series); provided that any such addition, change or elimination (1) shall neither (i) apply to any Security of any series created prior to the execution of such supplemental indenture and entitled to the benefit of such provision nor (ii) modify the rights of the Holder of any such Security with respect to such provision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become effective only when there is no such Security Outstanding;</w:t>
      </w:r>
    </w:p>
    <w:p>
      <w:pPr>
        <w:spacing w:after="0" w:line="9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 any guarantee with respect to any Securities;</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hereunder;</w:t>
      </w:r>
    </w:p>
    <w:p>
      <w:pPr>
        <w:spacing w:after="0" w:line="117" w:lineRule="exact"/>
        <w:rPr>
          <w:rFonts w:ascii="Times New Roman" w:cs="Times New Roman" w:eastAsia="Times New Roman" w:hAnsi="Times New Roman"/>
          <w:sz w:val="18"/>
          <w:szCs w:val="18"/>
          <w:color w:val="auto"/>
        </w:rPr>
      </w:pPr>
    </w:p>
    <w:p>
      <w:pPr>
        <w:jc w:val="both"/>
        <w:ind w:left="4" w:right="380" w:firstLine="436"/>
        <w:spacing w:after="0" w:line="266" w:lineRule="auto"/>
        <w:tabs>
          <w:tab w:leader="none" w:pos="6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herein which may be defective or inconsistent with any other provision herein;</w:t>
      </w:r>
    </w:p>
    <w:p>
      <w:pPr>
        <w:spacing w:after="0" w:line="11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provisions with respect to matters or questions arising under this Indenture, provided that such action pursuant to this Clause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shall not adversely affect the interests of the Holders of any Securities of any Outstanding series in any material respect;</w:t>
      </w:r>
    </w:p>
    <w:p>
      <w:pPr>
        <w:spacing w:after="0" w:line="98"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6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one or more guarantors with respect to the Securities as parties to this Indenture or to release guarantors in accordance with the provisions of any supplemental indenture;</w:t>
      </w:r>
    </w:p>
    <w:p>
      <w:pPr>
        <w:spacing w:after="0" w:line="5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this Indenture under the Trust Indenture Act;</w:t>
      </w:r>
    </w:p>
    <w:p>
      <w:pPr>
        <w:spacing w:after="0" w:line="117"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74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or regulations of any securities exchange or automated quotation system on which any of the Securities may be listed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traded;</w:t>
      </w:r>
    </w:p>
    <w:p>
      <w:pPr>
        <w:spacing w:after="0" w:line="9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limitations established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to provide for the issuance of additional Securities of any series; or</w:t>
      </w:r>
    </w:p>
    <w:p>
      <w:pPr>
        <w:spacing w:after="0" w:line="117"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this Indenture, any supplemental indenture, one or more series of Securities or any related guarantees or security documents, if any, to the description of such Securities contained in the Company’s prospectus, prospectus supplement, offering memorandum or similar document with respect to the offering of the Securities of such series.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Times New Roman" w:cs="Times New Roman" w:eastAsia="Times New Roman" w:hAnsi="Times New Roman"/>
          <w:sz w:val="18"/>
          <w:szCs w:val="18"/>
          <w:u w:val="single" w:color="auto"/>
          <w:color w:val="auto"/>
        </w:rPr>
        <w:t>Supplemental Indentures With Consent of Holders.</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in aggregate principal amount of the Outstanding Securities of each series affected by such supplemental indenture (including consents obtained in connection with a tender offer or exchange for Securities),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modifying in any manner the rights of the Holders of Securities of such series under this Indenture; provided, however, that no such supplemental indenture shall, without the consent of the Holder of each Outstanding Security of such series affected thereby:</w:t>
      </w:r>
    </w:p>
    <w:p>
      <w:pPr>
        <w:spacing w:after="0" w:line="79" w:lineRule="exact"/>
        <w:rPr>
          <w:sz w:val="20"/>
          <w:szCs w:val="20"/>
          <w:color w:val="auto"/>
        </w:rPr>
      </w:pPr>
    </w:p>
    <w:p>
      <w:pPr>
        <w:ind w:firstLine="436"/>
        <w:spacing w:after="0" w:line="256"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the Stated Maturity of the principal of, or any installment of principal of or interest, if any,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or change the Company’s obligation to maintain an office or agency for payment of Securities and the other matters specified herein, or the coin or currency in which any Security is payable, or impair the right of any Holder to institute suit for the enforcement of any such payment on or after the Stated Maturity thereof (or, in the case of redemption, on or after the Redemption Date), or alter the method of computation of interest;</w:t>
      </w:r>
    </w:p>
    <w:p>
      <w:pPr>
        <w:spacing w:after="0" w:line="79"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67" w:lineRule="exact"/>
        <w:rPr>
          <w:rFonts w:ascii="Times New Roman" w:cs="Times New Roman" w:eastAsia="Times New Roman" w:hAnsi="Times New Roman"/>
          <w:sz w:val="18"/>
          <w:szCs w:val="18"/>
          <w:color w:val="auto"/>
        </w:rPr>
      </w:pPr>
    </w:p>
    <w:p>
      <w:pPr>
        <w:ind w:right="200" w:firstLine="436"/>
        <w:spacing w:after="0" w:line="258"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or the deletion of this proviso, in accordance with the requirements of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9.01(h)</w:t>
      </w:r>
      <w:r>
        <w:rPr>
          <w:rFonts w:ascii="Times New Roman" w:cs="Times New Roman" w:eastAsia="Times New Roman" w:hAnsi="Times New Roman"/>
          <w:sz w:val="18"/>
          <w:szCs w:val="18"/>
          <w:color w:val="auto"/>
        </w:rPr>
        <w:t>; or</w:t>
      </w:r>
    </w:p>
    <w:p>
      <w:pPr>
        <w:spacing w:after="0" w:line="75"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Securities of any series are convertible into or for any other securities or property of the Company, make any change that adversely affects in any material respect the right to convert any Security of such series (except as permitted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or decrease the conversion rate or increase the conversion price of any such Security of such series, unless such decrease or increase is permitted by the terms of such Security.</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or other provision of this Indenture that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executing, or accepting the additional trusts created by, any supplemental indenture permitted by this Article or the modifications thereby of the trusts created by this Indenture, the Trustee shall be entitled to receive, and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shall be fully protected in relying upon, an Officer’s Certificate and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p>
    <w:p>
      <w:pPr>
        <w:spacing w:after="0" w:line="11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9.05 </w:t>
      </w:r>
      <w:r>
        <w:rPr>
          <w:rFonts w:ascii="Times New Roman" w:cs="Times New Roman" w:eastAsia="Times New Roman" w:hAnsi="Times New Roman"/>
          <w:sz w:val="18"/>
          <w:szCs w:val="18"/>
          <w:u w:val="single" w:color="auto"/>
          <w:color w:val="auto"/>
        </w:rPr>
        <w:t>Conformity with Trust Indenture Act.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Every supplemental indenture executed pursuant to this Article shall conform to the requirements of the Trust Indenture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Failure to make a notation or issue a new Security shall not affect the validity and effect of any amendment, supplement or waiver.</w:t>
      </w: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ARTICLE X. 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and Interest.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covenants and agrees for the benefit of each series of Securities that it will duly and punctually pay the principal of and premium, if any, and interest on the Securities of that series in accordance with the terms of the Securities and this Indenture. Principal, premium, if any, and interest will be considered paid on the date due if the Trustee or Paying Agent, if other than the Company or a Subsidiary thereof, holds as of Noon, New York City time, on the due date, money deposited by the Company in immediately available funds and designated for and sufficient to pay all principal, premium, if any, and interest on the Notes then due.</w:t>
      </w:r>
    </w:p>
    <w:p>
      <w:pPr>
        <w:spacing w:after="0" w:line="183"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Indenture, the Company or the Paying Agent may, to the extent it is required to do so by law, deduct or withhold income or other similar taxes imposed by the United States of America or other domestic or foreign taxing authorities from principal or interest payments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Agency.</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as otherwise specified with respect to a series of Securities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Company hereby initially designates as the Place of Payment for each series of Securities The City of New York, and initially appoints the Trustee as Paying Agent at its Corporate Trust Office as the Company’s office or agency for each such purpose in such city; provided that with respect to a Global Security, and except as may otherwise be specified for such Global Security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any payment, presentation, surrender of delivery effected pursuant to the Applicable Procedures of the Depositary for such Global Security shall be deemed to have been effected at the Place of Payment for such Global Securities in accordance with the provisions of this Indenture.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10.03 </w:t>
      </w:r>
      <w:r>
        <w:rPr>
          <w:rFonts w:ascii="Times New Roman" w:cs="Times New Roman" w:eastAsia="Times New Roman" w:hAnsi="Times New Roman"/>
          <w:sz w:val="18"/>
          <w:szCs w:val="18"/>
          <w:u w:val="single" w:color="auto"/>
          <w:color w:val="auto"/>
        </w:rPr>
        <w:t>Money for Securities Payments to Be Held in Trust.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Whenever the Company shall have one or more Paying Agents for any series of Securities, it will, on or prior to Noon, New York City time, on each due date of the principal of or any premium or interest on any Securities of that series, deposit (or, if the Company has deposited any trust funds with a trustee pursuant to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cause such trustee to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hold all sums held by it for the payment of the principal of (and premium, if any) or interest, if any, on Securities of that series in trust for the benefit of the Persons entitled thereto until such sums shall be paid to such Persons or otherwise disposed of as herein provided; (2) give the Trustee notice of any default by the Company (or any other obligor upon the Securities of that series) in the making of any payment of principal (and premium, if any) or interest, if any, on the Securities of that series; and (3) during the continuance of any such default, upon the written request of the Trustee, forthwith pay to the Trustee all sums held in trust by such Paying Agent for payment in respect of the Securities of that series.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any further liability with respect to such money.</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Subject to any applicable abandoned property law, 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Statement by Officer as to Default.</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will deliver to the Trustee, within 120 days after the end of each of its fiscal years ending after the date hereof, an Officer’s Certificate, stating whether or not to the best knowledge of the signer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 signer thereof may have knowledge.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Existence.</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Company will do or cause to be done all things necessary to preserve and keep in full force and effect its corporate (or equivalent) existence.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10.06 </w:t>
      </w:r>
      <w:r>
        <w:rPr>
          <w:rFonts w:ascii="Times New Roman" w:cs="Times New Roman" w:eastAsia="Times New Roman" w:hAnsi="Times New Roman"/>
          <w:sz w:val="18"/>
          <w:szCs w:val="18"/>
          <w:u w:val="single" w:color="auto"/>
          <w:color w:val="auto"/>
        </w:rPr>
        <w:t>Waiver of Certain Covenants.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such series, the Company may, with respect to the Securities of any series, omit in any particular instance to comply with any term, provision or condition set forth in any covenant pursuant to </w:t>
      </w:r>
      <w:r>
        <w:rPr>
          <w:rFonts w:ascii="Times New Roman" w:cs="Times New Roman" w:eastAsia="Times New Roman" w:hAnsi="Times New Roman"/>
          <w:sz w:val="18"/>
          <w:szCs w:val="18"/>
          <w:u w:val="single" w:color="auto"/>
          <w:color w:val="auto"/>
        </w:rPr>
        <w:t>Sections 3.01(u)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for the benefit of the Holders of such series if before the time for such compliance the Holders of at least a 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REDEMPTION OF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p>
    <w:p>
      <w:pPr>
        <w:spacing w:after="0" w:line="117"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Securities of any series that are redeemable before their Stated Maturity shall be redeemable in accordance with their terms and (except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in accordance with this Article.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p>
    <w:p>
      <w:pPr>
        <w:spacing w:after="0" w:line="11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election of the Company to redeem any Securities shall be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in case of any redemption at the election of the Company of the Securities of any series (including any such redemption affecting only a single Security), the Company shall, not less than 10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furnish the Trustee with an Officer’s Certificate evidencing compliance with such restriction or condition.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such method as the Trustee shall deem fair and appropriate and which complies with any securities exchange or other Applicable Procedures;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87" w:name="page88"/>
    <w:bookmarkEnd w:id="87"/>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each Security Registrar in writing of the Securities selected for redemption as aforesaid and, in case of any Securities selected for partial redemption as aforesaid, the principal amount thereof to be redeemed.</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the Company shall so direct, Securities registered in the name of the Company, any Affiliate or any Subsidiary thereof shall not be included in the Securities selected for redemption.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notice of redemption shall be given by first-class mail, postage prepaid, mailed or otherwise in accordance with the Applicable Procedures not less than 10 nor more than 60 days prior to the Redemption Date (or within such period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the relevant Securities), to each Holder of Securities to be redeemed, at such Holder’s address appearing in the Security Register.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otherwise established in or pursuant to a Board Resolution or an Officer’s Certificate or in another manner specified as contemplated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for such Securities, all notices of redemption shall identify the Securities to be redeemed (including CUSIP numbers, if any) and shall state:</w:t>
      </w:r>
    </w:p>
    <w:p>
      <w:pPr>
        <w:spacing w:after="0" w:line="110" w:lineRule="exact"/>
        <w:rPr>
          <w:sz w:val="20"/>
          <w:szCs w:val="20"/>
          <w:color w:val="auto"/>
        </w:rPr>
      </w:pPr>
    </w:p>
    <w:p>
      <w:pPr>
        <w:ind w:left="680" w:hanging="244"/>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method of calculating such price);</w:t>
      </w:r>
    </w:p>
    <w:p>
      <w:pPr>
        <w:spacing w:after="0" w:line="117"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each such Security is to be surrendered for payment of the Redemption Price;</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 and</w:t>
      </w:r>
    </w:p>
    <w:p>
      <w:pPr>
        <w:spacing w:after="0" w:line="117" w:lineRule="exact"/>
        <w:rPr>
          <w:rFonts w:ascii="Times New Roman" w:cs="Times New Roman" w:eastAsia="Times New Roman" w:hAnsi="Times New Roman"/>
          <w:sz w:val="18"/>
          <w:szCs w:val="18"/>
          <w:color w:val="auto"/>
        </w:rPr>
      </w:pPr>
    </w:p>
    <w:p>
      <w:pPr>
        <w:ind w:right="480" w:firstLine="436"/>
        <w:spacing w:after="0" w:line="282"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Securities that by their terms may be converted, the terms of conversion, the date on which the right to convert the Security to be redeemed will terminate and the place or places where such Securities may be surrendered for conversion.</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(which may be rescinded or revoked at any time prior the time at which the Trustee shall have given such notice to the Holders), by the Trustee in the name and at the expense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88" w:name="page89"/>
    <w:bookmarkEnd w:id="8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notice, if sent in the manner herein provided, shall be conclusively presumed to have been given, whether or not the Holder receives such notice. In any case, failure to give such notice by mail or otherwise in accordance with the Applicable Procedures or any defect in the notice to the Holder of any Security designated for redemption as a whole or in part shall not affect the validity of the proceedings for the redemption of any other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on or prior to Noon, New York City time, on any Redemption Date, the Company shall deposit with the Trustee or with a Paying Agent (or, if the Company is acting as its own Paying Agent, segregate and hold in trust as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 amount of money sufficient to pay the Redemption Price of, and (except if the Redemption Date shall be an Interest Payment Date or the Securities of the series provide otherwise) accrued interest on, all the Securities that are to be redeemed on that date, other than Securities or portions of Securities called for redemption that are owned by the Company or a Subsidiary and have been delivered by the Company or such Subsidiary to the Trustee for cancellation. All money, if any, earned on funds held by the Paying Agent shall be remitted to the Company. In addition, the Paying Agent shall promptly return to the Company any money deposited with the Paying Agent by the Company in excess of the amounts necessary to pay the Redemption Price of, and accrued interest, if any, on, all Securities to be redeemed.</w:t>
      </w:r>
    </w:p>
    <w:p>
      <w:pPr>
        <w:spacing w:after="0" w:line="188"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or in the terms of such Security) be paid to the Company upon Company Request or, if then held by the Company, shall be discharged from such trust.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p>
    <w:p>
      <w:pPr>
        <w:spacing w:after="0" w:line="11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if applicable, with accrued interest to the Redemption Date; provided, however, that, unless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provided further that, unless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if the Redemption Date is after a Regular Record Date and on or prior to the Interest Payment Date, the accrued and unpaid interest shall be payable to the Holder of the redeemed Securities registered on the relevant Regular Record Date.</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p>
    <w:p>
      <w:pPr>
        <w:spacing w:after="0" w:line="117" w:lineRule="exact"/>
        <w:rPr>
          <w:sz w:val="20"/>
          <w:szCs w:val="20"/>
          <w:color w:val="auto"/>
        </w:rPr>
      </w:pPr>
    </w:p>
    <w:p>
      <w:pPr>
        <w:ind w:right="380" w:firstLine="440"/>
        <w:spacing w:after="0" w:line="256" w:lineRule="auto"/>
        <w:rPr>
          <w:sz w:val="20"/>
          <w:szCs w:val="20"/>
          <w:color w:val="auto"/>
        </w:rPr>
      </w:pPr>
      <w:r>
        <w:rPr>
          <w:rFonts w:ascii="Times New Roman" w:cs="Times New Roman" w:eastAsia="Times New Roman" w:hAnsi="Times New Roman"/>
          <w:sz w:val="18"/>
          <w:szCs w:val="18"/>
          <w:color w:val="auto"/>
        </w:rPr>
        <w:t>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 SINKING FUNDS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Article shall be applicable to any sinking fund for the retirement of Securities of any series 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any series of Securities is herein referred to as a “</w:t>
      </w:r>
      <w:r>
        <w:rPr>
          <w:rFonts w:ascii="Times New Roman" w:cs="Times New Roman" w:eastAsia="Times New Roman" w:hAnsi="Times New Roman"/>
          <w:sz w:val="18"/>
          <w:szCs w:val="18"/>
          <w:b w:val="1"/>
          <w:bCs w:val="1"/>
          <w:color w:val="auto"/>
        </w:rPr>
        <w:t>mandatory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sinking fund payment</w:t>
      </w:r>
      <w:r>
        <w:rPr>
          <w:rFonts w:ascii="Times New Roman" w:cs="Times New Roman" w:eastAsia="Times New Roman" w:hAnsi="Times New Roman"/>
          <w:sz w:val="18"/>
          <w:szCs w:val="18"/>
          <w:color w:val="auto"/>
        </w:rPr>
        <w:t>”, and any payment in excess of such minimum amount provided for by the terms of such Securities is herein referred to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optional sinking fund payment</w:t>
      </w:r>
      <w:r>
        <w:rPr>
          <w:rFonts w:ascii="Times New Roman" w:cs="Times New Roman" w:eastAsia="Times New Roman" w:hAnsi="Times New Roman"/>
          <w:sz w:val="17"/>
          <w:szCs w:val="17"/>
          <w:color w:val="auto"/>
        </w:rPr>
        <w:t>”. If provided for by the terms of any series of Securities, the cash amount of any sinking fund payment may be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reduction as provided in </w:t>
      </w:r>
      <w:r>
        <w:rPr>
          <w:rFonts w:ascii="Times New Roman" w:cs="Times New Roman" w:eastAsia="Times New Roman" w:hAnsi="Times New Roman"/>
          <w:sz w:val="17"/>
          <w:szCs w:val="17"/>
          <w:u w:val="single" w:color="auto"/>
          <w:color w:val="auto"/>
        </w:rPr>
        <w:t>Section 12.02</w:t>
      </w:r>
      <w:r>
        <w:rPr>
          <w:rFonts w:ascii="Times New Roman" w:cs="Times New Roman" w:eastAsia="Times New Roman" w:hAnsi="Times New Roman"/>
          <w:sz w:val="17"/>
          <w:szCs w:val="17"/>
          <w:color w:val="auto"/>
        </w:rPr>
        <w:t>. Each sinking fund payment shall be applied to the redemption of Securities of the series as provided for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such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 less than 45 days (or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and will also deliver to the Trustee any Securities to be so delivered. Not less than 30 days prior to each such sinking fund payment date, the Trustee shall select the Securities to be redeemed upon such sinking fund payment date in the manner specified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Sections 11.06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ARTICLE XIII. DEFEASANCE AND COVENANT DEFEASANCE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Company’s Option to Effect Defeasance or Covenant Defeasance.</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elect, at its option at any time, to have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apply to any Securities or any series of Securities, as the case may be, designated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as being defeasible pursuant to such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xml:space="preserve">, in accordance with any applicable requirements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upon compliance with the conditions set forth below in this Article. Any such election shall be evidenced by a Board Resolution,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Defeasance and Discharge.</w:t>
      </w:r>
    </w:p>
    <w:p>
      <w:pPr>
        <w:spacing w:after="0" w:line="11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Upon the Company’s exercise of its option (if any) to have this Section apply to any Securities or any series of Securities, as the case may be, the Company shall be deemed to have been discharged from its obligations with respect to such Securities as provided in this Section on and after the date the conditions set forth in </w:t>
      </w:r>
      <w:r>
        <w:rPr>
          <w:rFonts w:ascii="Times New Roman" w:cs="Times New Roman" w:eastAsia="Times New Roman" w:hAnsi="Times New Roman"/>
          <w:sz w:val="18"/>
          <w:szCs w:val="18"/>
          <w:u w:val="single" w:color="auto"/>
          <w:color w:val="auto"/>
        </w:rPr>
        <w:t>Section 13.04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6" w:right="459" w:bottom="1440" w:gutter="0" w:footer="0" w:header="0"/>
        </w:sectPr>
      </w:pPr>
    </w:p>
    <w:bookmarkStart w:id="90" w:name="page91"/>
    <w:bookmarkEnd w:id="90"/>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satisfied (hereinafter called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xml:space="preserv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(a) the rights of Holders of such Securities to receive, solely from the trust fund described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and as more fully set forth in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payments in respect of the principal of and any premium and interest on such Securities when payments are due, (b) the Company’s obligations with respect to such Securities under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(c) the rights, powers, trusts, duties and immunities of the Trustee hereunder and (d) this Article. Subject to compliance with this Article, the Company may exercise its option (if any) to have this Section applied to any Securities notwithstanding the prior exercise of its option (if any) to have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applied to such Securities.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Covenant Defeasance.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Upon the Company’s exercise of its option (if any) to have this Section applied to any Securities or any series of Securities, as the case may be,</w:t>
      </w:r>
    </w:p>
    <w:p>
      <w:pPr>
        <w:spacing w:after="0" w:line="27" w:lineRule="exact"/>
        <w:rPr>
          <w:sz w:val="20"/>
          <w:szCs w:val="20"/>
          <w:color w:val="auto"/>
        </w:rPr>
      </w:pPr>
    </w:p>
    <w:p>
      <w:pPr>
        <w:ind w:left="4" w:right="40" w:hanging="4"/>
        <w:spacing w:after="0" w:line="251"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released from its obligations under </w:t>
      </w:r>
      <w:r>
        <w:rPr>
          <w:rFonts w:ascii="Times New Roman" w:cs="Times New Roman" w:eastAsia="Times New Roman" w:hAnsi="Times New Roman"/>
          <w:sz w:val="18"/>
          <w:szCs w:val="18"/>
          <w:u w:val="single" w:color="auto"/>
          <w:color w:val="auto"/>
        </w:rPr>
        <w:t>Sections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and any covenants provided pursuant to </w:t>
      </w:r>
      <w:r>
        <w:rPr>
          <w:rFonts w:ascii="Times New Roman" w:cs="Times New Roman" w:eastAsia="Times New Roman" w:hAnsi="Times New Roman"/>
          <w:sz w:val="18"/>
          <w:szCs w:val="18"/>
          <w:u w:val="single" w:color="auto"/>
          <w:color w:val="auto"/>
        </w:rPr>
        <w:t>Section 3.01(u)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9.01(g)</w:t>
      </w:r>
      <w:r>
        <w:rPr>
          <w:rFonts w:ascii="Times New Roman" w:cs="Times New Roman" w:eastAsia="Times New Roman" w:hAnsi="Times New Roman"/>
          <w:sz w:val="18"/>
          <w:szCs w:val="18"/>
          <w:color w:val="auto"/>
        </w:rPr>
        <w:t xml:space="preserve"> for the benefit of the Holders of such Securities and (b) the occurrence of any event specified in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5.01(g)</w:t>
      </w:r>
      <w:r>
        <w:rPr>
          <w:rFonts w:ascii="Times New Roman" w:cs="Times New Roman" w:eastAsia="Times New Roman" w:hAnsi="Times New Roman"/>
          <w:sz w:val="18"/>
          <w:szCs w:val="18"/>
          <w:color w:val="auto"/>
        </w:rPr>
        <w:t xml:space="preserve"> shall be deemed not to be or result in an Event of Default, in each case with respect to such Securities as provided in this Section on and after the date the conditions set forth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are satisfied (hereinafter called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For this purpose, such Covenant Defeasance means that, with respect to such Securities, the Company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Conditions to Defeasance or Covenant Defeasance.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following shall be the conditions to the application of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xml:space="preserve"> to any Securities or any series of Securities, as the case may be:</w:t>
      </w:r>
    </w:p>
    <w:p>
      <w:pPr>
        <w:spacing w:after="0" w:line="117" w:lineRule="exact"/>
        <w:rPr>
          <w:sz w:val="20"/>
          <w:szCs w:val="20"/>
          <w:color w:val="auto"/>
        </w:rPr>
      </w:pPr>
    </w:p>
    <w:p>
      <w:pPr>
        <w:ind w:left="4" w:firstLine="436"/>
        <w:spacing w:after="0" w:line="252" w:lineRule="auto"/>
        <w:tabs>
          <w:tab w:leader="none" w:pos="6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irrevocably have deposited or caused to be deposited with the Trustee (or another trustee which satisfies the requirements contemplated by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in the case of any series of Securities the payment on which may only be made in legal coin or currency of the United States, U.S. Government Obligations which through the scheduled payment of principal and interest in respect thereof in accordance with their terms will provide, not later than Noon, New York City time, on the due date of any payment, money in an amount, or (C) such other obligations or arrangements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such Securities, or (D) a combination thereof, in each case sufficient, in the opinion of an independent public accountant or financial advisor, in either case expressed in a written certification thereof to be delivered to the Trustee, to pay and discharge, and which shall be applied by the Trustee (or any such other qualifying trustee) to pay and discharge, (1) the principal of and any premium and interest on such Securities on the respective Stated Maturities, in accordance with the terms of this Indenture and such Securities or any Redemption Date established pursuant to Clause (i) below, and (2) any mandatory sinking fund payments on the dates on which such payments are due and payable in accordance with the terms of this Indenture and such Securities. As used herein, “</w:t>
      </w:r>
      <w:r>
        <w:rPr>
          <w:rFonts w:ascii="Times New Roman" w:cs="Times New Roman" w:eastAsia="Times New Roman" w:hAnsi="Times New Roman"/>
          <w:sz w:val="18"/>
          <w:szCs w:val="18"/>
          <w:b w:val="1"/>
          <w:bCs w:val="1"/>
          <w:color w:val="auto"/>
        </w:rPr>
        <w:t>U.S. Government Obligation</w:t>
      </w:r>
      <w:r>
        <w:rPr>
          <w:rFonts w:ascii="Times New Roman" w:cs="Times New Roman" w:eastAsia="Times New Roman" w:hAnsi="Times New Roman"/>
          <w:sz w:val="18"/>
          <w:szCs w:val="18"/>
          <w:color w:val="auto"/>
        </w:rPr>
        <w:t>”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66" w:right="459" w:bottom="1440" w:gutter="0" w:footer="0" w:header="0"/>
        </w:sectPr>
      </w:pPr>
    </w:p>
    <w:bookmarkStart w:id="91" w:name="page92"/>
    <w:bookmarkEnd w:id="91"/>
    <w:p>
      <w:pPr>
        <w:ind w:left="4" w:right="180" w:firstLine="436"/>
        <w:spacing w:after="0" w:line="272" w:lineRule="auto"/>
        <w:tabs>
          <w:tab w:leader="none" w:pos="699"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of an election to have </w:t>
      </w:r>
      <w:r>
        <w:rPr>
          <w:rFonts w:ascii="Times New Roman" w:cs="Times New Roman" w:eastAsia="Times New Roman" w:hAnsi="Times New Roman"/>
          <w:sz w:val="17"/>
          <w:szCs w:val="17"/>
          <w:u w:val="single" w:color="auto"/>
          <w:color w:val="auto"/>
        </w:rPr>
        <w:t>Section 13.02</w:t>
      </w:r>
      <w:r>
        <w:rPr>
          <w:rFonts w:ascii="Times New Roman" w:cs="Times New Roman" w:eastAsia="Times New Roman" w:hAnsi="Times New Roman"/>
          <w:sz w:val="17"/>
          <w:szCs w:val="17"/>
          <w:color w:val="auto"/>
        </w:rPr>
        <w:t xml:space="preserve">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Indenture, there has been a change in the applicable Federal income tax law, in either case (A) or</w:t>
      </w:r>
    </w:p>
    <w:p>
      <w:pPr>
        <w:spacing w:after="0" w:line="1" w:lineRule="exact"/>
        <w:rPr>
          <w:rFonts w:ascii="Times New Roman" w:cs="Times New Roman" w:eastAsia="Times New Roman" w:hAnsi="Times New Roman"/>
          <w:sz w:val="17"/>
          <w:szCs w:val="17"/>
          <w:color w:val="auto"/>
        </w:rPr>
      </w:pPr>
    </w:p>
    <w:p>
      <w:pPr>
        <w:ind w:left="4" w:hanging="4"/>
        <w:spacing w:after="0" w:line="277" w:lineRule="auto"/>
        <w:tabs>
          <w:tab w:leader="none" w:pos="28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60" w:lineRule="exact"/>
        <w:rPr>
          <w:rFonts w:ascii="Times New Roman" w:cs="Times New Roman" w:eastAsia="Times New Roman" w:hAnsi="Times New Roman"/>
          <w:sz w:val="17"/>
          <w:szCs w:val="17"/>
          <w:color w:val="auto"/>
        </w:rPr>
      </w:pPr>
    </w:p>
    <w:p>
      <w:pPr>
        <w:ind w:left="4" w:firstLine="436"/>
        <w:spacing w:after="0" w:line="281" w:lineRule="auto"/>
        <w:tabs>
          <w:tab w:leader="none" w:pos="689"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 election to have </w:t>
      </w:r>
      <w:r>
        <w:rPr>
          <w:rFonts w:ascii="Times New Roman" w:cs="Times New Roman" w:eastAsia="Times New Roman" w:hAnsi="Times New Roman"/>
          <w:sz w:val="17"/>
          <w:szCs w:val="17"/>
          <w:u w:val="single" w:color="auto"/>
          <w:color w:val="auto"/>
        </w:rPr>
        <w:t>Section 13.03</w:t>
      </w:r>
      <w:r>
        <w:rPr>
          <w:rFonts w:ascii="Times New Roman" w:cs="Times New Roman" w:eastAsia="Times New Roman" w:hAnsi="Times New Roman"/>
          <w:sz w:val="17"/>
          <w:szCs w:val="17"/>
          <w:color w:val="auto"/>
        </w:rPr>
        <w:t xml:space="preserve"> apply to any Securities or any series of Securities, as the case may be, the Company shall have delivered to the Trustee an Opinion of Counsel that shall confirm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56" w:lineRule="exact"/>
        <w:rPr>
          <w:rFonts w:ascii="Times New Roman" w:cs="Times New Roman" w:eastAsia="Times New Roman" w:hAnsi="Times New Roman"/>
          <w:sz w:val="17"/>
          <w:szCs w:val="17"/>
          <w:color w:val="auto"/>
        </w:rPr>
      </w:pPr>
    </w:p>
    <w:p>
      <w:pPr>
        <w:ind w:left="4" w:right="220" w:firstLine="436"/>
        <w:spacing w:after="0" w:line="282" w:lineRule="auto"/>
        <w:tabs>
          <w:tab w:leader="none" w:pos="69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53" w:lineRule="exact"/>
        <w:rPr>
          <w:rFonts w:ascii="Times New Roman" w:cs="Times New Roman" w:eastAsia="Times New Roman" w:hAnsi="Times New Roman"/>
          <w:sz w:val="18"/>
          <w:szCs w:val="18"/>
          <w:color w:val="auto"/>
        </w:rPr>
      </w:pPr>
    </w:p>
    <w:p>
      <w:pPr>
        <w:ind w:left="4" w:firstLine="436"/>
        <w:spacing w:after="0" w:line="272" w:lineRule="auto"/>
        <w:tabs>
          <w:tab w:leader="none" w:pos="689"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event which is, or after notice or lapse of time or both would become, an Event of Default shall have occurred and be continuing at the time of such deposit (other than such event or Event of Default (if any) resulting from the incurrence of indebtedness or the grant of liens securing such indebtedness, all or a portion of the proceeds of which will be applied to such deposit) or, with regard to any such event specified in </w:t>
      </w:r>
      <w:r>
        <w:rPr>
          <w:rFonts w:ascii="Times New Roman" w:cs="Times New Roman" w:eastAsia="Times New Roman" w:hAnsi="Times New Roman"/>
          <w:sz w:val="17"/>
          <w:szCs w:val="17"/>
          <w:u w:val="single" w:color="auto"/>
          <w:color w:val="auto"/>
        </w:rPr>
        <w:t>Sections 5.01(e)</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left="4"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at any time on or prior to the 90th day after the date of such deposit (it being understood that this condition shall not be deemed satisfied until after such 90th day).</w:t>
      </w:r>
    </w:p>
    <w:p>
      <w:pPr>
        <w:spacing w:after="0" w:line="73" w:lineRule="exact"/>
        <w:rPr>
          <w:rFonts w:ascii="Times New Roman" w:cs="Times New Roman" w:eastAsia="Times New Roman" w:hAnsi="Times New Roman"/>
          <w:sz w:val="17"/>
          <w:szCs w:val="17"/>
          <w:color w:val="auto"/>
        </w:rPr>
      </w:pPr>
    </w:p>
    <w:p>
      <w:pPr>
        <w:ind w:left="4" w:right="160" w:firstLine="436"/>
        <w:spacing w:after="0" w:line="266" w:lineRule="auto"/>
        <w:tabs>
          <w:tab w:leader="none" w:pos="66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result in a breach of, or constitute a default under, any material agreement or instrument (other than this Indenture) to which the Company is a party or by which it is bound, or if such breach or default would occur, which is not waived as of, and for all purposes, on and after, the date of such deposit.</w:t>
      </w:r>
    </w:p>
    <w:p>
      <w:pPr>
        <w:spacing w:after="0" w:line="67"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9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with respect to such Defeasance or Covenant Defeasance have been complied with (in each case, subject to the satisfaction of the condition in Clause (e)).</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Before or after a deposit, the Company may make arrangements satisfactory to the Trustee for the redemption of Securities at a future date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Deposited Money and U.S. Government Obligations to Be Held in Trust; Miscellaneous Provisions.</w:t>
      </w:r>
    </w:p>
    <w:p>
      <w:pPr>
        <w:spacing w:after="0" w:line="11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all money and U.S. Government Obligations (including the proceeds thereof) deposited with the Trustee or other qualifying trustee (solely for purposes of this Section and </w:t>
      </w:r>
      <w:r>
        <w:rPr>
          <w:rFonts w:ascii="Times New Roman" w:cs="Times New Roman" w:eastAsia="Times New Roman" w:hAnsi="Times New Roman"/>
          <w:sz w:val="18"/>
          <w:szCs w:val="18"/>
          <w:u w:val="single" w:color="auto"/>
          <w:color w:val="auto"/>
        </w:rPr>
        <w:t>Section 13.06</w:t>
      </w:r>
      <w:r>
        <w:rPr>
          <w:rFonts w:ascii="Times New Roman" w:cs="Times New Roman" w:eastAsia="Times New Roman" w:hAnsi="Times New Roman"/>
          <w:sz w:val="18"/>
          <w:szCs w:val="18"/>
          <w:color w:val="auto"/>
        </w:rPr>
        <w:t xml:space="preserve">, the Trustee and any such other trustee are referred to collectively as the “Trustee”)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92" w:name="page93"/>
    <w:bookmarkEnd w:id="92"/>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pay and indemnify the Trustee against any tax, fee or other charge imposed on or assessed against the U.S. Government Obligations deposited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or the principal and interest received in respect thereof other than any such tax, fee or other charge which by law is for the account of the Holders of Outstanding Securities; provided that the Trustee shall be entitled to charge any such tax, fee or other charge to such Holder’s account.</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Anything in this Article to the contrary notwithstanding, the Trustee shall deliver or pay to the Company from time to time upon Company Request any money or U.S. Government Obligations held by it as provided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with respect to any Securities which are in excess of the amount thereof which would then be required to be deposited to effect the Defeasance or Covenant Defeasance, as the case may be, with respect to such Securities.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Reinstatement.</w:t>
      </w:r>
    </w:p>
    <w:p>
      <w:pPr>
        <w:spacing w:after="0" w:line="11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such Securities from which the Company has been discharged or released pursuant to </w:t>
      </w:r>
      <w:r>
        <w:rPr>
          <w:rFonts w:ascii="Times New Roman" w:cs="Times New Roman" w:eastAsia="Times New Roman" w:hAnsi="Times New Roman"/>
          <w:sz w:val="17"/>
          <w:szCs w:val="17"/>
          <w:u w:val="single" w:color="auto"/>
          <w:color w:val="auto"/>
        </w:rPr>
        <w:t>Section 13.02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13.03</w:t>
      </w:r>
      <w:r>
        <w:rPr>
          <w:rFonts w:ascii="Times New Roman" w:cs="Times New Roman" w:eastAsia="Times New Roman" w:hAnsi="Times New Roman"/>
          <w:sz w:val="17"/>
          <w:szCs w:val="17"/>
          <w:color w:val="auto"/>
        </w:rPr>
        <w:t xml:space="preserve"> shall be revived and reinstated as though no deposit had occurred pursuant to this Article with respect to such Securities, until such time as the Trustee or Paying Agent is permitted to apply all money held in trust pursuant to </w:t>
      </w:r>
      <w:r>
        <w:rPr>
          <w:rFonts w:ascii="Times New Roman" w:cs="Times New Roman" w:eastAsia="Times New Roman" w:hAnsi="Times New Roman"/>
          <w:sz w:val="17"/>
          <w:szCs w:val="17"/>
          <w:u w:val="single" w:color="auto"/>
          <w:color w:val="auto"/>
        </w:rPr>
        <w:t>Section 13.05</w:t>
      </w:r>
      <w:r>
        <w:rPr>
          <w:rFonts w:ascii="Times New Roman" w:cs="Times New Roman" w:eastAsia="Times New Roman" w:hAnsi="Times New Roman"/>
          <w:sz w:val="17"/>
          <w:szCs w:val="17"/>
          <w:color w:val="auto"/>
        </w:rPr>
        <w:t xml:space="preserve"> with respect to such Securities in accordance with this Article; provided, however, that (a)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and</w:t>
      </w:r>
    </w:p>
    <w:p>
      <w:pPr>
        <w:spacing w:after="0" w:line="2" w:lineRule="exact"/>
        <w:rPr>
          <w:sz w:val="20"/>
          <w:szCs w:val="20"/>
          <w:color w:val="auto"/>
        </w:rPr>
      </w:pPr>
    </w:p>
    <w:p>
      <w:pPr>
        <w:ind w:left="4" w:right="280" w:hanging="4"/>
        <w:spacing w:after="0" w:line="255"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any legal proceeding or any order or judgment of any court or governmental authority, the Trustee or Paying Agent shall return all such money and U.S. Government Obligations to the Company promptly after receiving a written request therefor at any time, if such reinstatement of the Company’s obligations has occurred and continues to be in effect.</w:t>
      </w:r>
    </w:p>
    <w:p>
      <w:pPr>
        <w:spacing w:after="0" w:line="1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4"/>
          </w:cols>
          <w:pgMar w:left="436" w:top="270"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19685</wp:posOffset>
            </wp:positionV>
            <wp:extent cx="24003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19685</wp:posOffset>
            </wp:positionV>
            <wp:extent cx="24003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19685</wp:posOffset>
            </wp:positionV>
            <wp:extent cx="2400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ind w:left="6180"/>
        <w:spacing w:after="0"/>
        <w:tabs>
          <w:tab w:leader="none" w:pos="75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19685</wp:posOffset>
            </wp:positionV>
            <wp:extent cx="2400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19685</wp:posOffset>
            </wp:positionV>
            <wp:extent cx="24003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19685</wp:posOffset>
            </wp:positionV>
            <wp:extent cx="24003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680"/>
          </w:cols>
          <w:pgMar w:left="880" w:top="270" w:right="1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908685" cy="925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908685" cy="925830"/>
                    </a:xfrm>
                    <a:prstGeom prst="rect">
                      <a:avLst/>
                    </a:prstGeom>
                    <a:noFill/>
                  </pic:spPr>
                </pic:pic>
              </a:graphicData>
            </a:graphic>
          </wp:anchor>
        </w:drawing>
      </w:r>
    </w:p>
    <w:p>
      <w:pPr>
        <w:ind w:left="5620"/>
        <w:spacing w:after="0" w:line="196" w:lineRule="auto"/>
        <w:rPr>
          <w:sz w:val="20"/>
          <w:szCs w:val="20"/>
          <w:color w:val="auto"/>
        </w:rPr>
      </w:pPr>
      <w:r>
        <w:rPr>
          <w:rFonts w:ascii="Times New Roman" w:cs="Times New Roman" w:eastAsia="Times New Roman" w:hAnsi="Times New Roman"/>
          <w:sz w:val="18"/>
          <w:szCs w:val="18"/>
          <w:color w:val="auto"/>
        </w:rPr>
        <w:t>1735 Market Street, 23</w:t>
      </w:r>
      <w:r>
        <w:rPr>
          <w:rFonts w:ascii="Times New Roman" w:cs="Times New Roman" w:eastAsia="Times New Roman" w:hAnsi="Times New Roman"/>
          <w:sz w:val="26"/>
          <w:szCs w:val="26"/>
          <w:color w:val="auto"/>
          <w:vertAlign w:val="sub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7"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color w:val="auto"/>
        </w:rPr>
        <w:t>T +1 267 675 4600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 +1 267 675 4601</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Invivyd,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acting as counsel to Invivyd,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registration statement on Form S-3 (as may be amended from time to time,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relating to the proposed public offering of up to $400,000,000 in aggregate amount of one or more series of the following securities of the Company: (i) debt securities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(ii) shares of preferred stock, $0.0001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(iii) shares of common stock, $0.0001 par value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(iv) warrants to purchase Debt Securities, Preferred Stock or Common Stock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(v) units consisting of a combination of two or more of Debt Securities, Preferred Stock, Common Stock or Warrants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and, together with the Preferred Stock, Common Stock, Warrants and Debt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all of which may be sold from time to time and on a delayed or continuous basis, as set forth in the prospectus which forms a part of the Registration Statement, and as to be set forth in one or more supplements to the prospectus. This opinion letter is furnished to you at your request to enable you to fulfill the requirements of Item 601(b)(5) of Regulation S-K, 17 C.F.R. § 229.601(b)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 connection with the Registration Statement.</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Hogan Lovells US LLP is a limited liability partnership registered in the District of Columbia. “Hogan Lovells” is an international legal practice that includes Hogan Lovells US LLP and Hogan Lovells International LLP, with offices in: Alicante Amsterdam Baltimore Beijing Birmingham Boston Brussels Colorado Springs Denver Dubai Dusseldorf Frankfurt Hamburg Hanoi Ho Chi Minh City Hong Kong Houston Johannesburg London Los Angeles Luxembourg Madrid Mexico City Miami Milan Minneapolis Monterrey Munich New York Northern Virginia Paris Perth Philadelphia Rome San Francisco São Paulo Shanghai Silicon Valley Singapore Sydney Tokyo Warsaw Washington, D.C. Associated Offices: Budapest Jakarta Riyadh Shanghai FTZ Ulaanbaatar. Business Service Centers: Johannesburg Louisville. Legal Services Center: Berlin. For more information see www.hoganlovells.com</w:t>
      </w:r>
    </w:p>
    <w:p>
      <w:pPr>
        <w:sectPr>
          <w:pgSz w:w="11900" w:h="16838" w:orient="portrait"/>
          <w:cols w:equalWidth="0" w:num="1">
            <w:col w:w="11020"/>
          </w:cols>
          <w:pgMar w:left="440" w:top="117" w:right="439" w:bottom="1440" w:gutter="0" w:footer="0" w:header="0"/>
        </w:sectPr>
      </w:pPr>
    </w:p>
    <w:bookmarkStart w:id="95" w:name="page96"/>
    <w:bookmarkEnd w:id="95"/>
    <w:p>
      <w:pPr>
        <w:ind w:left="4"/>
        <w:spacing w:after="0"/>
        <w:tabs>
          <w:tab w:leader="none" w:pos="558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Invivyd, Inc.</w:t>
      </w:r>
      <w:r>
        <w:rPr>
          <w:sz w:val="20"/>
          <w:szCs w:val="20"/>
          <w:color w:val="auto"/>
        </w:rPr>
        <w:tab/>
      </w:r>
      <w:r>
        <w:rPr>
          <w:rFonts w:ascii="Times New Roman" w:cs="Times New Roman" w:eastAsia="Times New Roman" w:hAnsi="Times New Roman"/>
          <w:sz w:val="18"/>
          <w:szCs w:val="18"/>
          <w:color w:val="auto"/>
        </w:rPr>
        <w:t>- 2 -</w:t>
      </w:r>
      <w:r>
        <w:rPr>
          <w:sz w:val="20"/>
          <w:szCs w:val="20"/>
          <w:color w:val="auto"/>
        </w:rPr>
        <w:tab/>
      </w:r>
      <w:r>
        <w:rPr>
          <w:rFonts w:ascii="Times New Roman" w:cs="Times New Roman" w:eastAsia="Times New Roman" w:hAnsi="Times New Roman"/>
          <w:sz w:val="18"/>
          <w:szCs w:val="18"/>
          <w:color w:val="auto"/>
        </w:rPr>
        <w:t>September 28, 2022</w:t>
      </w:r>
    </w:p>
    <w:p>
      <w:pPr>
        <w:spacing w:after="0" w:line="158"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For purposes of this opinion letter, we have assumed that (i) the issuance, sale, amount and terms of any Securities of the Company to be offered from time to time will have been duly authorized and established by proper action of the board of directors of the Company or a duly authorized committee of such board (“</w:t>
      </w:r>
      <w:r>
        <w:rPr>
          <w:rFonts w:ascii="Times New Roman" w:cs="Times New Roman" w:eastAsia="Times New Roman" w:hAnsi="Times New Roman"/>
          <w:sz w:val="17"/>
          <w:szCs w:val="17"/>
          <w:b w:val="1"/>
          <w:bCs w:val="1"/>
          <w:color w:val="auto"/>
        </w:rPr>
        <w:t>Board Action</w:t>
      </w:r>
      <w:r>
        <w:rPr>
          <w:rFonts w:ascii="Times New Roman" w:cs="Times New Roman" w:eastAsia="Times New Roman" w:hAnsi="Times New Roman"/>
          <w:sz w:val="17"/>
          <w:szCs w:val="17"/>
          <w:color w:val="auto"/>
        </w:rPr>
        <w:t>”) consistent with the procedures and terms described in the Registration Statement and in accordance with the Company’s Amended and Restated Certificate of Incorporation and Amended and Restated Bylaws and applicable Delaware corporate law, in a manner that does not violate any law, government or court-imposed order or restriction or agreement or instrument then binding on the Company or otherwise impair the legal or binding nature of the obligations represented by the applicable Securities; (ii) at the time of offer, issuance and sale of any Securities, the Registration Statement will have been declared effective under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and no stop order suspending its effectiveness will have been issued and remain in effect; (iii) any Debt Securities will be issued pursuant to an indenture for Debt Securities substantially in the form of the indenture filed as Exhibit 4.4 to the Registration Statement, with items shown in such exhibit as subject to completion completed in a satisfactory manner; (iv) the indenture under which any Debt Securities are issued will be qualified under the Trust Indenture Act of 1939, as amended;</w:t>
      </w:r>
    </w:p>
    <w:p>
      <w:pPr>
        <w:spacing w:after="0" w:line="4" w:lineRule="exact"/>
        <w:rPr>
          <w:sz w:val="20"/>
          <w:szCs w:val="20"/>
          <w:color w:val="auto"/>
        </w:rPr>
      </w:pPr>
    </w:p>
    <w:p>
      <w:pPr>
        <w:ind w:left="4" w:right="120" w:hanging="4"/>
        <w:spacing w:after="0" w:line="252"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will be issued under one or more warrant agreements, as applicable, each to be between the Company and a financial institution identified therein as a warrant agent; (vi) any Units will be issued under one or more unit agreements; (vii) prior to any issuance of Preferred Stock, an appropriate certificate of designation will be accepted for record by the Secretary of State of the State of Delaware; (viii) if being sold by the Company, the Securities will be delivered against payment of valid consideration therefor and in accordance with the terms of the applicable Board Action authorizing such sale and any applicable underwriting agreement or purchase agreement and as contemplated by the Registration Statement and/or the applicable prospectus supplement; and (ix) the Company will remain a Delaware corporation.</w:t>
      </w:r>
    </w:p>
    <w:p>
      <w:pPr>
        <w:spacing w:after="0" w:line="190"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To the extent that the obligations of the Company with respect to the Securities may be dependent upon such matters, we assume for purposes of this opinion that the other party under the indenture for any Debt Securities, under the warrant agreement for any Warrants, under the unit agreement for any Units, namely, the trustee, the warrant agent or the unit agent, respectively, is duly organized, validly existing and in good standing under the laws of its jurisdiction of organization; that such other party is duly qualified to engage in the activities contemplated by such indenture, warrant agreement, or unit agreement, as applicable; that such indenture, warrant agreement, or unit agreement, as applicable, has been duly authorized, executed and delivered by the other party and constitutes the legal, valid and binding obligation of the other party enforceable against the other party in accordance with its terms; that such other party is in compliance with respect to performance of its obligations under such indenture, warrant agreement, or unit agreement, as applicable, with all applicable laws, rules and regulations; and that such other party has the requisite organizational and legal power and authority to perform its obligations under such indenture, warrant agreement, or unit agreement, as applicable.</w:t>
      </w:r>
    </w:p>
    <w:p>
      <w:pPr>
        <w:spacing w:after="0" w:line="188"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applicable provisions of the following, as currently in effect: (i) the Delaware General Corporation Law, as amended, and (ii) as to the opinions given in paragraphs (a), (d) and (e), the laws of the State of New York (but not including any laws, statutes, ordinances, administrative decisions, rules or regulations of any political subdivision below the state level). We express no opinion herein as to any other statutes, rules or regulations (and in particular, we express no opinion as to any effect that such other statutes, rules or regulations may have on the opinions expressed herein).</w:t>
      </w:r>
    </w:p>
    <w:p>
      <w:pPr>
        <w:sectPr>
          <w:pgSz w:w="11900" w:h="16838" w:orient="portrait"/>
          <w:cols w:equalWidth="0" w:num="1">
            <w:col w:w="11024"/>
          </w:cols>
          <w:pgMar w:left="436" w:top="270" w:right="439" w:bottom="1440" w:gutter="0" w:footer="0" w:header="0"/>
        </w:sectPr>
      </w:pPr>
    </w:p>
    <w:bookmarkStart w:id="96" w:name="page97"/>
    <w:bookmarkEnd w:id="96"/>
    <w:p>
      <w:pPr>
        <w:spacing w:after="0"/>
        <w:tabs>
          <w:tab w:leader="none" w:pos="55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Invivyd, Inc.</w:t>
      </w:r>
      <w:r>
        <w:rPr>
          <w:sz w:val="20"/>
          <w:szCs w:val="20"/>
          <w:color w:val="auto"/>
        </w:rPr>
        <w:tab/>
      </w:r>
      <w:r>
        <w:rPr>
          <w:rFonts w:ascii="Times New Roman" w:cs="Times New Roman" w:eastAsia="Times New Roman" w:hAnsi="Times New Roman"/>
          <w:sz w:val="18"/>
          <w:szCs w:val="18"/>
          <w:color w:val="auto"/>
        </w:rPr>
        <w:t>- 3 -</w:t>
      </w:r>
      <w:r>
        <w:rPr>
          <w:sz w:val="20"/>
          <w:szCs w:val="20"/>
          <w:color w:val="auto"/>
        </w:rPr>
        <w:tab/>
      </w:r>
      <w:r>
        <w:rPr>
          <w:rFonts w:ascii="Times New Roman" w:cs="Times New Roman" w:eastAsia="Times New Roman" w:hAnsi="Times New Roman"/>
          <w:sz w:val="18"/>
          <w:szCs w:val="18"/>
          <w:color w:val="auto"/>
        </w:rPr>
        <w:t>September 28,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w:t>
      </w:r>
    </w:p>
    <w:p>
      <w:pPr>
        <w:spacing w:after="0" w:line="117" w:lineRule="exact"/>
        <w:rPr>
          <w:sz w:val="20"/>
          <w:szCs w:val="20"/>
          <w:color w:val="auto"/>
        </w:rPr>
      </w:pPr>
    </w:p>
    <w:p>
      <w:pPr>
        <w:jc w:val="both"/>
        <w:ind w:right="140" w:firstLine="436"/>
        <w:spacing w:after="0" w:line="261"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(including any Debt Securities duly issued upon the exercise of Warrants and receipt by the Company of any additional consideration payable upon such exercise), upon due execution and delivery of an indenture relating thereto on behalf of the Company and the trustee named therein, and upon authentication by such trustee and due execution and delivery on behalf of the Company in accordance with the indenture and any supplemental indenture relating thereto, will constitute valid and binding obligations of the Company.</w:t>
      </w:r>
    </w:p>
    <w:p>
      <w:pPr>
        <w:spacing w:after="0" w:line="71" w:lineRule="exact"/>
        <w:rPr>
          <w:rFonts w:ascii="Times New Roman" w:cs="Times New Roman" w:eastAsia="Times New Roman" w:hAnsi="Times New Roman"/>
          <w:sz w:val="18"/>
          <w:szCs w:val="18"/>
          <w:color w:val="auto"/>
        </w:rPr>
      </w:pPr>
    </w:p>
    <w:p>
      <w:pPr>
        <w:ind w:right="140" w:firstLine="436"/>
        <w:spacing w:after="0" w:line="281" w:lineRule="auto"/>
        <w:tabs>
          <w:tab w:leader="none" w:pos="69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Preferred Stock (including any Preferred Stock duly issued upon the exchange or conversion of Debt Securities that are exchangeable for or convertible into Preferred Stock or upon the exercise of Warrants and receipt by the Company of any additional consideration payable upon such conversion, exchange or exercise), upon due execution and delivery on behalf of the Company of certificates therefor, including global certificates, or the entry of the issuance thereof in the books and records of the Company, as the case may be, will be validly issued, fully paid and nonassessable.</w:t>
      </w:r>
    </w:p>
    <w:p>
      <w:pPr>
        <w:spacing w:after="0" w:line="56" w:lineRule="exact"/>
        <w:rPr>
          <w:rFonts w:ascii="Times New Roman" w:cs="Times New Roman" w:eastAsia="Times New Roman" w:hAnsi="Times New Roman"/>
          <w:sz w:val="17"/>
          <w:szCs w:val="17"/>
          <w:color w:val="auto"/>
        </w:rPr>
      </w:pPr>
    </w:p>
    <w:p>
      <w:pPr>
        <w:ind w:right="20" w:firstLine="436"/>
        <w:spacing w:after="0" w:line="258"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(including any Common Stock duly issued upon the exchange or conversion of Debt Securities or Preferred Stock that are exchangeable for or convertible into Common Stock or upon the exercise of Warrants and receipt by the Company of any additional consideration payable upon such conversion, exchange or exercise), upon due execution and delivery on behalf of the Company of certificates therefor, including global certificates, or the entry of the issuance thereof in the books and records of the Company, as the case may be, will be validly issued, fully paid and nonassessable.</w:t>
      </w:r>
    </w:p>
    <w:p>
      <w:pPr>
        <w:spacing w:after="0" w:line="75"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upon due execution and delivery of a warrant agreement relating thereto on behalf of the Company and the warrant agent named therein, as applicable, and due authentication of the Warrants by such warrant agent, as applicable, and upon due execution and delivery of the Warrants on behalf of the Company, will constitute valid and binding obligations of the Company.</w:t>
      </w:r>
    </w:p>
    <w:p>
      <w:pPr>
        <w:spacing w:after="0" w:line="67" w:lineRule="exact"/>
        <w:rPr>
          <w:rFonts w:ascii="Times New Roman" w:cs="Times New Roman" w:eastAsia="Times New Roman" w:hAnsi="Times New Roman"/>
          <w:sz w:val="18"/>
          <w:szCs w:val="18"/>
          <w:color w:val="auto"/>
        </w:rPr>
      </w:pPr>
    </w:p>
    <w:p>
      <w:pPr>
        <w:ind w:right="580" w:firstLine="436"/>
        <w:spacing w:after="0" w:line="312" w:lineRule="auto"/>
        <w:tabs>
          <w:tab w:leader="none" w:pos="68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Units, upon due execution and delivery of a unit agreement relating thereto on behalf of the Company, and upon due execution and delivery of one or more certificates bearing such terms on behalf of the Company, will constitute valid and binding obligations of the Company.</w:t>
      </w:r>
    </w:p>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opinions expressed in paragraphs (a), (d) and (e) above with respect to the valid and binding nature of obligations may be limited by bankruptcy, insolvency, reorganization, receivership,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good faith, fair dealing, reasonableness, conscionability and materiality (regardless of whether the Securities are considered in a proceeding in equity or at law).</w:t>
      </w:r>
    </w:p>
    <w:p>
      <w:pPr>
        <w:sectPr>
          <w:pgSz w:w="11900" w:h="16838" w:orient="portrait"/>
          <w:cols w:equalWidth="0" w:num="1">
            <w:col w:w="11020"/>
          </w:cols>
          <w:pgMar w:left="440" w:top="270" w:right="439" w:bottom="1440" w:gutter="0" w:footer="0" w:header="0"/>
        </w:sectPr>
      </w:pPr>
    </w:p>
    <w:bookmarkStart w:id="97" w:name="page98"/>
    <w:bookmarkEnd w:id="97"/>
    <w:p>
      <w:pPr>
        <w:spacing w:after="0"/>
        <w:tabs>
          <w:tab w:leader="none" w:pos="55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Invivyd, Inc.</w:t>
      </w:r>
      <w:r>
        <w:rPr>
          <w:sz w:val="20"/>
          <w:szCs w:val="20"/>
          <w:color w:val="auto"/>
        </w:rPr>
        <w:tab/>
      </w:r>
      <w:r>
        <w:rPr>
          <w:rFonts w:ascii="Times New Roman" w:cs="Times New Roman" w:eastAsia="Times New Roman" w:hAnsi="Times New Roman"/>
          <w:sz w:val="18"/>
          <w:szCs w:val="18"/>
          <w:color w:val="auto"/>
        </w:rPr>
        <w:t>- 4 -</w:t>
      </w:r>
      <w:r>
        <w:rPr>
          <w:sz w:val="20"/>
          <w:szCs w:val="20"/>
          <w:color w:val="auto"/>
        </w:rPr>
        <w:tab/>
      </w:r>
      <w:r>
        <w:rPr>
          <w:rFonts w:ascii="Times New Roman" w:cs="Times New Roman" w:eastAsia="Times New Roman" w:hAnsi="Times New Roman"/>
          <w:sz w:val="18"/>
          <w:szCs w:val="18"/>
          <w:color w:val="auto"/>
        </w:rPr>
        <w:t>September 28, 2022</w:t>
      </w:r>
    </w:p>
    <w:p>
      <w:pPr>
        <w:spacing w:after="0" w:line="1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Registration Statement. We assume no obligation to advise of any changes in the foregoing subsequent to the effective date of the Registration Statement.</w:t>
      </w:r>
    </w:p>
    <w:p>
      <w:pPr>
        <w:spacing w:after="0" w:line="16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reference to this firm under the caption “Legal Matters” in the prospectus constituting a part of the Registration Statement. In giving this consent, we do not thereby admit that we are an “expert” within the meaning of the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HOGAN LOVELLS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HOGAN LOVELLS US LLP</w:t>
      </w:r>
    </w:p>
    <w:p>
      <w:pPr>
        <w:sectPr>
          <w:pgSz w:w="11900" w:h="16838" w:orient="portrait"/>
          <w:cols w:equalWidth="0" w:num="1">
            <w:col w:w="11020"/>
          </w:cols>
          <w:pgMar w:left="440" w:top="270" w:right="4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Invivyd, Inc. (formerly known as Adagio Therapeutics, Inc.) of our report dated March 31, 2022 relating to the financial statements, which appears in Adagio Therapeutics, Inc.’s Annual Report on Form 10-K for the year ended December 31, 2021.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2022</w:t>
      </w:r>
    </w:p>
    <w:p>
      <w:pPr>
        <w:sectPr>
          <w:pgSz w:w="11900" w:h="16838" w:orient="portrait"/>
          <w:cols w:equalWidth="0" w:num="1">
            <w:col w:w="11020"/>
          </w:cols>
          <w:pgMar w:left="440" w:top="117" w:right="4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2000" w:type="dxa"/>
            <w:vAlign w:val="bottom"/>
            <w:tcBorders>
              <w:top w:val="single" w:sz="8" w:color="auto"/>
              <w:left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22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8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9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tcBorders>
              <w:left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8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ind w:left="2"/>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42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2000" w:type="dxa"/>
            <w:vAlign w:val="bottom"/>
            <w:tcBorders>
              <w:left w:val="single" w:sz="8" w:color="auto"/>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64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3"/>
                <w:szCs w:val="13"/>
                <w:color w:val="auto"/>
                <w:w w:val="96"/>
              </w:rPr>
              <w:t>Unit (2)</w:t>
            </w:r>
          </w:p>
        </w:tc>
        <w:tc>
          <w:tcPr>
            <w:tcW w:w="14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Price</w:t>
            </w:r>
          </w:p>
        </w:tc>
        <w:tc>
          <w:tcPr>
            <w:tcW w:w="96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Fee 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Fee (3)</w:t>
            </w:r>
          </w:p>
        </w:tc>
        <w:tc>
          <w:tcPr>
            <w:tcW w:w="0" w:type="dxa"/>
            <w:vAlign w:val="bottom"/>
          </w:tcPr>
          <w:p>
            <w:pPr>
              <w:spacing w:after="0"/>
              <w:rPr>
                <w:sz w:val="1"/>
                <w:szCs w:val="1"/>
                <w:color w:val="auto"/>
              </w:rPr>
            </w:pPr>
          </w:p>
        </w:tc>
      </w:tr>
      <w:tr>
        <w:trPr>
          <w:trHeight w:val="206"/>
        </w:trPr>
        <w:tc>
          <w:tcPr>
            <w:tcW w:w="2000" w:type="dxa"/>
            <w:vAlign w:val="bottom"/>
            <w:tcBorders>
              <w:left w:val="single" w:sz="8" w:color="auto"/>
              <w:right w:val="single" w:sz="8" w:color="auto"/>
            </w:tcBorders>
          </w:tcPr>
          <w:p>
            <w:pPr>
              <w:jc w:val="center"/>
              <w:ind w:left="30"/>
              <w:spacing w:after="0" w:line="206" w:lineRule="exact"/>
              <w:rPr>
                <w:sz w:val="20"/>
                <w:szCs w:val="20"/>
                <w:color w:val="auto"/>
              </w:rPr>
            </w:pPr>
            <w:r>
              <w:rPr>
                <w:rFonts w:ascii="Times New Roman" w:cs="Times New Roman" w:eastAsia="Times New Roman" w:hAnsi="Times New Roman"/>
                <w:sz w:val="18"/>
                <w:szCs w:val="18"/>
                <w:color w:val="auto"/>
                <w:w w:val="99"/>
              </w:rPr>
              <w:t>Fees to Be</w:t>
            </w:r>
          </w:p>
        </w:tc>
        <w:tc>
          <w:tcPr>
            <w:tcW w:w="110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 $0.0001</w:t>
            </w: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0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Stock, $0.0001</w:t>
            </w:r>
          </w:p>
        </w:tc>
        <w:tc>
          <w:tcPr>
            <w:tcW w:w="7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securities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0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2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 (Universal)</w:t>
            </w:r>
          </w:p>
        </w:tc>
        <w:tc>
          <w:tcPr>
            <w:tcW w:w="7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Shelf (1)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$400,000,000.00</w:t>
            </w:r>
          </w:p>
        </w:tc>
        <w:tc>
          <w:tcPr>
            <w:tcW w:w="9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0.0000927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$37,080.00</w:t>
            </w:r>
          </w:p>
        </w:tc>
        <w:tc>
          <w:tcPr>
            <w:tcW w:w="0" w:type="dxa"/>
            <w:vAlign w:val="bottom"/>
          </w:tcPr>
          <w:p>
            <w:pPr>
              <w:spacing w:after="0"/>
              <w:rPr>
                <w:sz w:val="1"/>
                <w:szCs w:val="1"/>
                <w:color w:val="auto"/>
              </w:rPr>
            </w:pPr>
          </w:p>
        </w:tc>
      </w:tr>
      <w:tr>
        <w:trPr>
          <w:trHeight w:val="239"/>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$400,000,000.00</w:t>
            </w:r>
          </w:p>
        </w:tc>
        <w:tc>
          <w:tcPr>
            <w:tcW w:w="9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$37,080.00</w:t>
            </w:r>
          </w:p>
        </w:tc>
        <w:tc>
          <w:tcPr>
            <w:tcW w:w="0" w:type="dxa"/>
            <w:vAlign w:val="bottom"/>
          </w:tcPr>
          <w:p>
            <w:pPr>
              <w:spacing w:after="0"/>
              <w:rPr>
                <w:sz w:val="1"/>
                <w:szCs w:val="1"/>
                <w:color w:val="auto"/>
              </w:rPr>
            </w:pPr>
          </w:p>
        </w:tc>
      </w:tr>
      <w:tr>
        <w:trPr>
          <w:trHeight w:val="236"/>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6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$37,080.00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52"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Invivyd, Inc., or the registrant, is registering under this registration statement such indeterminate number of shares of common stock and preferred stock, such indeterminate principal amount of debt securities, such indeterminate number of warrants to purchase common stock, preferred stock and/or debt securities, and such indeterminate number of units as may be sold by the registrant from time to time, which together shall have an aggregate initial offering price not to exceed $400,000,000. If the registrant issues any debt securities at an original issue discount, then the offering price of such debt securities shall be in such greater principal amount at maturity as shall result in an aggregate offering price not to exceed $400,000,000, less the aggregate dollar amount of all securities previously issued hereunder. The registrant may sell any securities the registrant is registering under this registration statement separately or as units with one or more of the other securities the registrant is registering under this registration statement. The registrant will determine, from time to time, the proposed maximum offering price per unit in connection with its issuance of the securities the registrant is registering under this registration statement. The securities the registrant is registering under this registration statement also include such indeterminate number of shares of common stock and preferred stock and amount of debt securities as the registrant may issue upon conversion of or exchange for preferred stock or debt securities that provide for conversion or exchange, upon exercise of warrants or pursuant to the antidilution provisions of any of such securities. In addition, pursuant to Rule 416 under the Securities Act of 1933, as amended, or the Securities Act, the shares the registrant is registering under this registration statement include such indeterminate number of shares of common stock and preferred stock as may be issuable with respect to the shares the registrant is registering as a result of stock splits, stock dividends or similar transactions.</w:t>
      </w:r>
    </w:p>
    <w:p>
      <w:pPr>
        <w:spacing w:after="0" w:line="222"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will be determined from time to time by the registrant in connection with the issuance by the registrant of the securities registered hereunder and is not specified as to each class of security pursuant to Instruction 2.A.iii.b of the Instructions to the Calculation of Filing Fee Tables and Related Disclosure of Form S-3.</w:t>
      </w:r>
    </w:p>
    <w:p>
      <w:pPr>
        <w:spacing w:after="0" w:line="20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based on the proposed maximum aggregate offering price of all securities listed.</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1)"/>
      <w:numFmt w:val="lowerRoman"/>
      <w:start w:val="2"/>
    </w:lvl>
    <w:lvl w:ilvl="1">
      <w:lvlJc w:val="left"/>
      <w:lvlText w:val="•"/>
      <w:numFmt w:val="bullet"/>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07"/>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4F4EF005"/>
    <w:multiLevelType w:val="hybridMultilevel"/>
    <w:lvl w:ilvl="0">
      <w:lvlJc w:val="left"/>
      <w:lvlText w:val="(%1)"/>
      <w:numFmt w:val="decimal"/>
      <w:start w:val="2"/>
    </w:lvl>
  </w:abstractNum>
  <w:abstractNum w:abstractNumId="26">
    <w:nsid w:val="23F9C13C"/>
    <w:multiLevelType w:val="hybridMultilevel"/>
    <w:lvl w:ilvl="0">
      <w:lvlJc w:val="left"/>
      <w:lvlText w:val="(%1)"/>
      <w:numFmt w:val="decimal"/>
      <w:start w:val="3"/>
    </w:lvl>
  </w:abstractNum>
  <w:abstractNum w:abstractNumId="27">
    <w:nsid w:val="649BB77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8">
    <w:nsid w:val="275AC79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9">
    <w:nsid w:val="39386575"/>
    <w:multiLevelType w:val="hybridMultilevel"/>
    <w:lvl w:ilvl="0">
      <w:lvlJc w:val="left"/>
      <w:lvlText w:val="(%1)"/>
      <w:numFmt w:val="lowerLetter"/>
      <w:start w:val="8"/>
    </w:lvl>
  </w:abstractNum>
  <w:abstractNum w:abstractNumId="30">
    <w:nsid w:val="1CF10FD8"/>
    <w:multiLevelType w:val="hybridMultilevel"/>
    <w:lvl w:ilvl="0">
      <w:lvlJc w:val="left"/>
      <w:lvlText w:val="(%1)"/>
      <w:numFmt w:val="lowerLetter"/>
      <w:start w:val="10"/>
    </w:lvl>
  </w:abstractNum>
  <w:abstractNum w:abstractNumId="31">
    <w:nsid w:val="180115BE"/>
    <w:multiLevelType w:val="hybridMultilevel"/>
    <w:lvl w:ilvl="0">
      <w:lvlJc w:val="left"/>
      <w:lvlText w:val="%1."/>
      <w:numFmt w:val="decimal"/>
      <w:start w:val="2"/>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lvl w:ilvl="1">
      <w:lvlJc w:val="left"/>
      <w:lvlText w:val=","/>
      <w:numFmt w:val="bullet"/>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lowerLetter"/>
      <w:start w:val="8"/>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upperLetter"/>
      <w:start w:val="2"/>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lowerLetter"/>
      <w:start w:val="10"/>
    </w:lvl>
  </w:abstractNum>
  <w:abstractNum w:abstractNumId="42">
    <w:nsid w:val="77AE35EB"/>
    <w:multiLevelType w:val="hybridMultilevel"/>
    <w:lvl w:ilvl="0">
      <w:lvlJc w:val="left"/>
      <w:lvlText w:val="(%1)"/>
      <w:numFmt w:val="lowerLetter"/>
      <w:start w:val="20"/>
    </w:lvl>
  </w:abstractNum>
  <w:abstractNum w:abstractNumId="43">
    <w:nsid w:val="579BE4F1"/>
    <w:multiLevelType w:val="hybridMultilevel"/>
    <w:lvl w:ilvl="0">
      <w:lvlJc w:val="left"/>
      <w:lvlText w:val="(%1)"/>
      <w:numFmt w:val="lowerLetter"/>
      <w:start w:val="27"/>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4"/>
    </w:lvl>
  </w:abstractNum>
  <w:abstractNum w:abstractNumId="47">
    <w:nsid w:val="25A70BF7"/>
    <w:multiLevelType w:val="hybridMultilevel"/>
    <w:lvl w:ilvl="0">
      <w:lvlJc w:val="left"/>
      <w:lvlText w:val="(%1)"/>
      <w:numFmt w:val="lowerRoman"/>
      <w:start w:val="2"/>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lowerRoman"/>
      <w:start w:val="1"/>
    </w:lvl>
    <w:lvl w:ilvl="1">
      <w:lvlJc w:val="left"/>
      <w:lvlText w:val="(%2)"/>
      <w:numFmt w:val="decimal"/>
      <w:start w:val="1"/>
    </w:lvl>
  </w:abstractNum>
  <w:abstractNum w:abstractNumId="51">
    <w:nsid w:val="1381823A"/>
    <w:multiLevelType w:val="hybridMultilevel"/>
    <w:lvl w:ilvl="0">
      <w:lvlJc w:val="left"/>
      <w:lvlText w:val="(%1)"/>
      <w:numFmt w:val="lowerLetter"/>
      <w:start w:val="2"/>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6"/>
    </w:lvl>
  </w:abstractNum>
  <w:abstractNum w:abstractNumId="55">
    <w:nsid w:val="15014ACB"/>
    <w:multiLevelType w:val="hybridMultilevel"/>
    <w:lvl w:ilvl="0">
      <w:lvlJc w:val="left"/>
      <w:lvlText w:val="(%1)"/>
      <w:numFmt w:val="lowerLetter"/>
      <w:start w:val="1"/>
    </w:lvl>
    <w:lvl w:ilvl="1">
      <w:lvlJc w:val="left"/>
      <w:lvlText w:val="(%2)"/>
      <w:numFmt w:val="lowerRoman"/>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lowerLetter"/>
      <w:start w:val="1"/>
    </w:lvl>
    <w:lvl w:ilvl="1">
      <w:lvlJc w:val="left"/>
      <w:lvlText w:val="(%2)"/>
      <w:numFmt w:val="lowerRoman"/>
      <w:start w:val="1"/>
    </w:lvl>
  </w:abstractNum>
  <w:abstractNum w:abstractNumId="61">
    <w:nsid w:val="168E121F"/>
    <w:multiLevelType w:val="hybridMultilevel"/>
    <w:lvl w:ilvl="0">
      <w:lvlJc w:val="left"/>
      <w:lvlText w:val="%1"/>
      <w:numFmt w:val="lowerLetter"/>
      <w:start w:val="1"/>
    </w:lvl>
    <w:lvl w:ilvl="1">
      <w:lvlJc w:val="left"/>
      <w:lvlText w:val="(%2)"/>
      <w:numFmt w:val="lowerRoman"/>
      <w:start w:val="3"/>
    </w:lvl>
  </w:abstractNum>
  <w:abstractNum w:abstractNumId="62">
    <w:nsid w:val="1EBA5D23"/>
    <w:multiLevelType w:val="hybridMultilevel"/>
    <w:lvl w:ilvl="0">
      <w:lvlJc w:val="left"/>
      <w:lvlText w:val="(%1)"/>
      <w:numFmt w:val="lowerLetter"/>
      <w:start w:val="4"/>
    </w:lvl>
    <w:lvl w:ilvl="1">
      <w:lvlJc w:val="left"/>
      <w:lvlText w:val="%2"/>
      <w:numFmt w:val="lowerRoman"/>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5"/>
    </w:lvl>
  </w:abstractNum>
  <w:abstractNum w:abstractNumId="65">
    <w:nsid w:val="540A471C"/>
    <w:multiLevelType w:val="hybridMultilevel"/>
    <w:lvl w:ilvl="0">
      <w:lvlJc w:val="left"/>
      <w:lvlText w:val="(%1)"/>
      <w:numFmt w:val="lowerRoman"/>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3"/>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5"/>
    </w:lvl>
  </w:abstractNum>
  <w:abstractNum w:abstractNumId="72">
    <w:nsid w:val="A0382C5"/>
    <w:multiLevelType w:val="hybridMultilevel"/>
    <w:lvl w:ilvl="0">
      <w:lvlJc w:val="left"/>
      <w:lvlText w:val="(%1)"/>
      <w:numFmt w:val="decimal"/>
      <w:start w:val="2"/>
    </w:lvl>
    <w:lvl w:ilvl="1">
      <w:lvlJc w:val="left"/>
      <w:lvlText w:val="(%2)"/>
      <w:numFmt w:val="lowerLetter"/>
      <w:start w:val="6"/>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upperLetter"/>
      <w:start w:val="1"/>
    </w:lvl>
    <w:lvl w:ilvl="1">
      <w:lvlJc w:val="left"/>
      <w:lvlText w:val="(%2)"/>
      <w:numFmt w:val="lowerLetter"/>
      <w:start w:val="2"/>
    </w:lvl>
  </w:abstractNum>
  <w:abstractNum w:abstractNumId="78">
    <w:nsid w:val="60B6DF70"/>
    <w:multiLevelType w:val="hybridMultilevel"/>
    <w:lvl w:ilvl="0">
      <w:lvlJc w:val="left"/>
      <w:lvlText w:val="(%1)"/>
      <w:numFmt w:val="upperLetter"/>
      <w:start w:val="2"/>
    </w:lvl>
    <w:lvl w:ilvl="1">
      <w:lvlJc w:val="left"/>
      <w:lvlText w:val="(%2)"/>
      <w:numFmt w:val="lowerLetter"/>
      <w:start w:val="3"/>
    </w:lvl>
  </w:abstractNum>
  <w:abstractNum w:abstractNumId="79">
    <w:nsid w:val="6A5EE64"/>
    <w:multiLevelType w:val="hybridMultilevel"/>
    <w:lvl w:ilvl="0">
      <w:lvlJc w:val="left"/>
      <w:lvlText w:val="(%1)"/>
      <w:numFmt w:val="lowerLetter"/>
      <w:start w:val="2"/>
    </w:lvl>
  </w:abstractNum>
  <w:abstractNum w:abstractNumId="80">
    <w:nsid w:val="14330624"/>
    <w:multiLevelType w:val="hybridMultilevel"/>
    <w:lvl w:ilvl="0">
      <w:lvlJc w:val="left"/>
      <w:lvlText w:val="(%1)"/>
      <w:numFmt w:val="lowerRoman"/>
      <w:start w:val="5"/>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jpe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jpe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54" Type="http://schemas.openxmlformats.org/officeDocument/2006/relationships/hyperlink" Target="http://www.sec.gov/ix?doc=/Archives/edgar/data/1832038/000095017022005112/adgi-20211231.htm" TargetMode="External"/><Relationship Id="rId55" Type="http://schemas.openxmlformats.org/officeDocument/2006/relationships/hyperlink" Target="http://www.sec.gov/ix?doc=/Archives/edgar/data/1832038/000119312522134035/d304392d10ka.htm" TargetMode="External"/><Relationship Id="rId56" Type="http://schemas.openxmlformats.org/officeDocument/2006/relationships/hyperlink" Target="http://www.sec.gov/ix?doc=/Archives/edgar/data/1832038/000095017022009799/adgi-20220331.htm" TargetMode="External"/><Relationship Id="rId57" Type="http://schemas.openxmlformats.org/officeDocument/2006/relationships/hyperlink" Target="http://www.sec.gov/ix?doc=/Archives/edgar/data/1832038/000095017022017242/adgi-20220630.htm" TargetMode="External"/><Relationship Id="rId58" Type="http://schemas.openxmlformats.org/officeDocument/2006/relationships/hyperlink" Target="http://www.sec.gov/ix?doc=/Archives/edgar/data/1832038/000119312522008197/d277827d8k.htm" TargetMode="External"/><Relationship Id="rId59" Type="http://schemas.openxmlformats.org/officeDocument/2006/relationships/hyperlink" Target="http://www.sec.gov/ix?doc=/Archives/edgar/data/1832038/000119312522079997/d285779d8ka.htm" TargetMode="External"/><Relationship Id="rId60" Type="http://schemas.openxmlformats.org/officeDocument/2006/relationships/hyperlink" Target="http://www.sec.gov/ix?doc=/Archives/edgar/data/1832038/000119312522242433/d382910d8k.htm" TargetMode="External"/><Relationship Id="rId61" Type="http://schemas.openxmlformats.org/officeDocument/2006/relationships/hyperlink" Target="http://www.sec.gov/ix?doc=/Archives/edgar/data/1832038/000119312522243285/d388436d8k.htm" TargetMode="External"/><Relationship Id="rId62" Type="http://schemas.openxmlformats.org/officeDocument/2006/relationships/hyperlink" Target="http://www.sec.gov/Archives/edgar/data/1832038/000119312521233921/d109461d8a12b.htm" TargetMode="External"/><Relationship Id="rId63" Type="http://schemas.openxmlformats.org/officeDocument/2006/relationships/hyperlink" Target="http://www.sec.gov/Archives/edgar/data/1832038/000095017022005112/adgi-ex4_2.htm" TargetMode="External"/><Relationship Id="rId75" Type="http://schemas.openxmlformats.org/officeDocument/2006/relationships/hyperlink" Target="http://www.sec.gov/Archives/edgar/data/0001832038/000119312521242044/d211424dex31.htm" TargetMode="External"/><Relationship Id="rId76" Type="http://schemas.openxmlformats.org/officeDocument/2006/relationships/hyperlink" Target="http://www.sec.gov/Archives/edgar/data/1832038/000119312522243285/d388436dex31.htm" TargetMode="External"/><Relationship Id="rId77" Type="http://schemas.openxmlformats.org/officeDocument/2006/relationships/hyperlink" Target="http://www.sec.gov/Archives/edgar/data/1832038/000119312522243285/d388436dex32.htm" TargetMode="External"/><Relationship Id="rId78" Type="http://schemas.openxmlformats.org/officeDocument/2006/relationships/hyperlink" Target="http://www.sec.gov/Archives/edgar/data/0001832038/000119312521217506/d54950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2022-09-28T16:41:00Z</dcterms:created>
  <dcterms:modified xsi:type="dcterms:W3CDTF">2022-09-28T16:41:00Z</dcterms:modified>
</cp:coreProperties>
</file>