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Adagio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001-40703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85-1403134</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1601 Trapelo Road, Suite 178</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Waltham, MA</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02451</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819-0080</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ADGI</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35"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38"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ind w:left="1080" w:right="1100" w:hanging="1092"/>
        <w:spacing w:after="0" w:line="286" w:lineRule="auto"/>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Appointment of David Hering, M.B.A. as Chief Executive Officer and Director</w:t>
      </w:r>
    </w:p>
    <w:p>
      <w:pPr>
        <w:spacing w:after="0" w:line="11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On July 5, 2022 (the “Effective Date”), the Board of Directors (the “Board”) of Adagio Therapeutics, Inc. (the “Company”) appointed David Hering, M.B.A., age 47, as the Company’s Chief Executive Officer. In connection with his appointment as Chief Executive Officer of the Company, the Board also appointed Mr. Hering as a Class III director with his term expiring at the Company’s 2024 annual meeting of stockholders.</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Mr. Hering served as the Company’s Interim Chief Executive Officer from February 2022 until the Effective Date, and as Chief Operating Officer from June 2021 until the Effective Date. Prior to joining the Company, Mr. Hering served as the Head of the mRNA Global Franchise Business of Pfizer, Inc., a pharmaceutical company, from April 2021 to June 2021, the President of North America Vaccines of Pfizer, Inc. from December 2018 to April 2021 and the Vaccines Commercial Officer of Pfizer, Inc. from June 2015 to December 2018. Before joining Pfizer in 2015, Mr. Hering spent seven years at Novartis Vaccines, a pharmaceutical company, where he held the position of Head of the North America Region. Mr. Hering received an M.B.A. from Harvard Business School and a B.S. in Operations Research and Industrial Engineering from Cornell University.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Mr. Hering’s appointment, the Company entered into a new employment agreement (the “Employment Agreement”) with</w:t>
      </w:r>
    </w:p>
    <w:p>
      <w:pPr>
        <w:spacing w:after="0" w:line="27" w:lineRule="exact"/>
        <w:rPr>
          <w:sz w:val="20"/>
          <w:szCs w:val="20"/>
          <w:color w:val="auto"/>
        </w:rPr>
      </w:pPr>
    </w:p>
    <w:p>
      <w:pPr>
        <w:ind w:right="280"/>
        <w:spacing w:after="0" w:line="252" w:lineRule="auto"/>
        <w:rPr>
          <w:sz w:val="20"/>
          <w:szCs w:val="20"/>
          <w:color w:val="auto"/>
        </w:rPr>
      </w:pPr>
      <w:r>
        <w:rPr>
          <w:rFonts w:ascii="Times New Roman" w:cs="Times New Roman" w:eastAsia="Times New Roman" w:hAnsi="Times New Roman"/>
          <w:sz w:val="18"/>
          <w:szCs w:val="18"/>
          <w:color w:val="auto"/>
        </w:rPr>
        <w:t>Mr. Hering, which Employment Agreement superseded Mr. Hering’s previous employment agreement, dated August 5, 2021, and all amendments thereto in its entirety. The Employment Agreement provides that Mr. Hering’s employment will continue until either the Company or Mr. Hering terminates Mr. Hering’s employment in accordance with the terms of the Employment Agreement. In addition, the Company and Mr. Hering had previously entered into an Employee Proprietary Information and Inventions Assignment Agreement, which, among other things, prohibits him from competing with the Company, soliciting the Company’s employees and customers and disclosing confidential information during the term of his employment and for a specified time thereafter.</w:t>
      </w:r>
    </w:p>
    <w:p>
      <w:pPr>
        <w:spacing w:after="0" w:line="190"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Pursuant to the Employment Agreement, Mr. Hering is entitled to receive an annual base salary of $600,000, which will be reviewed at least annually and will be subject to adjustment from time to time, as determined by the Board or the Compensation Committee of the Board (the “Compensation Committee”). In addition, pursuant to the Employment Agreement, Mr. Hering is eligible to receive an annual cash bonus, which is based on the achievement of certain performance goals and objectives as reasonably determined by the Compensation Committee, calculated as a percentage of his annual base salary, and which will be determined by the Compensation Committee. Mr. Hering’s initial target annual bonus is 60% of his annual base salary. Mr. Hering’s annual bonus in respect of calendar year 2022 will be calculated based upon a blended rate of base salary, which factors in</w:t>
      </w:r>
    </w:p>
    <w:p>
      <w:pPr>
        <w:spacing w:after="0" w:line="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Mr. Hering’s base salary rates in effect during calendar year 2022 for his service as Chief Operating Officer, Interim Chief Executive Officer and Chief Executive Officer, pro-rated based on the portion of calendar year 2022 during which he served in each such position.</w:t>
      </w:r>
    </w:p>
    <w:p>
      <w:pPr>
        <w:spacing w:after="0" w:line="18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addition, the Company granted Mr. Hering a stock option to purchase 2,000,000 shares of the Company’s common stock at an exercise price equal to the closing sales price for the Company’s common stock as quoted on the Nasdaq Stock Market on the Effective Date (the “Option Grant”). The Option Grant will vest monthly in equal installments over 48 months, commencing on the Effective Date. The Option Grant was made pursuant to the Company’s 2021 Equity Incentive Plan (the “Plan”) and the Company’s form of option award agreement (the “Award Agreement”). Mr. Hering is also eligible to receive an additional stock option to purchase up to 1,000,000 shares of the Company’s common stock (the “Additional Option Grant”), if certain goals approved by the Board on the recommendation of the Compensation Committee are achieved on or prior to December 31, 2022, with such achievement to be determined by the Board upon the recommendation of the Compensation Committee. If such performance goals are partially achieved on or prior to December 31, 2022, then Mr. Hering may receive a partial amount of the Additional Option Grant, with such partial amount to be determined by the Board in its sole and absolute discretion. The Additional Option Grant would have an exercise price equal to the fair market value of the Company’s common stock on the applicable grant date, would vest monthly in equal installments over a 48-month period commencing on the applicable grant date and would be made pursuant to the Plan.</w:t>
      </w:r>
    </w:p>
    <w:p>
      <w:pPr>
        <w:sectPr>
          <w:pgSz w:w="11900" w:h="16838" w:orient="portrait"/>
          <w:cols w:equalWidth="0" w:num="1">
            <w:col w:w="11000"/>
          </w:cols>
          <w:pgMar w:left="440" w:top="293" w:right="459" w:bottom="1440" w:gutter="0" w:footer="0" w:header="0"/>
        </w:sectPr>
      </w:pPr>
    </w:p>
    <w:bookmarkStart w:id="2" w:name="page3"/>
    <w:bookmarkEnd w:id="2"/>
    <w:p>
      <w:pPr>
        <w:ind w:right="10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Employment Agreement provides for standard benefits, such as paid time off, reimbursement of business expenses, and participation in the Company’s employee benefit plans and programs. In the event that Mr. Hering’s employment ends upon death or a disability, he will be entitled to accrued obligations and payment of any unpaid annual bonus earned based on achievement of the applicable performance goals and objectives so long as his employment terminates after the completion of the calendar year but prior to the date of payment of the bonus (the “Earned Bonus”). In the event that Mr. Hering’s employment is terminated, other than during the period commencing on the earlier of (x) the signing of a definitive agreement that, if closed, would result in a “change in control” (as defined in the Plan) and (y) the date that is three months prior to the closing of a change in control and ending on the date that is 12 months following a change in control (the “Change in Control Period”), by the Company without “cause” or by him for “good reason” (each as defined in the Employment Agreement), and subject to the delivery to the Company of a separation agreement that includes a general release of claims, Mr. Hering will receive cash severance equal to the sum of 12 months of his base salary and his target bonus for the year of termination, payable in a lump sum, as well as the Earned Bonus, if applicable, outplacement services and 12 months continuation of benefits. In addition, the portion of any outstanding equity awards held by Mr. Hering as of the date of termination that would have become vested during the</w:t>
      </w:r>
    </w:p>
    <w:p>
      <w:pPr>
        <w:spacing w:after="0" w:line="2"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12-month period following his date of termination would automatically vest as of the date of termination and remain exercisable for 180 days following such date of termination.</w:t>
      </w:r>
    </w:p>
    <w:p>
      <w:pPr>
        <w:spacing w:after="0" w:line="18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the event that Mr. Hering’s employment is terminated by the Company without cause or by him for good reason, in either case, during the Change in Control Period, and subject to his delivery to the Company of a separation agreement that includes a general release of claims, Mr. Hering will receive cash severance equal to the sum of 12 months of his base salary and his target bonus for the year of termination, payable in a lump sum, as well as the Earned Bonus, if applicable, outplacement services and 12 months continuation of benefits. In such case, Mr. Hering will also be entitled to immediate acceleration and full vesting of any equity awards, as if his employment continued until the later of the date of termination (or, if later, the change in control) or the effective date of the separation agreement, and remain exercisable for 180 days following such date.</w:t>
      </w:r>
    </w:p>
    <w:p>
      <w:pPr>
        <w:spacing w:after="0" w:line="18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Mr. Hering previously entered into an indemnification agreement in the form previously approved by the Board, which form is filed as Exhibit 10.4 to the Company’s Registration Statement on Form S-1/A, filed with the U.S. Securities and Exchange Commission on August 2, 2021 (the “Indemnification Agreement”).</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Other than with respect to the Employment Agreement, the Employee Proprietary Information and Inventions Assignment Agreement, the Award Agreement and the Indemnification Agreement, there are no arrangements or understandings between Mr. Hering and any other persons pursuant to which Mr. Hering was appointed as Chief Executive Officer of the Company or as a director. There are also no family relationships between Mr. Hering and any director or executive officer of the Company and Mr. Hering has no direct or indirect interest in any transaction or proposed transaction required to be disclosed pursuant to Item 404(a) of Regulation S-K.</w:t>
      </w:r>
    </w:p>
    <w:p>
      <w:pPr>
        <w:spacing w:after="0" w:line="18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description of the Employment Agreement does not purport to be complete and is qualified in its entirety by reference to the complete text of the Employment Agreement, which is filed herewith as Exhibit 10.1 and is incorporated by reference in this Item 5.02.</w:t>
      </w:r>
    </w:p>
    <w:p>
      <w:pPr>
        <w:spacing w:after="0" w:line="30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July 1, 2022, the Company issued a press release announcing the results of its annual meeting of stockholders and certain changes to the Company’s Board. A copy of the press release is filed herewith as Exhibit 99.1 and is incorporated by reference in this Item 8.01.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July 5, 2022, the Company issued a press release announcing Mr. Hering’s appointment as Chief Executive Officer and as a director of the Company.</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filed herewith as Exhibit 99.2 and is incorporated by reference in this Item 8.01.</w:t>
      </w:r>
    </w:p>
    <w:p>
      <w:pPr>
        <w:sectPr>
          <w:pgSz w:w="11900" w:h="16838" w:orient="portrait"/>
          <w:cols w:equalWidth="0" w:num="1">
            <w:col w:w="11000"/>
          </w:cols>
          <w:pgMar w:left="440" w:top="297" w:right="4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40" w:type="dxa"/>
            <w:vAlign w:val="bottom"/>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2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740" w:type="dxa"/>
            <w:vAlign w:val="bottom"/>
            <w:gridSpan w:val="2"/>
            <w:vMerge w:val="restart"/>
          </w:tcPr>
          <w:p>
            <w:pPr>
              <w:ind w:left="23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2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7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2"/>
                <w:szCs w:val="22"/>
                <w:color w:val="auto"/>
              </w:rPr>
            </w:pPr>
          </w:p>
        </w:tc>
        <w:tc>
          <w:tcPr>
            <w:tcW w:w="8280" w:type="dxa"/>
            <w:vAlign w:val="bottom"/>
            <w:tcBorders>
              <w:top w:val="single" w:sz="8" w:color="auto"/>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Employment Agreement, dated July 5, 2022, by and between Adagio Therapeutics, Inc. and David Hering, M.B.A.</w:t>
            </w:r>
          </w:p>
        </w:tc>
        <w:tc>
          <w:tcPr>
            <w:tcW w:w="18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240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9"/>
              </w:rPr>
              <w:t>Press Release, dated July 1, 2022</w:t>
            </w:r>
          </w:p>
        </w:tc>
        <w:tc>
          <w:tcPr>
            <w:tcW w:w="77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4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Press Release, dated July 5, 2022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80" w:type="dxa"/>
            <w:vAlign w:val="bottom"/>
            <w:shd w:val="clear" w:color="auto" w:fill="0000EE"/>
          </w:tcPr>
          <w:p>
            <w:pPr>
              <w:spacing w:after="0" w:line="20" w:lineRule="exact"/>
              <w:rPr>
                <w:sz w:val="1"/>
                <w:szCs w:val="1"/>
                <w:color w:val="auto"/>
              </w:rPr>
            </w:pPr>
          </w:p>
        </w:tc>
        <w:tc>
          <w:tcPr>
            <w:tcW w:w="77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93"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July 5,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Jill Andersen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Jill Andersen</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ectPr>
          <w:pgSz w:w="11900" w:h="16838" w:orient="portrait"/>
          <w:cols w:equalWidth="0" w:num="1">
            <w:col w:w="10940"/>
          </w:cols>
          <w:pgMar w:left="440" w:top="293" w:right="5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25" w:lineRule="exact"/>
        <w:rPr>
          <w:sz w:val="20"/>
          <w:szCs w:val="20"/>
          <w:color w:val="auto"/>
        </w:rPr>
      </w:pPr>
    </w:p>
    <w:p>
      <w:pPr>
        <w:ind w:right="240" w:firstLine="440"/>
        <w:spacing w:after="0" w:line="237" w:lineRule="auto"/>
        <w:rPr>
          <w:sz w:val="20"/>
          <w:szCs w:val="20"/>
          <w:color w:val="auto"/>
        </w:rPr>
      </w:pPr>
      <w:r>
        <w:rPr>
          <w:rFonts w:ascii="Times New Roman" w:cs="Times New Roman" w:eastAsia="Times New Roman" w:hAnsi="Times New Roman"/>
          <w:sz w:val="17"/>
          <w:szCs w:val="17"/>
          <w:color w:val="auto"/>
        </w:rPr>
        <w:t>This Employment Agreement (“</w:t>
      </w:r>
      <w:r>
        <w:rPr>
          <w:rFonts w:ascii="Times New Roman" w:cs="Times New Roman" w:eastAsia="Times New Roman" w:hAnsi="Times New Roman"/>
          <w:sz w:val="17"/>
          <w:szCs w:val="17"/>
          <w:b w:val="1"/>
          <w:bCs w:val="1"/>
          <w:i w:val="1"/>
          <w:iCs w:val="1"/>
          <w:u w:val="single" w:color="auto"/>
          <w:color w:val="auto"/>
        </w:rPr>
        <w:t>Agreement</w:t>
      </w:r>
      <w:r>
        <w:rPr>
          <w:rFonts w:ascii="Times New Roman" w:cs="Times New Roman" w:eastAsia="Times New Roman" w:hAnsi="Times New Roman"/>
          <w:sz w:val="17"/>
          <w:szCs w:val="17"/>
          <w:color w:val="auto"/>
        </w:rPr>
        <w:t>”) is made between Adagio Therapeutics, Inc., a Delaware corporation (the “</w:t>
      </w:r>
      <w:r>
        <w:rPr>
          <w:rFonts w:ascii="Times New Roman" w:cs="Times New Roman" w:eastAsia="Times New Roman" w:hAnsi="Times New Roman"/>
          <w:sz w:val="17"/>
          <w:szCs w:val="17"/>
          <w:b w:val="1"/>
          <w:bCs w:val="1"/>
          <w:i w:val="1"/>
          <w:iCs w:val="1"/>
          <w:u w:val="single" w:color="auto"/>
          <w:color w:val="auto"/>
        </w:rPr>
        <w:t>Company</w:t>
      </w:r>
      <w:r>
        <w:rPr>
          <w:rFonts w:ascii="Times New Roman" w:cs="Times New Roman" w:eastAsia="Times New Roman" w:hAnsi="Times New Roman"/>
          <w:sz w:val="17"/>
          <w:szCs w:val="17"/>
          <w:color w:val="auto"/>
        </w:rPr>
        <w:t>”), and David Hering (the “</w:t>
      </w:r>
      <w:r>
        <w:rPr>
          <w:rFonts w:ascii="Times New Roman" w:cs="Times New Roman" w:eastAsia="Times New Roman" w:hAnsi="Times New Roman"/>
          <w:sz w:val="17"/>
          <w:szCs w:val="17"/>
          <w:b w:val="1"/>
          <w:bCs w:val="1"/>
          <w:i w:val="1"/>
          <w:iCs w:val="1"/>
          <w:u w:val="single" w:color="auto"/>
          <w:color w:val="auto"/>
        </w:rPr>
        <w:t>Executive</w:t>
      </w:r>
      <w:r>
        <w:rPr>
          <w:rFonts w:ascii="Times New Roman" w:cs="Times New Roman" w:eastAsia="Times New Roman" w:hAnsi="Times New Roman"/>
          <w:sz w:val="17"/>
          <w:szCs w:val="17"/>
          <w:color w:val="auto"/>
        </w:rPr>
        <w:t>”), this 5</w:t>
      </w:r>
      <w:r>
        <w:rPr>
          <w:rFonts w:ascii="Times New Roman" w:cs="Times New Roman" w:eastAsia="Times New Roman" w:hAnsi="Times New Roman"/>
          <w:sz w:val="25"/>
          <w:szCs w:val="25"/>
          <w:color w:val="auto"/>
          <w:vertAlign w:val="superscript"/>
        </w:rPr>
        <w:t>h</w:t>
      </w:r>
      <w:r>
        <w:rPr>
          <w:rFonts w:ascii="Times New Roman" w:cs="Times New Roman" w:eastAsia="Times New Roman" w:hAnsi="Times New Roman"/>
          <w:sz w:val="17"/>
          <w:szCs w:val="17"/>
          <w:color w:val="auto"/>
        </w:rPr>
        <w:t xml:space="preserve"> day of July, 2022. This Agreement supersedes in its entirety that certain Amended and Restated Employment Agreement, dated August 5, 2021, as amended on February 23, 2022 (the “</w:t>
      </w:r>
      <w:r>
        <w:rPr>
          <w:rFonts w:ascii="Times New Roman" w:cs="Times New Roman" w:eastAsia="Times New Roman" w:hAnsi="Times New Roman"/>
          <w:sz w:val="17"/>
          <w:szCs w:val="17"/>
          <w:b w:val="1"/>
          <w:bCs w:val="1"/>
          <w:i w:val="1"/>
          <w:iCs w:val="1"/>
          <w:u w:val="single" w:color="auto"/>
          <w:color w:val="auto"/>
        </w:rPr>
        <w:t>Prior Agreement</w:t>
      </w:r>
      <w:r>
        <w:rPr>
          <w:rFonts w:ascii="Times New Roman" w:cs="Times New Roman" w:eastAsia="Times New Roman" w:hAnsi="Times New Roman"/>
          <w:sz w:val="17"/>
          <w:szCs w:val="17"/>
          <w:color w:val="auto"/>
        </w:rPr>
        <w:t>”), between the Executive and the Company.</w:t>
      </w:r>
    </w:p>
    <w:p>
      <w:pPr>
        <w:spacing w:after="0" w:line="198" w:lineRule="exact"/>
        <w:rPr>
          <w:sz w:val="20"/>
          <w:szCs w:val="20"/>
          <w:color w:val="auto"/>
        </w:rPr>
      </w:pPr>
    </w:p>
    <w:p>
      <w:pPr>
        <w:ind w:right="420" w:firstLine="440"/>
        <w:spacing w:after="0" w:line="277" w:lineRule="auto"/>
        <w:rPr>
          <w:sz w:val="20"/>
          <w:szCs w:val="20"/>
          <w:color w:val="auto"/>
        </w:rPr>
      </w:pPr>
      <w:r>
        <w:rPr>
          <w:rFonts w:ascii="Times New Roman" w:cs="Times New Roman" w:eastAsia="Times New Roman" w:hAnsi="Times New Roman"/>
          <w:sz w:val="18"/>
          <w:szCs w:val="18"/>
          <w:color w:val="auto"/>
        </w:rPr>
        <w:t>WHEREAS, the Company and the Executive desire to enter into this Agreement and supersede in its entirety the Prior Agreement in order to change the Executive’s terms and conditions of employment in connection with his becoming Chief Executive Officer (“</w:t>
      </w:r>
      <w:r>
        <w:rPr>
          <w:rFonts w:ascii="Times New Roman" w:cs="Times New Roman" w:eastAsia="Times New Roman" w:hAnsi="Times New Roman"/>
          <w:sz w:val="18"/>
          <w:szCs w:val="18"/>
          <w:b w:val="1"/>
          <w:bCs w:val="1"/>
          <w:i w:val="1"/>
          <w:iCs w:val="1"/>
          <w:u w:val="single" w:color="auto"/>
          <w:color w:val="auto"/>
        </w:rPr>
        <w:t>CEO</w:t>
      </w:r>
      <w:r>
        <w:rPr>
          <w:rFonts w:ascii="Times New Roman" w:cs="Times New Roman" w:eastAsia="Times New Roman" w:hAnsi="Times New Roman"/>
          <w:sz w:val="18"/>
          <w:szCs w:val="18"/>
          <w:color w:val="auto"/>
        </w:rPr>
        <w:t>”) of the Company, effective as of July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2022 (the “</w:t>
      </w:r>
      <w:r>
        <w:rPr>
          <w:rFonts w:ascii="Times New Roman" w:cs="Times New Roman" w:eastAsia="Times New Roman" w:hAnsi="Times New Roman"/>
          <w:sz w:val="18"/>
          <w:szCs w:val="18"/>
          <w:b w:val="1"/>
          <w:bCs w:val="1"/>
          <w:i w:val="1"/>
          <w:iCs w:val="1"/>
          <w:u w:val="single" w:color="auto"/>
          <w:color w:val="auto"/>
        </w:rPr>
        <w:t>Effective Date</w:t>
      </w:r>
      <w:r>
        <w:rPr>
          <w:rFonts w:ascii="Times New Roman" w:cs="Times New Roman" w:eastAsia="Times New Roman" w:hAnsi="Times New Roman"/>
          <w:sz w:val="18"/>
          <w:szCs w:val="18"/>
          <w:color w:val="auto"/>
        </w:rPr>
        <w:t>”).</w:t>
      </w:r>
    </w:p>
    <w:p>
      <w:pPr>
        <w:spacing w:after="0" w:line="4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62" w:lineRule="exact"/>
        <w:rPr>
          <w:sz w:val="20"/>
          <w:szCs w:val="20"/>
          <w:color w:val="auto"/>
        </w:rPr>
      </w:pPr>
    </w:p>
    <w:p>
      <w:pPr>
        <w:ind w:left="620" w:hanging="184"/>
        <w:spacing w:after="0"/>
        <w:tabs>
          <w:tab w:leader="none" w:pos="6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Company shall employ the Executive as CEO and the Executive shall be employed by the Company pursuant to this Agreement commencing as of the Effective Date and continuing until such employment is terminated in accordance with the provisions hereof (the “</w:t>
      </w:r>
      <w:r>
        <w:rPr>
          <w:rFonts w:ascii="Times New Roman" w:cs="Times New Roman" w:eastAsia="Times New Roman" w:hAnsi="Times New Roman"/>
          <w:sz w:val="18"/>
          <w:szCs w:val="18"/>
          <w:b w:val="1"/>
          <w:bCs w:val="1"/>
          <w:i w:val="1"/>
          <w:iCs w:val="1"/>
          <w:u w:val="single" w:color="auto"/>
          <w:color w:val="auto"/>
        </w:rPr>
        <w:t>Term</w:t>
      </w:r>
      <w:r>
        <w:rPr>
          <w:rFonts w:ascii="Times New Roman" w:cs="Times New Roman" w:eastAsia="Times New Roman" w:hAnsi="Times New Roman"/>
          <w:sz w:val="18"/>
          <w:szCs w:val="18"/>
          <w:color w:val="auto"/>
        </w:rPr>
        <w:t>”). The Executive’s employment with the Company shall continue to be “at will,” meaning that the Executive’s employment may be terminated by the Company or the Executive at any time and for any reason subject to the terms of this Agreement.</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The Executive will serve as CEO of the Company, reporting exclusively to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Executive will render such business and professional services in the performance of his duties as are consistent with Executive’s position within the Company. As CEO, Executive will have the status of the highest-ranking executive officer of the Company, with the full powers, responsibilities and authorities customary for the chief executive officer of publicly traded corporations of the size, type and nature of the Company, together with such other powers, authorities and responsibilities as may reasonably be assigned to him by the Board consistent with the position of CEO.</w:t>
      </w:r>
    </w:p>
    <w:p>
      <w:pPr>
        <w:spacing w:after="0" w:line="18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Nothing in this Agreement shall prohibit the Executive from reasonably delegating parts of the responsibilities set forth in or contemplated by this Section 1(b) to other employees of the Company or its subsidiaries. Upon the termination of Executive’s service for any reason, unless otherwise determined by the Board, Executive will be deemed to have resigned from any other positions (including, without limitation, board member positions) held at the Company or any of its subsidiaries or affiliates voluntarily, without any further required action by Executive, as of the cessation of Executive’s services, and Executive, at the Board’s request, will execute any documents deemed in the discretion of the Company to be reasonably necessary to reflect Executive’s resignation(s).</w:t>
      </w:r>
    </w:p>
    <w:p>
      <w:pPr>
        <w:sectPr>
          <w:pgSz w:w="11900" w:h="16838" w:orient="portrait"/>
          <w:cols w:equalWidth="0" w:num="1">
            <w:col w:w="11020"/>
          </w:cols>
          <w:pgMar w:left="440" w:top="117" w:right="439" w:bottom="1440" w:gutter="0" w:footer="0" w:header="0"/>
        </w:sectPr>
      </w:pPr>
    </w:p>
    <w:bookmarkStart w:id="6" w:name="page7"/>
    <w:bookmarkEnd w:id="6"/>
    <w:p>
      <w:pPr>
        <w:ind w:right="520" w:firstLine="987"/>
        <w:spacing w:after="0" w:line="282" w:lineRule="auto"/>
        <w:tabs>
          <w:tab w:leader="none" w:pos="12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Outside Activities</w:t>
      </w:r>
      <w:r>
        <w:rPr>
          <w:rFonts w:ascii="Times New Roman" w:cs="Times New Roman" w:eastAsia="Times New Roman" w:hAnsi="Times New Roman"/>
          <w:sz w:val="18"/>
          <w:szCs w:val="18"/>
          <w:color w:val="auto"/>
        </w:rPr>
        <w:t>. Executive will use good faith efforts to discharge Executive’s obligations under this Agreement to the best of Executive’s ability. Executive will devote substantially all of Executive’s business efforts and time to the Company.</w:t>
      </w:r>
    </w:p>
    <w:p>
      <w:pPr>
        <w:spacing w:after="0" w:line="54" w:lineRule="exact"/>
        <w:rPr>
          <w:sz w:val="20"/>
          <w:szCs w:val="20"/>
          <w:color w:val="auto"/>
        </w:rPr>
      </w:pPr>
    </w:p>
    <w:p>
      <w:pPr>
        <w:ind w:right="80"/>
        <w:spacing w:after="0" w:line="273" w:lineRule="auto"/>
        <w:rPr>
          <w:sz w:val="20"/>
          <w:szCs w:val="20"/>
          <w:color w:val="auto"/>
        </w:rPr>
      </w:pPr>
      <w:r>
        <w:rPr>
          <w:rFonts w:ascii="Times New Roman" w:cs="Times New Roman" w:eastAsia="Times New Roman" w:hAnsi="Times New Roman"/>
          <w:sz w:val="17"/>
          <w:szCs w:val="17"/>
          <w:color w:val="auto"/>
        </w:rPr>
        <w:t>Executive agrees not to engage actively in any other employment, occupation, or consulting activity for any direct or indirect remuneration without the prior approval of the Non-Executive Chairman of the Board (the “</w:t>
      </w:r>
      <w:r>
        <w:rPr>
          <w:rFonts w:ascii="Times New Roman" w:cs="Times New Roman" w:eastAsia="Times New Roman" w:hAnsi="Times New Roman"/>
          <w:sz w:val="17"/>
          <w:szCs w:val="17"/>
          <w:b w:val="1"/>
          <w:bCs w:val="1"/>
          <w:i w:val="1"/>
          <w:iCs w:val="1"/>
          <w:color w:val="auto"/>
        </w:rPr>
        <w:t>Non-Executive Chairman</w:t>
      </w:r>
      <w:r>
        <w:rPr>
          <w:rFonts w:ascii="Times New Roman" w:cs="Times New Roman" w:eastAsia="Times New Roman" w:hAnsi="Times New Roman"/>
          <w:sz w:val="17"/>
          <w:szCs w:val="17"/>
          <w:color w:val="auto"/>
        </w:rPr>
        <w:t xml:space="preserve">”) or, if there should be no Non-Executive Chairman, the Independent Lead Director(s) of the Board (which approval will not be unreasonably withheld, conditioned or delayed); provided, however, that Executive may, without such approval, serve in any capacity with any civic, educational, or charitable organization, participate in industry affairs and manage Executive’s family’s personal passive investments, and continue to engage in the activities set forth in </w:t>
      </w:r>
      <w:r>
        <w:rPr>
          <w:rFonts w:ascii="Times New Roman" w:cs="Times New Roman" w:eastAsia="Times New Roman" w:hAnsi="Times New Roman"/>
          <w:sz w:val="17"/>
          <w:szCs w:val="17"/>
          <w:u w:val="single" w:color="auto"/>
          <w:color w:val="auto"/>
        </w:rPr>
        <w:t>Appendix A</w:t>
      </w:r>
      <w:r>
        <w:rPr>
          <w:rFonts w:ascii="Times New Roman" w:cs="Times New Roman" w:eastAsia="Times New Roman" w:hAnsi="Times New Roman"/>
          <w:sz w:val="17"/>
          <w:szCs w:val="17"/>
          <w:color w:val="auto"/>
        </w:rPr>
        <w:t xml:space="preserve"> to this Agreement, provided that such services do not materially interfere with Executive’s obligations to the Company, create a conflict of interest, violate any of the Executive’s Continuing Obligations (as defined in Section 9 below) or cause any reputational damage to the Company as reasonably determined by the Board.</w:t>
      </w:r>
    </w:p>
    <w:p>
      <w:pPr>
        <w:spacing w:after="0" w:line="17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Executive may retain any compensation or benefits received as a result of consented to service as a director without any offset in respect of any compensation or benefits to be provided hereunder.</w:t>
      </w:r>
    </w:p>
    <w:p>
      <w:pPr>
        <w:spacing w:after="0" w:line="162" w:lineRule="exact"/>
        <w:rPr>
          <w:sz w:val="20"/>
          <w:szCs w:val="20"/>
          <w:color w:val="auto"/>
        </w:rPr>
      </w:pPr>
    </w:p>
    <w:p>
      <w:pPr>
        <w:ind w:left="620" w:hanging="184"/>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 and Related Matters</w:t>
      </w:r>
      <w:r>
        <w:rPr>
          <w:rFonts w:ascii="Times New Roman" w:cs="Times New Roman" w:eastAsia="Times New Roman" w:hAnsi="Times New Roman"/>
          <w:sz w:val="18"/>
          <w:szCs w:val="18"/>
          <w:color w:val="auto"/>
        </w:rPr>
        <w:t>. This Section 2 sets forth the compensation and benefits to be provided to the Executive during the Term.</w:t>
      </w:r>
    </w:p>
    <w:p>
      <w:pPr>
        <w:spacing w:after="0" w:line="117" w:lineRule="exact"/>
        <w:rPr>
          <w:rFonts w:ascii="Times New Roman" w:cs="Times New Roman" w:eastAsia="Times New Roman" w:hAnsi="Times New Roman"/>
          <w:sz w:val="18"/>
          <w:szCs w:val="18"/>
          <w:color w:val="auto"/>
        </w:rPr>
      </w:pPr>
    </w:p>
    <w:p>
      <w:pPr>
        <w:ind w:right="100" w:firstLine="987"/>
        <w:spacing w:after="0" w:line="233" w:lineRule="auto"/>
        <w:tabs>
          <w:tab w:leader="none" w:pos="123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Company will continue to pay Executive, as compensation for the performance of the Executive’s duties and obligations hereunder, salary at the rate of $600,000 per year. The Executive’s salary shall be subject to annual review not later than March 31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of each year by the Board or the Compensation Committee of the Board (the “</w:t>
      </w:r>
      <w:r>
        <w:rPr>
          <w:rFonts w:ascii="Times New Roman" w:cs="Times New Roman" w:eastAsia="Times New Roman" w:hAnsi="Times New Roman"/>
          <w:sz w:val="18"/>
          <w:szCs w:val="18"/>
          <w:b w:val="1"/>
          <w:bCs w:val="1"/>
          <w:i w:val="1"/>
          <w:iCs w:val="1"/>
          <w:u w:val="single" w:color="auto"/>
          <w:color w:val="auto"/>
        </w:rPr>
        <w:t>Compensation Committee</w:t>
      </w:r>
      <w:r>
        <w:rPr>
          <w:rFonts w:ascii="Times New Roman" w:cs="Times New Roman" w:eastAsia="Times New Roman" w:hAnsi="Times New Roman"/>
          <w:sz w:val="18"/>
          <w:szCs w:val="18"/>
          <w:color w:val="auto"/>
        </w:rPr>
        <w:t>”), which may be adjusted from time to time. The base salary in effect at any given time is referred to herein as “</w:t>
      </w:r>
      <w:r>
        <w:rPr>
          <w:rFonts w:ascii="Times New Roman" w:cs="Times New Roman" w:eastAsia="Times New Roman" w:hAnsi="Times New Roman"/>
          <w:sz w:val="18"/>
          <w:szCs w:val="18"/>
          <w:b w:val="1"/>
          <w:bCs w:val="1"/>
          <w:i w:val="1"/>
          <w:iCs w:val="1"/>
          <w:u w:val="single" w:color="auto"/>
          <w:color w:val="auto"/>
        </w:rPr>
        <w:t>Base Salary</w:t>
      </w:r>
      <w:r>
        <w:rPr>
          <w:rFonts w:ascii="Times New Roman" w:cs="Times New Roman" w:eastAsia="Times New Roman" w:hAnsi="Times New Roman"/>
          <w:sz w:val="18"/>
          <w:szCs w:val="18"/>
          <w:color w:val="auto"/>
        </w:rPr>
        <w:t>.” The Base Salary shall be payable in a manner that is consistent with the Company’s usual payroll practices for its executive officers.</w:t>
      </w:r>
    </w:p>
    <w:p>
      <w:pPr>
        <w:spacing w:after="0" w:line="89" w:lineRule="exact"/>
        <w:rPr>
          <w:rFonts w:ascii="Times New Roman" w:cs="Times New Roman" w:eastAsia="Times New Roman" w:hAnsi="Times New Roman"/>
          <w:sz w:val="18"/>
          <w:szCs w:val="18"/>
          <w:color w:val="auto"/>
        </w:rPr>
      </w:pPr>
    </w:p>
    <w:p>
      <w:pPr>
        <w:ind w:firstLine="987"/>
        <w:spacing w:after="0" w:line="243" w:lineRule="auto"/>
        <w:tabs>
          <w:tab w:leader="none" w:pos="124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Incentive Compensation</w:t>
      </w:r>
      <w:r>
        <w:rPr>
          <w:rFonts w:ascii="Times New Roman" w:cs="Times New Roman" w:eastAsia="Times New Roman" w:hAnsi="Times New Roman"/>
          <w:sz w:val="18"/>
          <w:szCs w:val="18"/>
          <w:color w:val="auto"/>
        </w:rPr>
        <w:t>. The Executive shall participate in an annual cash incentive compensation plan (the “</w:t>
      </w:r>
      <w:r>
        <w:rPr>
          <w:rFonts w:ascii="Times New Roman" w:cs="Times New Roman" w:eastAsia="Times New Roman" w:hAnsi="Times New Roman"/>
          <w:sz w:val="18"/>
          <w:szCs w:val="18"/>
          <w:b w:val="1"/>
          <w:bCs w:val="1"/>
          <w:i w:val="1"/>
          <w:iCs w:val="1"/>
          <w:u w:val="single" w:color="auto"/>
          <w:color w:val="auto"/>
        </w:rPr>
        <w:t>Annual Bonus Plan</w:t>
      </w:r>
      <w:r>
        <w:rPr>
          <w:rFonts w:ascii="Times New Roman" w:cs="Times New Roman" w:eastAsia="Times New Roman" w:hAnsi="Times New Roman"/>
          <w:sz w:val="18"/>
          <w:szCs w:val="18"/>
          <w:color w:val="auto"/>
        </w:rPr>
        <w:t>”). The Executive will be eligible to earn an annual bonus for each full calendar year completed (the “</w:t>
      </w:r>
      <w:r>
        <w:rPr>
          <w:rFonts w:ascii="Times New Roman" w:cs="Times New Roman" w:eastAsia="Times New Roman" w:hAnsi="Times New Roman"/>
          <w:sz w:val="18"/>
          <w:szCs w:val="18"/>
          <w:b w:val="1"/>
          <w:bCs w:val="1"/>
          <w:i w:val="1"/>
          <w:iCs w:val="1"/>
          <w:u w:val="single" w:color="auto"/>
          <w:color w:val="auto"/>
        </w:rPr>
        <w:t>Annual Bonus</w:t>
      </w:r>
      <w:r>
        <w:rPr>
          <w:rFonts w:ascii="Times New Roman" w:cs="Times New Roman" w:eastAsia="Times New Roman" w:hAnsi="Times New Roman"/>
          <w:sz w:val="18"/>
          <w:szCs w:val="18"/>
          <w:color w:val="auto"/>
        </w:rPr>
        <w:t>”). The Executive’s target Annual Bonus will be sixty percent (60%) of Executive’s Base Salary (the “</w:t>
      </w:r>
      <w:r>
        <w:rPr>
          <w:rFonts w:ascii="Times New Roman" w:cs="Times New Roman" w:eastAsia="Times New Roman" w:hAnsi="Times New Roman"/>
          <w:sz w:val="18"/>
          <w:szCs w:val="18"/>
          <w:b w:val="1"/>
          <w:bCs w:val="1"/>
          <w:i w:val="1"/>
          <w:iCs w:val="1"/>
          <w:u w:val="single" w:color="auto"/>
          <w:color w:val="auto"/>
        </w:rPr>
        <w:t>Target Bonus</w:t>
      </w:r>
      <w:r>
        <w:rPr>
          <w:rFonts w:ascii="Times New Roman" w:cs="Times New Roman" w:eastAsia="Times New Roman" w:hAnsi="Times New Roman"/>
          <w:sz w:val="18"/>
          <w:szCs w:val="18"/>
          <w:color w:val="auto"/>
        </w:rPr>
        <w:t>”) based on Base Salary as set forth in Section 6(a) (reflecting as applicable any increases in such amount). The actual Annual Bonus payable to the Executive with respect to a performance period will be determined by the Compensation Committee based on achieving performance goals and objectives for such calendar year as reasonably determined by the Compensation Committee. The Executive’s Annual Bonus shall be paid as soon as administratively practicable after the end of the performance period, but in no event later than the March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immediately following such period; provided, that the Executive must remain continuously employed by the Company through the date on which the Board approves the actual Annual Bonus amount payable to the Executive to be eligible to receive bonus (except as otherwise provided in Section 4(c) or 5(a)). Notwithstanding anything herein to the contrary, the Executive’s Annual Bonus in respect of calendar year 2022 shall be calculated based upon a blended rate base salary, which factors in the Executive’s base salary rates in effect during calendar year 2022 for the Executive’s service as Chief Operating Officer, Interim CEO and CEO, pro-rated based on the portion of calendar year 2022 during which the Executive served in each such position.</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7" w:name="page8"/>
    <w:bookmarkEnd w:id="7"/>
    <w:p>
      <w:pPr>
        <w:ind w:right="80" w:firstLine="987"/>
        <w:spacing w:after="0" w:line="261" w:lineRule="auto"/>
        <w:tabs>
          <w:tab w:leader="none" w:pos="12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Expenses</w:t>
      </w:r>
      <w:r>
        <w:rPr>
          <w:rFonts w:ascii="Times New Roman" w:cs="Times New Roman" w:eastAsia="Times New Roman" w:hAnsi="Times New Roman"/>
          <w:sz w:val="18"/>
          <w:szCs w:val="18"/>
          <w:color w:val="auto"/>
        </w:rPr>
        <w:t>. The Company shall promptly pay or reimburse the Executive for all reasonable expenses incurred by the Executive while performing services hereunder, including but not limited to travel expenses and attendance at industry events, in accordance with the policies and procedures then in effect and established by the Company for its executive officers, but in no event later than thirty (30) days following submission of a reimbursement request in accordance with such policies or procedures.</w:t>
      </w:r>
    </w:p>
    <w:p>
      <w:pPr>
        <w:spacing w:after="0" w:line="71" w:lineRule="exact"/>
        <w:rPr>
          <w:rFonts w:ascii="Times New Roman" w:cs="Times New Roman" w:eastAsia="Times New Roman" w:hAnsi="Times New Roman"/>
          <w:sz w:val="18"/>
          <w:szCs w:val="18"/>
          <w:color w:val="auto"/>
        </w:rPr>
      </w:pPr>
    </w:p>
    <w:p>
      <w:pPr>
        <w:ind w:right="360" w:firstLine="987"/>
        <w:spacing w:after="0" w:line="282" w:lineRule="auto"/>
        <w:tabs>
          <w:tab w:leader="none" w:pos="1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Benefits</w:t>
      </w:r>
      <w:r>
        <w:rPr>
          <w:rFonts w:ascii="Times New Roman" w:cs="Times New Roman" w:eastAsia="Times New Roman" w:hAnsi="Times New Roman"/>
          <w:sz w:val="18"/>
          <w:szCs w:val="18"/>
          <w:color w:val="auto"/>
        </w:rPr>
        <w:t>. The Executive shall be eligible to participate in or receive benefits under the Company’s employee benefit plans in effect from time to time, subject to the terms of such plans.</w:t>
      </w:r>
    </w:p>
    <w:p>
      <w:pPr>
        <w:spacing w:after="0" w:line="53" w:lineRule="exact"/>
        <w:rPr>
          <w:rFonts w:ascii="Times New Roman" w:cs="Times New Roman" w:eastAsia="Times New Roman" w:hAnsi="Times New Roman"/>
          <w:sz w:val="18"/>
          <w:szCs w:val="18"/>
          <w:color w:val="auto"/>
        </w:rPr>
      </w:pPr>
    </w:p>
    <w:p>
      <w:pPr>
        <w:ind w:right="140" w:firstLine="987"/>
        <w:spacing w:after="0" w:line="282" w:lineRule="auto"/>
        <w:tabs>
          <w:tab w:leader="none" w:pos="12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Paid Time Off</w:t>
      </w:r>
      <w:r>
        <w:rPr>
          <w:rFonts w:ascii="Times New Roman" w:cs="Times New Roman" w:eastAsia="Times New Roman" w:hAnsi="Times New Roman"/>
          <w:sz w:val="18"/>
          <w:szCs w:val="18"/>
          <w:color w:val="auto"/>
        </w:rPr>
        <w:t>. The Executive shall be entitled to take paid time off in accordance with the Company’s applicable paid time off policy for executives, as may be in effect from time to time.</w:t>
      </w:r>
    </w:p>
    <w:p>
      <w:pPr>
        <w:spacing w:after="0" w:line="53" w:lineRule="exact"/>
        <w:rPr>
          <w:rFonts w:ascii="Times New Roman" w:cs="Times New Roman" w:eastAsia="Times New Roman" w:hAnsi="Times New Roman"/>
          <w:sz w:val="18"/>
          <w:szCs w:val="18"/>
          <w:color w:val="auto"/>
        </w:rPr>
      </w:pPr>
    </w:p>
    <w:p>
      <w:pPr>
        <w:ind w:right="40" w:firstLine="987"/>
        <w:spacing w:after="0" w:line="282" w:lineRule="auto"/>
        <w:tabs>
          <w:tab w:leader="none" w:pos="12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Ownership Guidelines</w:t>
      </w:r>
      <w:r>
        <w:rPr>
          <w:rFonts w:ascii="Times New Roman" w:cs="Times New Roman" w:eastAsia="Times New Roman" w:hAnsi="Times New Roman"/>
          <w:sz w:val="18"/>
          <w:szCs w:val="18"/>
          <w:color w:val="auto"/>
        </w:rPr>
        <w:t>. The Executive shall be subject to the Company’s Executive Stock Ownership Guidelines while providing services under this Agreement.</w:t>
      </w:r>
    </w:p>
    <w:p>
      <w:pPr>
        <w:spacing w:after="0" w:line="53"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Grants</w:t>
      </w:r>
      <w:r>
        <w:rPr>
          <w:rFonts w:ascii="Times New Roman" w:cs="Times New Roman" w:eastAsia="Times New Roman" w:hAnsi="Times New Roman"/>
          <w:sz w:val="18"/>
          <w:szCs w:val="18"/>
          <w:color w:val="auto"/>
        </w:rPr>
        <w:t>. On the Effective Date, the Company shall grant to the Executive an award of stock options under the Adagio Therapeutics, Inc. 2021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with respect to 2,000,000 common shares of the Company’s stock, with an exercise price equal to the stock’s fair market value on the grant date and with further terms to be contained in the grant agreement. The vesting schedule for such grant shall call for pro rata vesting, in equal amounts over 48 months, commencing with the grant date. In addition, if the goals approved by the Board on the recommendation of the Compensation Committee on the date hereof in connection with the execution of this Agreement are achieved or partially achieved on or prior to December 31, 2022, as approved by the Board on the determination and recommendation of the Compensation Committee, then, on or promptly following (but no later than the next business day following) the date on which the Board approves, in good faith, in its sole and absolute discretion, the achievement or partial achievement of such goals, the Company shall grant to the Executive an award of stock options to purchase 1,000,000 common shares of the Company’s stock or a portion thereof if the goals were partially achieved, such partial amount to be determined by the Board in its sole and absolute discretion, with an exercise price equal to the stock’s fair market value on the grant date, with the vesting schedule for such grant to be pro rata vesting, in equal amounts over 48 months, commencing with the grant date and with further terms to be contained in the grant agreement. Each stock option award described in this Section 2(g) shall be subject to the terms of the Plan and the underlying grant agreements, and subject to the provisions of Sections 5(c), 5(d) and 6(c), as applicable.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8" w:name="page9"/>
    <w:bookmarkEnd w:id="8"/>
    <w:p>
      <w:pPr>
        <w:ind w:left="-40" w:right="880" w:firstLine="436"/>
        <w:spacing w:after="0" w:line="282" w:lineRule="auto"/>
        <w:tabs>
          <w:tab w:leader="none" w:pos="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w:t>
      </w:r>
      <w:r>
        <w:rPr>
          <w:rFonts w:ascii="Times New Roman" w:cs="Times New Roman" w:eastAsia="Times New Roman" w:hAnsi="Times New Roman"/>
          <w:sz w:val="18"/>
          <w:szCs w:val="18"/>
          <w:color w:val="auto"/>
        </w:rPr>
        <w:t>. The Executive’s employment hereunder may be terminated without any breach of this Agreement under the following circumstances:</w:t>
      </w:r>
    </w:p>
    <w:p>
      <w:pPr>
        <w:spacing w:after="0" w:line="53"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The Executive’s employment hereunder shall terminate upon death.</w:t>
      </w:r>
    </w:p>
    <w:p>
      <w:pPr>
        <w:spacing w:after="0" w:line="117" w:lineRule="exact"/>
        <w:rPr>
          <w:rFonts w:ascii="Times New Roman" w:cs="Times New Roman" w:eastAsia="Times New Roman" w:hAnsi="Times New Roman"/>
          <w:sz w:val="18"/>
          <w:szCs w:val="18"/>
          <w:color w:val="auto"/>
        </w:rPr>
      </w:pPr>
    </w:p>
    <w:p>
      <w:pPr>
        <w:ind w:left="-40" w:right="20" w:firstLine="987"/>
        <w:spacing w:after="0" w:line="253" w:lineRule="auto"/>
        <w:tabs>
          <w:tab w:leader="none" w:pos="120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xml:space="preserve">. The Company may terminate the Executive’s employment if the Executive is disabled and unable to perform or expected to be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 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and the Americans with Disabilities Act, 42 U.S.C. §12101 </w:t>
      </w:r>
      <w:r>
        <w:rPr>
          <w:rFonts w:ascii="Times New Roman" w:cs="Times New Roman" w:eastAsia="Times New Roman" w:hAnsi="Times New Roman"/>
          <w:sz w:val="18"/>
          <w:szCs w:val="18"/>
          <w:i w:val="1"/>
          <w:iCs w:val="1"/>
          <w:color w:val="auto"/>
        </w:rPr>
        <w:t>et seq.</w:t>
      </w:r>
    </w:p>
    <w:p>
      <w:pPr>
        <w:spacing w:after="0" w:line="83" w:lineRule="exact"/>
        <w:rPr>
          <w:rFonts w:ascii="Times New Roman" w:cs="Times New Roman" w:eastAsia="Times New Roman" w:hAnsi="Times New Roman"/>
          <w:sz w:val="18"/>
          <w:szCs w:val="18"/>
          <w:color w:val="auto"/>
        </w:rPr>
      </w:pPr>
    </w:p>
    <w:p>
      <w:pPr>
        <w:ind w:left="-40" w:right="60" w:firstLine="987"/>
        <w:spacing w:after="0" w:line="282" w:lineRule="auto"/>
        <w:tabs>
          <w:tab w:leader="none" w:pos="11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Company for Cause</w:t>
      </w:r>
      <w:r>
        <w:rPr>
          <w:rFonts w:ascii="Times New Roman" w:cs="Times New Roman" w:eastAsia="Times New Roman" w:hAnsi="Times New Roman"/>
          <w:sz w:val="18"/>
          <w:szCs w:val="18"/>
          <w:color w:val="auto"/>
        </w:rPr>
        <w:t>. The Company may terminate the Executive’s employment hereunder for Cause. For purposes of this Agreement, “</w:t>
      </w:r>
      <w:r>
        <w:rPr>
          <w:rFonts w:ascii="Times New Roman" w:cs="Times New Roman" w:eastAsia="Times New Roman" w:hAnsi="Times New Roman"/>
          <w:sz w:val="18"/>
          <w:szCs w:val="18"/>
          <w:b w:val="1"/>
          <w:bCs w:val="1"/>
          <w:i w:val="1"/>
          <w:iCs w:val="1"/>
          <w:u w:val="single" w:color="auto"/>
          <w:color w:val="auto"/>
        </w:rPr>
        <w:t>Cause</w:t>
      </w:r>
      <w:r>
        <w:rPr>
          <w:rFonts w:ascii="Times New Roman" w:cs="Times New Roman" w:eastAsia="Times New Roman" w:hAnsi="Times New Roman"/>
          <w:sz w:val="18"/>
          <w:szCs w:val="18"/>
          <w:color w:val="auto"/>
        </w:rPr>
        <w:t>” shall mean any of the following:</w:t>
      </w:r>
    </w:p>
    <w:p>
      <w:pPr>
        <w:spacing w:after="0" w:line="53" w:lineRule="exact"/>
        <w:rPr>
          <w:rFonts w:ascii="Times New Roman" w:cs="Times New Roman" w:eastAsia="Times New Roman" w:hAnsi="Times New Roman"/>
          <w:sz w:val="18"/>
          <w:szCs w:val="18"/>
          <w:color w:val="auto"/>
        </w:rPr>
      </w:pPr>
    </w:p>
    <w:p>
      <w:pPr>
        <w:ind w:left="940" w:firstLine="408"/>
        <w:spacing w:after="0" w:line="266" w:lineRule="auto"/>
        <w:tabs>
          <w:tab w:leader="none" w:pos="1556"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unauthorized use or disclosure of confidential information or trade secrets of the Company for Executive’s benefit or any material breach of a written agreement between the Executive and the Company, including without limitation a material breach of this Agreement or the Restrictive Covenants Agreement;</w:t>
      </w:r>
    </w:p>
    <w:p>
      <w:pPr>
        <w:spacing w:after="0" w:line="67" w:lineRule="exact"/>
        <w:rPr>
          <w:rFonts w:ascii="Times New Roman" w:cs="Times New Roman" w:eastAsia="Times New Roman" w:hAnsi="Times New Roman"/>
          <w:sz w:val="18"/>
          <w:szCs w:val="18"/>
          <w:color w:val="auto"/>
        </w:rPr>
      </w:pPr>
    </w:p>
    <w:p>
      <w:pPr>
        <w:ind w:left="940" w:firstLine="408"/>
        <w:spacing w:after="0" w:line="266" w:lineRule="auto"/>
        <w:tabs>
          <w:tab w:leader="none" w:pos="1606"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conviction of, or pleading no contest to, a felony under the laws of the United States or any state thereof (other than in connection with a traffic violation that does not result in imprisonment) or any crime that results in the Executive’s incarceration in a federal, state, or local jail or prison;</w:t>
      </w:r>
    </w:p>
    <w:p>
      <w:pPr>
        <w:spacing w:after="0" w:line="67" w:lineRule="exact"/>
        <w:rPr>
          <w:rFonts w:ascii="Times New Roman" w:cs="Times New Roman" w:eastAsia="Times New Roman" w:hAnsi="Times New Roman"/>
          <w:sz w:val="18"/>
          <w:szCs w:val="18"/>
          <w:color w:val="auto"/>
        </w:rPr>
      </w:pPr>
    </w:p>
    <w:p>
      <w:pPr>
        <w:ind w:left="940" w:right="160" w:firstLine="408"/>
        <w:spacing w:after="0" w:line="258" w:lineRule="auto"/>
        <w:tabs>
          <w:tab w:leader="none" w:pos="1656"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material and willful misconduct in the performance of the Executive’s duties or the Executive’s willful or repeated failure or refusal to substantially perform assigned duties (other than any such failure of refusal resulting from the Executive’s incapacity due to physical or mental illness or any such actual or anticipated failure after the issuance of a notice of Good Reason by the Executive pursuant to Section 3(e) hereof), in any case, which willful misconduct, failure or refusal has continued for more than thirty (30) days following written notice from the Board of such willful misconduct, failure or refusal;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80" w:top="270" w:right="499" w:bottom="1440" w:gutter="0" w:footer="0" w:header="0"/>
        </w:sectPr>
      </w:pPr>
    </w:p>
    <w:bookmarkStart w:id="9" w:name="page10"/>
    <w:bookmarkEnd w:id="9"/>
    <w:p>
      <w:pPr>
        <w:ind w:left="980" w:right="40" w:firstLine="408"/>
        <w:spacing w:after="0" w:line="282" w:lineRule="auto"/>
        <w:tabs>
          <w:tab w:leader="none" w:pos="16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act of fraud, embezzlement or material misappropriation committed by the Executive against the Company (other than good faith expense account disputes);</w:t>
      </w:r>
    </w:p>
    <w:p>
      <w:pPr>
        <w:spacing w:after="0" w:line="53" w:lineRule="exact"/>
        <w:rPr>
          <w:rFonts w:ascii="Times New Roman" w:cs="Times New Roman" w:eastAsia="Times New Roman" w:hAnsi="Times New Roman"/>
          <w:sz w:val="18"/>
          <w:szCs w:val="18"/>
          <w:color w:val="auto"/>
        </w:rPr>
      </w:pPr>
    </w:p>
    <w:p>
      <w:pPr>
        <w:ind w:left="980" w:firstLine="408"/>
        <w:spacing w:after="0" w:line="282" w:lineRule="auto"/>
        <w:tabs>
          <w:tab w:leader="none" w:pos="16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willful engaging by the Executive in any act that brings the Company into public disrepute or disgrace or causes material harm to the customer relations, operations or business prospects of the Company; or</w:t>
      </w:r>
    </w:p>
    <w:p>
      <w:pPr>
        <w:spacing w:after="0" w:line="53" w:lineRule="exact"/>
        <w:rPr>
          <w:rFonts w:ascii="Times New Roman" w:cs="Times New Roman" w:eastAsia="Times New Roman" w:hAnsi="Times New Roman"/>
          <w:sz w:val="18"/>
          <w:szCs w:val="18"/>
          <w:color w:val="auto"/>
        </w:rPr>
      </w:pPr>
    </w:p>
    <w:p>
      <w:pPr>
        <w:ind w:left="980" w:right="100" w:firstLine="408"/>
        <w:spacing w:after="0" w:line="261" w:lineRule="auto"/>
        <w:tabs>
          <w:tab w:leader="none" w:pos="168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80"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For purposes of this Section 3(c), no act, or failure to act, on the Executive’s part shall be deemed “willful” if done, or omitted to be done, by the Executive in good faith and with reasonable belief that the Executive’s act, or failure to act, was in the best interest of the Company.</w:t>
      </w:r>
    </w:p>
    <w:p>
      <w:pPr>
        <w:spacing w:after="0" w:line="16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It is agreed to by the parties that the below par or below average financial performance of the Company and/or its subsidiaries, in and of itself shall not constitute Cause for employment termination under this Agreement.</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 termination for Cause under this Section 3(c) (other than with respect to Section 3(c)(ii)) shall in no event become effective under the Agreement unless the provisions of this paragraph are complied with. The Executive must be given written notice by the Board of the intention to terminate Executive’s employment for Cause, such notice (A) to state in detail the act or acts or failure or failures to act that constitute the grounds on which the proposed termination for Cause is based and (B) to be given within three (3) months of the Board learning of such act or acts or failure or failures to act. The Executive shall have ten (10) days after the date that such written notice has been given to the Executive in which to cure such conduct, to the extent such cure is possible. If the Executive fails to cure such conduct, the Executive shall thereupon be terminated for Cause.</w:t>
      </w:r>
    </w:p>
    <w:p>
      <w:pPr>
        <w:spacing w:after="0" w:line="187" w:lineRule="exact"/>
        <w:rPr>
          <w:sz w:val="20"/>
          <w:szCs w:val="20"/>
          <w:color w:val="auto"/>
        </w:rPr>
      </w:pPr>
    </w:p>
    <w:p>
      <w:pPr>
        <w:jc w:val="both"/>
        <w:ind w:right="40" w:firstLine="987"/>
        <w:spacing w:after="0" w:line="289" w:lineRule="auto"/>
        <w:tabs>
          <w:tab w:leader="none" w:pos="124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by the Company without Cause</w:t>
      </w:r>
      <w:r>
        <w:rPr>
          <w:rFonts w:ascii="Times New Roman" w:cs="Times New Roman" w:eastAsia="Times New Roman" w:hAnsi="Times New Roman"/>
          <w:sz w:val="17"/>
          <w:szCs w:val="17"/>
          <w:color w:val="auto"/>
        </w:rPr>
        <w:t>. The Company may terminate the Executive’s employment hereunder at any time without Cause. Any termination by the Company of the Executive’s employment under this Agreement which does not constitute a termination for Cause under Section 3(c) and does not result from the death or disability of the Executive under Section 3(a) or 3(b) shall be deemed a termination without Cause.</w:t>
      </w:r>
    </w:p>
    <w:p>
      <w:pPr>
        <w:spacing w:after="0" w:line="49" w:lineRule="exact"/>
        <w:rPr>
          <w:rFonts w:ascii="Times New Roman" w:cs="Times New Roman" w:eastAsia="Times New Roman" w:hAnsi="Times New Roman"/>
          <w:sz w:val="17"/>
          <w:szCs w:val="17"/>
          <w:color w:val="auto"/>
        </w:rPr>
      </w:pPr>
    </w:p>
    <w:p>
      <w:pPr>
        <w:ind w:right="240" w:firstLine="987"/>
        <w:spacing w:after="0" w:line="261" w:lineRule="auto"/>
        <w:tabs>
          <w:tab w:leader="none" w:pos="12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by the Executive</w:t>
      </w:r>
      <w:r>
        <w:rPr>
          <w:rFonts w:ascii="Times New Roman" w:cs="Times New Roman" w:eastAsia="Times New Roman" w:hAnsi="Times New Roman"/>
          <w:sz w:val="18"/>
          <w:szCs w:val="18"/>
          <w:color w:val="auto"/>
        </w:rPr>
        <w:t>. The Executive may terminate employment hereunder at any time for any reason, including but not limited to, Good Reason. For purposes of this Agreement, “</w:t>
      </w:r>
      <w:r>
        <w:rPr>
          <w:rFonts w:ascii="Times New Roman" w:cs="Times New Roman" w:eastAsia="Times New Roman" w:hAnsi="Times New Roman"/>
          <w:sz w:val="18"/>
          <w:szCs w:val="18"/>
          <w:b w:val="1"/>
          <w:bCs w:val="1"/>
          <w:i w:val="1"/>
          <w:iCs w:val="1"/>
          <w:u w:val="single" w:color="auto"/>
          <w:color w:val="auto"/>
        </w:rPr>
        <w:t>Good Reason</w:t>
      </w:r>
      <w:r>
        <w:rPr>
          <w:rFonts w:ascii="Times New Roman" w:cs="Times New Roman" w:eastAsia="Times New Roman" w:hAnsi="Times New Roman"/>
          <w:sz w:val="18"/>
          <w:szCs w:val="18"/>
          <w:color w:val="auto"/>
        </w:rPr>
        <w:t>” shall mean that the Executive has completed all steps of the Good Reason Process (hereinafter defined) following the occurrence of any of the following events without the Executive’s consent (each, a “</w:t>
      </w:r>
      <w:r>
        <w:rPr>
          <w:rFonts w:ascii="Times New Roman" w:cs="Times New Roman" w:eastAsia="Times New Roman" w:hAnsi="Times New Roman"/>
          <w:sz w:val="18"/>
          <w:szCs w:val="18"/>
          <w:b w:val="1"/>
          <w:bCs w:val="1"/>
          <w:i w:val="1"/>
          <w:iCs w:val="1"/>
          <w:u w:val="single" w:color="auto"/>
          <w:color w:val="auto"/>
        </w:rPr>
        <w:t>Good Reason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auto"/>
        </w:rPr>
        <w:t>Condition</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10" w:name="page11"/>
    <w:bookmarkEnd w:id="10"/>
    <w:p>
      <w:pPr>
        <w:ind w:left="1600" w:hanging="212"/>
        <w:spacing w:after="0"/>
        <w:tabs>
          <w:tab w:leader="none" w:pos="16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material diminution in the Executive’s title, responsibilities, authority or duties;</w:t>
      </w:r>
    </w:p>
    <w:p>
      <w:pPr>
        <w:spacing w:after="0" w:line="117" w:lineRule="exact"/>
        <w:rPr>
          <w:rFonts w:ascii="Times New Roman" w:cs="Times New Roman" w:eastAsia="Times New Roman" w:hAnsi="Times New Roman"/>
          <w:sz w:val="18"/>
          <w:szCs w:val="18"/>
          <w:color w:val="auto"/>
        </w:rPr>
      </w:pPr>
    </w:p>
    <w:p>
      <w:pPr>
        <w:ind w:left="980" w:firstLine="408"/>
        <w:spacing w:after="0" w:line="266" w:lineRule="auto"/>
        <w:tabs>
          <w:tab w:leader="none" w:pos="164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(as defined in the Plan) following which either: (A) there is a material reduction in the budget over which the Executive retains authority or (B) the Executive is not CEO of the Company or, if the Company becomes a subsidiary of one or more entities following the Change in Control, the post-consummation ultimate parent entity of the Company; or</w:t>
      </w:r>
    </w:p>
    <w:p>
      <w:pPr>
        <w:spacing w:after="0" w:line="67" w:lineRule="exact"/>
        <w:rPr>
          <w:rFonts w:ascii="Times New Roman" w:cs="Times New Roman" w:eastAsia="Times New Roman" w:hAnsi="Times New Roman"/>
          <w:sz w:val="18"/>
          <w:szCs w:val="18"/>
          <w:color w:val="auto"/>
        </w:rPr>
      </w:pPr>
    </w:p>
    <w:p>
      <w:pPr>
        <w:ind w:left="980" w:right="40" w:firstLine="408"/>
        <w:spacing w:after="0" w:line="256" w:lineRule="auto"/>
        <w:tabs>
          <w:tab w:leader="none" w:pos="169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breach of this Agreement by the Company, including without limitation, a reduction of the Executive’s Base Salary or Target Bonus in violation of Section 2(a) or 2(b) (except for across-the-board salary reductions of not more than ten percent (10%) similarly affecting all or substantially all senior management employees of the Company), a relocation of the Executive’s place of employment to any location that is greater than twenty (20) miles from the Executive’s home office, or the failure of the Company to obtain the assumption in writing of the Company’s obligations to the Executive under this Agreement by any successor as required under Section 13 below.</w:t>
      </w:r>
    </w:p>
    <w:p>
      <w:pPr>
        <w:spacing w:after="0" w:line="183"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 Process</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i w:val="1"/>
          <w:iCs w:val="1"/>
          <w:u w:val="single" w:color="auto"/>
          <w:color w:val="auto"/>
        </w:rPr>
        <w:t>Good Reason Process</w:t>
      </w:r>
      <w:r>
        <w:rPr>
          <w:rFonts w:ascii="Times New Roman" w:cs="Times New Roman" w:eastAsia="Times New Roman" w:hAnsi="Times New Roman"/>
          <w:sz w:val="18"/>
          <w:szCs w:val="18"/>
          <w:color w:val="auto"/>
        </w:rPr>
        <w:t>” consists of the following steps:</w:t>
      </w:r>
    </w:p>
    <w:p>
      <w:pPr>
        <w:spacing w:after="0" w:line="121"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reasonably determines in good faith that a Good Reason Condition has occurred;</w:t>
      </w:r>
    </w:p>
    <w:p>
      <w:pPr>
        <w:spacing w:after="0" w:line="117" w:lineRule="exact"/>
        <w:rPr>
          <w:rFonts w:ascii="Times New Roman" w:cs="Times New Roman" w:eastAsia="Times New Roman" w:hAnsi="Times New Roman"/>
          <w:sz w:val="18"/>
          <w:szCs w:val="18"/>
          <w:color w:val="auto"/>
        </w:rPr>
      </w:pPr>
    </w:p>
    <w:p>
      <w:pPr>
        <w:ind w:left="980" w:right="60" w:firstLine="408"/>
        <w:spacing w:after="0" w:line="282" w:lineRule="auto"/>
        <w:tabs>
          <w:tab w:leader="none" w:pos="164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notifies the Company in writing of the first occurrence of the Good Reason Condition within sixty (60) days of the first occurrence of such condition;</w:t>
      </w:r>
    </w:p>
    <w:p>
      <w:pPr>
        <w:spacing w:after="0" w:line="53" w:lineRule="exact"/>
        <w:rPr>
          <w:rFonts w:ascii="Times New Roman" w:cs="Times New Roman" w:eastAsia="Times New Roman" w:hAnsi="Times New Roman"/>
          <w:sz w:val="18"/>
          <w:szCs w:val="18"/>
          <w:color w:val="auto"/>
        </w:rPr>
      </w:pPr>
    </w:p>
    <w:p>
      <w:pPr>
        <w:ind w:left="980" w:right="180" w:firstLine="408"/>
        <w:spacing w:after="0" w:line="282" w:lineRule="auto"/>
        <w:tabs>
          <w:tab w:leader="none" w:pos="169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cooperates in good faith with the Company’s efforts, for a period of not less than thirty (30) days following such notice (the “</w:t>
      </w:r>
      <w:r>
        <w:rPr>
          <w:rFonts w:ascii="Times New Roman" w:cs="Times New Roman" w:eastAsia="Times New Roman" w:hAnsi="Times New Roman"/>
          <w:sz w:val="18"/>
          <w:szCs w:val="18"/>
          <w:b w:val="1"/>
          <w:bCs w:val="1"/>
          <w:i w:val="1"/>
          <w:iCs w:val="1"/>
          <w:u w:val="single" w:color="auto"/>
          <w:color w:val="auto"/>
        </w:rPr>
        <w:t>Cure Period</w:t>
      </w:r>
      <w:r>
        <w:rPr>
          <w:rFonts w:ascii="Times New Roman" w:cs="Times New Roman" w:eastAsia="Times New Roman" w:hAnsi="Times New Roman"/>
          <w:sz w:val="18"/>
          <w:szCs w:val="18"/>
          <w:color w:val="auto"/>
        </w:rPr>
        <w:t>”), to remedy the Good Reason Condition;</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such efforts, the Good Reason Condition continues to exist at the end of the Cure Period; and</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 terminates employment within sixty (60) days after the end of the Cure Period.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Company cures the Good Reason Condition during the Cure Period, Good Reason shall be deemed not to have occurred.</w:t>
      </w:r>
    </w:p>
    <w:p>
      <w:pPr>
        <w:spacing w:after="0" w:line="225" w:lineRule="exact"/>
        <w:rPr>
          <w:sz w:val="20"/>
          <w:szCs w:val="20"/>
          <w:color w:val="auto"/>
        </w:rPr>
      </w:pPr>
    </w:p>
    <w:p>
      <w:pPr>
        <w:ind w:left="620" w:hanging="184"/>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Matters Related to Termination</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11" w:name="page12"/>
    <w:bookmarkEnd w:id="11"/>
    <w:p>
      <w:pPr>
        <w:ind w:left="4" w:right="180" w:firstLine="987"/>
        <w:spacing w:after="0" w:line="289" w:lineRule="auto"/>
        <w:tabs>
          <w:tab w:leader="none" w:pos="1240" w:val="left"/>
        </w:tabs>
        <w:numPr>
          <w:ilvl w:val="2"/>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Termination</w:t>
      </w:r>
      <w:r>
        <w:rPr>
          <w:rFonts w:ascii="Times New Roman" w:cs="Times New Roman" w:eastAsia="Times New Roman" w:hAnsi="Times New Roman"/>
          <w:sz w:val="17"/>
          <w:szCs w:val="17"/>
          <w:color w:val="auto"/>
        </w:rPr>
        <w:t>. Except for termination as specified in Section 3(a), any termination of the Executive’s employment by the Company or any such termination by the Executive shall be communicated by written Notice of Termination to the other party hereto. For purposes of this Agreement, a “</w:t>
      </w:r>
      <w:r>
        <w:rPr>
          <w:rFonts w:ascii="Times New Roman" w:cs="Times New Roman" w:eastAsia="Times New Roman" w:hAnsi="Times New Roman"/>
          <w:sz w:val="17"/>
          <w:szCs w:val="17"/>
          <w:b w:val="1"/>
          <w:bCs w:val="1"/>
          <w:i w:val="1"/>
          <w:iCs w:val="1"/>
          <w:u w:val="single" w:color="auto"/>
          <w:color w:val="auto"/>
        </w:rPr>
        <w:t>Notice of Termination</w:t>
      </w:r>
      <w:r>
        <w:rPr>
          <w:rFonts w:ascii="Times New Roman" w:cs="Times New Roman" w:eastAsia="Times New Roman" w:hAnsi="Times New Roman"/>
          <w:sz w:val="17"/>
          <w:szCs w:val="17"/>
          <w:color w:val="auto"/>
        </w:rPr>
        <w:t>” shall mean a notice which shall indicate the specific termination provision in this Agreement relied upon.</w:t>
      </w:r>
    </w:p>
    <w:p>
      <w:pPr>
        <w:spacing w:after="0" w:line="45" w:lineRule="exact"/>
        <w:rPr>
          <w:rFonts w:ascii="Times New Roman" w:cs="Times New Roman" w:eastAsia="Times New Roman" w:hAnsi="Times New Roman"/>
          <w:sz w:val="17"/>
          <w:szCs w:val="17"/>
          <w:color w:val="auto"/>
        </w:rPr>
      </w:pPr>
    </w:p>
    <w:p>
      <w:pPr>
        <w:ind w:left="1244" w:hanging="253"/>
        <w:spacing w:after="0"/>
        <w:tabs>
          <w:tab w:leader="none" w:pos="1244" w:val="left"/>
        </w:tabs>
        <w:numPr>
          <w:ilvl w:val="2"/>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Termination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u w:val="single" w:color="auto"/>
          <w:color w:val="auto"/>
        </w:rPr>
        <w:t>Date of Termination</w:t>
      </w:r>
      <w:r>
        <w:rPr>
          <w:rFonts w:ascii="Times New Roman" w:cs="Times New Roman" w:eastAsia="Times New Roman" w:hAnsi="Times New Roman"/>
          <w:sz w:val="18"/>
          <w:szCs w:val="18"/>
          <w:color w:val="auto"/>
        </w:rPr>
        <w:t>” shall mean: (i) if the Executive’s employment is terminated by death, the date of death;</w:t>
      </w:r>
    </w:p>
    <w:p>
      <w:pPr>
        <w:spacing w:after="0" w:line="31" w:lineRule="exact"/>
        <w:rPr>
          <w:rFonts w:ascii="Times New Roman" w:cs="Times New Roman" w:eastAsia="Times New Roman" w:hAnsi="Times New Roman"/>
          <w:sz w:val="18"/>
          <w:szCs w:val="18"/>
          <w:color w:val="auto"/>
        </w:rPr>
      </w:pPr>
    </w:p>
    <w:p>
      <w:pPr>
        <w:ind w:left="4" w:right="20" w:hanging="4"/>
        <w:spacing w:after="0" w:line="250" w:lineRule="auto"/>
        <w:tabs>
          <w:tab w:leader="none" w:pos="26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employment is terminated on account of disability under Section 3(b) or by the Company for Cause under Section 3(c), the date on which Notice of Termination is given; (iii) if the Executive’s employment is terminated by the Company without Cause under Section 3(d), thirty</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days after the date on which a Notice of Termination is given or a later date otherwise specified by the Company in the Notice of Termination;</w:t>
      </w:r>
    </w:p>
    <w:p>
      <w:pPr>
        <w:spacing w:after="0" w:line="9"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employment is terminated by the Executive under Section 3(e) other than for Good Reason, thirty (30) days after the date on</w:t>
      </w:r>
    </w:p>
    <w:p>
      <w:pPr>
        <w:spacing w:after="0" w:line="9" w:lineRule="exact"/>
        <w:rPr>
          <w:rFonts w:ascii="Times New Roman" w:cs="Times New Roman" w:eastAsia="Times New Roman" w:hAnsi="Times New Roman"/>
          <w:sz w:val="18"/>
          <w:szCs w:val="18"/>
          <w:color w:val="auto"/>
        </w:rPr>
      </w:pPr>
    </w:p>
    <w:p>
      <w:pPr>
        <w:ind w:left="4" w:right="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a Notice of Termination is given, and (v) if the Executive’s employment is terminated by the Executive under Section 3(e) for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80" w:lineRule="exact"/>
        <w:rPr>
          <w:rFonts w:ascii="Times New Roman" w:cs="Times New Roman" w:eastAsia="Times New Roman" w:hAnsi="Times New Roman"/>
          <w:sz w:val="18"/>
          <w:szCs w:val="18"/>
          <w:color w:val="auto"/>
        </w:rPr>
      </w:pPr>
    </w:p>
    <w:p>
      <w:pPr>
        <w:ind w:left="4" w:firstLine="987"/>
        <w:spacing w:after="0" w:line="254" w:lineRule="auto"/>
        <w:tabs>
          <w:tab w:leader="none" w:pos="1240"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Obligations</w:t>
      </w:r>
      <w:r>
        <w:rPr>
          <w:rFonts w:ascii="Times New Roman" w:cs="Times New Roman" w:eastAsia="Times New Roman" w:hAnsi="Times New Roman"/>
          <w:sz w:val="18"/>
          <w:szCs w:val="18"/>
          <w:color w:val="auto"/>
        </w:rPr>
        <w:t>. If the Executive’s employment with the Company is terminated for any reason, the Company shall pay or provide to the Executive (or to the Executive’s authorized representative or estate) (i) any Base Salary earned through the Date of Termination; (ii) unpaid expense reimbursements (subject to, and in accordance with, Section 2(c) of this Agreement); and (iii) any vested benefits the Executive may have under any employee benefit plan or compensation arrangement of the Company (including equity compensation plans and insurance coverages) through the Date of Termination, which vested benefits shall be paid and/or provided in accordance with the terms of such employee benefit plans. In the event that the Executive terminates employment due to death or Disability (as defined in Section 3(b) above), the Executive (or in the case of death, the Executive’s estate) shall be entitled to receive the Earned Bonus (as defined in Section 5(a)) at the same time bonuses are paid to other employees who are actively employed by the Company. The amounts described under this Section 4(c) are referred to below as the “</w:t>
      </w:r>
      <w:r>
        <w:rPr>
          <w:rFonts w:ascii="Times New Roman" w:cs="Times New Roman" w:eastAsia="Times New Roman" w:hAnsi="Times New Roman"/>
          <w:sz w:val="18"/>
          <w:szCs w:val="18"/>
          <w:b w:val="1"/>
          <w:bCs w:val="1"/>
          <w:i w:val="1"/>
          <w:iCs w:val="1"/>
          <w:u w:val="single" w:color="auto"/>
          <w:color w:val="auto"/>
        </w:rPr>
        <w:t>Accrued Obligations</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left="4" w:right="180" w:firstLine="436"/>
        <w:spacing w:after="0" w:line="256" w:lineRule="auto"/>
        <w:tabs>
          <w:tab w:leader="none" w:pos="62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 and Benefits Upon Termination by the Company without Cause or by the Executive for Good Reason</w:t>
      </w:r>
      <w:r>
        <w:rPr>
          <w:rFonts w:ascii="Times New Roman" w:cs="Times New Roman" w:eastAsia="Times New Roman" w:hAnsi="Times New Roman"/>
          <w:sz w:val="18"/>
          <w:szCs w:val="18"/>
          <w:color w:val="auto"/>
        </w:rPr>
        <w:t xml:space="preserve">. If the Executive’s employment is terminated by the Company without Cause as provided in Section 3(d), or the Executive terminates employment for Good Reason as provided in Section 3(e), then, in addition to the Accrued Obligations, and subject to (i) the Executive signing a separation agreement and release in a form substantially the same as set forth in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i w:val="1"/>
          <w:iCs w:val="1"/>
          <w:u w:val="single" w:color="auto"/>
          <w:color w:val="auto"/>
        </w:rPr>
        <w:t>Separation Agreement</w:t>
      </w:r>
      <w:r>
        <w:rPr>
          <w:rFonts w:ascii="Times New Roman" w:cs="Times New Roman" w:eastAsia="Times New Roman" w:hAnsi="Times New Roman"/>
          <w:sz w:val="18"/>
          <w:szCs w:val="18"/>
          <w:color w:val="auto"/>
        </w:rPr>
        <w:t>”), which provides that if the Executive materially breaches any of the Continuing Obligations, all payments of the Severance Amount shall immediately cease, and (ii) the Separation Agreement becoming irrevocable, all within sixty (60) days after the Date of Termination (or such shorter period as set forth in the Separation Agreement):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2" w:name="page13"/>
    <w:bookmarkEnd w:id="12"/>
    <w:p>
      <w:pPr>
        <w:ind w:left="4" w:firstLine="987"/>
        <w:spacing w:after="0" w:line="256" w:lineRule="auto"/>
        <w:tabs>
          <w:tab w:leader="none" w:pos="12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Cash Severance</w:t>
      </w:r>
      <w:r>
        <w:rPr>
          <w:rFonts w:ascii="Times New Roman" w:cs="Times New Roman" w:eastAsia="Times New Roman" w:hAnsi="Times New Roman"/>
          <w:sz w:val="18"/>
          <w:szCs w:val="18"/>
          <w:color w:val="auto"/>
        </w:rPr>
        <w:t>. The Company shall pay the Executive an amount equal to the sum of (A) twelve (12) months’ of the Executive’s then-current Base Salary, and (B) the Executive’s Target Bonus for the then-current year (the “</w:t>
      </w:r>
      <w:r>
        <w:rPr>
          <w:rFonts w:ascii="Times New Roman" w:cs="Times New Roman" w:eastAsia="Times New Roman" w:hAnsi="Times New Roman"/>
          <w:sz w:val="18"/>
          <w:szCs w:val="18"/>
          <w:b w:val="1"/>
          <w:bCs w:val="1"/>
          <w:i w:val="1"/>
          <w:iCs w:val="1"/>
          <w:u w:val="single" w:color="auto"/>
          <w:color w:val="auto"/>
        </w:rPr>
        <w:t>Severance Amount</w:t>
      </w:r>
      <w:r>
        <w:rPr>
          <w:rFonts w:ascii="Times New Roman" w:cs="Times New Roman" w:eastAsia="Times New Roman" w:hAnsi="Times New Roman"/>
          <w:sz w:val="18"/>
          <w:szCs w:val="18"/>
          <w:color w:val="auto"/>
        </w:rPr>
        <w:t>”) and, in the event that the Executive’s employment is terminated after the end of the calendar year but prior to the payment of any Annual Bonus for the immediately preceding calendar year, the Executive shall be entitled to receive a lump sum payment of any unpaid Annual Bonus earned based on achievement of the applicable performance goals and objectives, without any reduction for individual performance, with respect to such immediately preceding calendar year (the “</w:t>
      </w:r>
      <w:r>
        <w:rPr>
          <w:rFonts w:ascii="Times New Roman" w:cs="Times New Roman" w:eastAsia="Times New Roman" w:hAnsi="Times New Roman"/>
          <w:sz w:val="18"/>
          <w:szCs w:val="18"/>
          <w:b w:val="1"/>
          <w:bCs w:val="1"/>
          <w:i w:val="1"/>
          <w:iCs w:val="1"/>
          <w:u w:val="single" w:color="auto"/>
          <w:color w:val="auto"/>
        </w:rPr>
        <w:t>Earned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auto"/>
        </w:rPr>
        <w:t>Bonus</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jc w:val="both"/>
        <w:ind w:left="4" w:right="180" w:firstLine="987"/>
        <w:spacing w:after="0" w:line="270" w:lineRule="auto"/>
        <w:tabs>
          <w:tab w:leader="none" w:pos="1250"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COBRA Premiums</w:t>
      </w:r>
      <w:r>
        <w:rPr>
          <w:rFonts w:ascii="Times New Roman" w:cs="Times New Roman" w:eastAsia="Times New Roman" w:hAnsi="Times New Roman"/>
          <w:sz w:val="17"/>
          <w:szCs w:val="17"/>
          <w:color w:val="auto"/>
        </w:rPr>
        <w:t>. Subject to the Executive’s copayment of premium amounts at the applicable active employees’ rate and the Executive’s proper election to receive benefits under the Consolidated Omnibus Budget Reconciliation Act of 1985, as amended (“</w:t>
      </w:r>
      <w:r>
        <w:rPr>
          <w:rFonts w:ascii="Times New Roman" w:cs="Times New Roman" w:eastAsia="Times New Roman" w:hAnsi="Times New Roman"/>
          <w:sz w:val="17"/>
          <w:szCs w:val="17"/>
          <w:b w:val="1"/>
          <w:bCs w:val="1"/>
          <w:i w:val="1"/>
          <w:iCs w:val="1"/>
          <w:u w:val="single" w:color="auto"/>
          <w:color w:val="auto"/>
        </w:rPr>
        <w:t>COBRA</w:t>
      </w:r>
      <w:r>
        <w:rPr>
          <w:rFonts w:ascii="Times New Roman" w:cs="Times New Roman" w:eastAsia="Times New Roman" w:hAnsi="Times New Roman"/>
          <w:sz w:val="17"/>
          <w:szCs w:val="17"/>
          <w:color w:val="auto"/>
        </w:rPr>
        <w:t>”),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w:t>
      </w:r>
    </w:p>
    <w:p>
      <w:pPr>
        <w:spacing w:after="0" w:line="2" w:lineRule="exact"/>
        <w:rPr>
          <w:rFonts w:ascii="Times New Roman" w:cs="Times New Roman" w:eastAsia="Times New Roman" w:hAnsi="Times New Roman"/>
          <w:sz w:val="17"/>
          <w:szCs w:val="17"/>
          <w:color w:val="auto"/>
        </w:rPr>
      </w:pPr>
    </w:p>
    <w:p>
      <w:pPr>
        <w:ind w:left="4" w:right="60" w:hanging="4"/>
        <w:spacing w:after="0" w:line="252" w:lineRule="auto"/>
        <w:tabs>
          <w:tab w:leader="none" w:pos="29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twelve (12) month anniversary of the Date of Termination; (B) the date that the Executive becomes eligible for group medical plan benefits 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81" w:lineRule="exact"/>
        <w:rPr>
          <w:rFonts w:ascii="Times New Roman" w:cs="Times New Roman" w:eastAsia="Times New Roman" w:hAnsi="Times New Roman"/>
          <w:sz w:val="18"/>
          <w:szCs w:val="18"/>
          <w:color w:val="auto"/>
        </w:rPr>
      </w:pPr>
    </w:p>
    <w:p>
      <w:pPr>
        <w:ind w:left="4" w:firstLine="987"/>
        <w:spacing w:after="0" w:line="252" w:lineRule="auto"/>
        <w:tabs>
          <w:tab w:leader="none" w:pos="12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Delayed Forfeiture of Time-Based Equity Awards</w:t>
      </w:r>
      <w:r>
        <w:rPr>
          <w:rFonts w:ascii="Times New Roman" w:cs="Times New Roman" w:eastAsia="Times New Roman" w:hAnsi="Times New Roman"/>
          <w:sz w:val="18"/>
          <w:szCs w:val="18"/>
          <w:color w:val="auto"/>
        </w:rPr>
        <w:t>. Notwithstanding anything to the contrary in any Equity Awards subject to vesting solely on account of completing periods of covered employment or service (collectively, the “</w:t>
      </w:r>
      <w:r>
        <w:rPr>
          <w:rFonts w:ascii="Times New Roman" w:cs="Times New Roman" w:eastAsia="Times New Roman" w:hAnsi="Times New Roman"/>
          <w:sz w:val="18"/>
          <w:szCs w:val="18"/>
          <w:b w:val="1"/>
          <w:bCs w:val="1"/>
          <w:i w:val="1"/>
          <w:iCs w:val="1"/>
          <w:u w:val="single" w:color="auto"/>
          <w:color w:val="auto"/>
        </w:rPr>
        <w:t>Time-Based Equity Awards</w:t>
      </w:r>
      <w:r>
        <w:rPr>
          <w:rFonts w:ascii="Times New Roman" w:cs="Times New Roman" w:eastAsia="Times New Roman" w:hAnsi="Times New Roman"/>
          <w:sz w:val="18"/>
          <w:szCs w:val="18"/>
          <w:color w:val="auto"/>
        </w:rPr>
        <w:t>”), if the Separation Agreement becomes effective, the unvested portions of all Time-Based Equity Awards shall not terminate or be forfeited on the Date of Termination, but rather shall remain outstanding until one-hundred eighty days (180) days after the Date of Termination (the “</w:t>
      </w:r>
      <w:r>
        <w:rPr>
          <w:rFonts w:ascii="Times New Roman" w:cs="Times New Roman" w:eastAsia="Times New Roman" w:hAnsi="Times New Roman"/>
          <w:sz w:val="18"/>
          <w:szCs w:val="18"/>
          <w:b w:val="1"/>
          <w:bCs w:val="1"/>
          <w:i w:val="1"/>
          <w:iCs w:val="1"/>
          <w:u w:val="single" w:color="auto"/>
          <w:color w:val="auto"/>
        </w:rPr>
        <w:t>Pre-CIC Protection Period</w:t>
      </w:r>
      <w:r>
        <w:rPr>
          <w:rFonts w:ascii="Times New Roman" w:cs="Times New Roman" w:eastAsia="Times New Roman" w:hAnsi="Times New Roman"/>
          <w:sz w:val="18"/>
          <w:szCs w:val="18"/>
          <w:color w:val="auto"/>
        </w:rPr>
        <w:t>”). If the Company has not, prior to the end of the Pre-CIC Protection Period, entered into a definitive agreement that, if closed, would result in a Change in Control (a “</w:t>
      </w:r>
      <w:r>
        <w:rPr>
          <w:rFonts w:ascii="Times New Roman" w:cs="Times New Roman" w:eastAsia="Times New Roman" w:hAnsi="Times New Roman"/>
          <w:sz w:val="18"/>
          <w:szCs w:val="18"/>
          <w:b w:val="1"/>
          <w:bCs w:val="1"/>
          <w:i w:val="1"/>
          <w:iCs w:val="1"/>
          <w:u w:val="single" w:color="auto"/>
          <w:color w:val="auto"/>
        </w:rPr>
        <w:t>P&amp;S Agreement</w:t>
      </w:r>
      <w:r>
        <w:rPr>
          <w:rFonts w:ascii="Times New Roman" w:cs="Times New Roman" w:eastAsia="Times New Roman" w:hAnsi="Times New Roman"/>
          <w:sz w:val="18"/>
          <w:szCs w:val="18"/>
          <w:color w:val="auto"/>
        </w:rPr>
        <w:t>”), then the unvested portion of the Time-Based Equity Awards shall terminate and be forfeited. If the Company, prior the end of the Pre-CIC Protection Period, enters into a P&amp;S Agreement, then the Time-Based Equity Awards shall remain outstanding and become fully vested upon a Change in Control resulting from such agreement. Time-Based Equity Awards shall terminate and be forfeited if the Company abandons a sale of the Company as contemplated under the P&amp;S Agreement entered into during the Pre-CIC Protection Period. No additional vesting of the Time-Based Equity Awards shall occur following the Date of Termination except on account of a Change in Control during or after the Pre-CIC Protection Period as specifically provided above. Notwithstanding anything contained herein to the contrary, each Time-Based Equity Award that is outstanding immediately prior to the original expiration date applicable to such Time-Based Equity Award shall terminate and be forfeited on such original expiration date. For the avoidance of doubt, any unvested Performance-Based Equity Awards shall terminate and be forfeited on the Date of Termination unless otherwise provided by the terms of the Plan or the applicable award agreement.</w:t>
      </w:r>
    </w:p>
    <w:p>
      <w:pPr>
        <w:spacing w:after="0" w:line="13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70" w:right="459" w:bottom="1440" w:gutter="0" w:footer="0" w:header="0"/>
        </w:sectPr>
      </w:pPr>
    </w:p>
    <w:bookmarkStart w:id="13" w:name="page14"/>
    <w:bookmarkEnd w:id="13"/>
    <w:p>
      <w:pPr>
        <w:ind w:left="4" w:right="20" w:firstLine="987"/>
        <w:spacing w:after="0" w:line="255" w:lineRule="auto"/>
        <w:tabs>
          <w:tab w:leader="none" w:pos="125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Equity Awards</w:t>
      </w:r>
      <w:r>
        <w:rPr>
          <w:rFonts w:ascii="Times New Roman" w:cs="Times New Roman" w:eastAsia="Times New Roman" w:hAnsi="Times New Roman"/>
          <w:sz w:val="18"/>
          <w:szCs w:val="18"/>
          <w:color w:val="auto"/>
        </w:rPr>
        <w:t>. With respect to each equity award that was granted to the Executive by the Company, including, but not limited to, the equity awards described in Section 2(g) (collectively, the “Equity Awards”), and is outstanding as of the Executive’s Date of Termination, the portion of such Equity Award that would have become vested during the twelve (12) month period following the Executive’s Date of Termination had the Executive remained employed with the Company during such period shall become vested as of the Date of Termination. Each such Equity Award (or portion thereof) that is outstanding and exercisable on the Executive’s Date of Termination (including, for the avoidance of doubt, any Equity Award (or portion thereof) that becomes vested pursuant to the preceding sentence) shall remain exercisable for one-hundred eighty (180) days following the Executive’s Date of Termination (or, if earlier, until the original expiration date of the Equity Award).</w:t>
      </w:r>
    </w:p>
    <w:p>
      <w:pPr>
        <w:spacing w:after="0" w:line="80" w:lineRule="exact"/>
        <w:rPr>
          <w:rFonts w:ascii="Times New Roman" w:cs="Times New Roman" w:eastAsia="Times New Roman" w:hAnsi="Times New Roman"/>
          <w:sz w:val="18"/>
          <w:szCs w:val="18"/>
          <w:color w:val="auto"/>
        </w:rPr>
      </w:pPr>
    </w:p>
    <w:p>
      <w:pPr>
        <w:ind w:left="4" w:right="520" w:firstLine="987"/>
        <w:spacing w:after="0" w:line="312" w:lineRule="auto"/>
        <w:tabs>
          <w:tab w:leader="none" w:pos="1240" w:val="left"/>
        </w:tabs>
        <w:numPr>
          <w:ilvl w:val="2"/>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Outplacement Services</w:t>
      </w:r>
      <w:r>
        <w:rPr>
          <w:rFonts w:ascii="Times New Roman" w:cs="Times New Roman" w:eastAsia="Times New Roman" w:hAnsi="Times New Roman"/>
          <w:sz w:val="17"/>
          <w:szCs w:val="17"/>
          <w:color w:val="auto"/>
        </w:rPr>
        <w:t>. The Company shall provide the Executive with outplacement services consistent with the outplacement services provided to senior executives of the Company, which services shall be provided by an outplacement firm selected by the Company.</w:t>
      </w:r>
    </w:p>
    <w:p>
      <w:pPr>
        <w:spacing w:after="0" w:line="31" w:lineRule="exact"/>
        <w:rPr>
          <w:rFonts w:ascii="Times New Roman" w:cs="Times New Roman" w:eastAsia="Times New Roman" w:hAnsi="Times New Roman"/>
          <w:sz w:val="17"/>
          <w:szCs w:val="17"/>
          <w:color w:val="auto"/>
        </w:rPr>
      </w:pPr>
    </w:p>
    <w:p>
      <w:pPr>
        <w:ind w:left="4" w:right="120" w:firstLine="987"/>
        <w:spacing w:after="0" w:line="255" w:lineRule="auto"/>
        <w:tabs>
          <w:tab w:leader="none" w:pos="122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Payment Timing</w:t>
      </w:r>
      <w:r>
        <w:rPr>
          <w:rFonts w:ascii="Times New Roman" w:cs="Times New Roman" w:eastAsia="Times New Roman" w:hAnsi="Times New Roman"/>
          <w:sz w:val="18"/>
          <w:szCs w:val="18"/>
          <w:color w:val="auto"/>
        </w:rPr>
        <w:t>. The amounts payable under Section 5 (other than the Earned Bonus, as applicable), to the extent taxable, shall be paid or commence to be paid within thirty (30) days after the Date of Termination (or such longer period as required in order to have an enforceable release, but in no event later than sixty (60) days after the Date of Termination); provided, however, that if the period applicable to Executive’s termination of employment begins in one calendar year and ends in a second calendar year, such payments to the extent they qualify as “non-qualified deferred compensation” within the meaning of Section 409A of the Internal Revenue Code of 1986, as amended (the “</w:t>
      </w:r>
      <w:r>
        <w:rPr>
          <w:rFonts w:ascii="Times New Roman" w:cs="Times New Roman" w:eastAsia="Times New Roman" w:hAnsi="Times New Roman"/>
          <w:sz w:val="18"/>
          <w:szCs w:val="18"/>
          <w:b w:val="1"/>
          <w:bCs w:val="1"/>
          <w:i w:val="1"/>
          <w:iCs w:val="1"/>
          <w:u w:val="single" w:color="auto"/>
          <w:color w:val="auto"/>
        </w:rPr>
        <w:t>Code</w:t>
      </w:r>
      <w:r>
        <w:rPr>
          <w:rFonts w:ascii="Times New Roman" w:cs="Times New Roman" w:eastAsia="Times New Roman" w:hAnsi="Times New Roman"/>
          <w:sz w:val="18"/>
          <w:szCs w:val="18"/>
          <w:color w:val="auto"/>
        </w:rPr>
        <w:t>”), shall be paid or commence to be paid in the second calendar year by the last day of such period. The Severance Amount shall be paid in a single lump sum and the Earned Bonus, if any, shall be paid at the same time as if the Executive had remained employed with the Company through the payment date.</w:t>
      </w:r>
    </w:p>
    <w:p>
      <w:pPr>
        <w:spacing w:after="0" w:line="188" w:lineRule="exact"/>
        <w:rPr>
          <w:rFonts w:ascii="Times New Roman" w:cs="Times New Roman" w:eastAsia="Times New Roman" w:hAnsi="Times New Roman"/>
          <w:sz w:val="18"/>
          <w:szCs w:val="18"/>
          <w:color w:val="auto"/>
        </w:rPr>
      </w:pPr>
    </w:p>
    <w:p>
      <w:pPr>
        <w:ind w:left="4" w:firstLine="436"/>
        <w:spacing w:after="0" w:line="255" w:lineRule="auto"/>
        <w:tabs>
          <w:tab w:leader="none" w:pos="62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 and Benefits Upon Termination by the Company without Cause or by the Executive for Good Reason within the Change in Control Period. The provisions of this Section 6 shall apply in lieu of, and expressly supersede, the provisions of Section 5 if (i) the Executive’s employment is terminated either (a) by the Company without Cause as provided in Section 3(d), or (b) by the Executive for Good Reason as provided in Section 3(e), and (ii) the Date of Termination is during the Change in Control Period. The “</w:t>
      </w:r>
      <w:r>
        <w:rPr>
          <w:rFonts w:ascii="Times New Roman" w:cs="Times New Roman" w:eastAsia="Times New Roman" w:hAnsi="Times New Roman"/>
          <w:sz w:val="18"/>
          <w:szCs w:val="18"/>
          <w:b w:val="1"/>
          <w:bCs w:val="1"/>
          <w:i w:val="1"/>
          <w:iCs w:val="1"/>
          <w:color w:val="auto"/>
        </w:rPr>
        <w:t>Change in Control Period</w:t>
      </w:r>
      <w:r>
        <w:rPr>
          <w:rFonts w:ascii="Times New Roman" w:cs="Times New Roman" w:eastAsia="Times New Roman" w:hAnsi="Times New Roman"/>
          <w:sz w:val="18"/>
          <w:szCs w:val="18"/>
          <w:color w:val="auto"/>
        </w:rPr>
        <w:t>” shall begin on the earlier of</w:t>
      </w:r>
    </w:p>
    <w:p>
      <w:pPr>
        <w:spacing w:after="0" w:line="2" w:lineRule="exact"/>
        <w:rPr>
          <w:rFonts w:ascii="Times New Roman" w:cs="Times New Roman" w:eastAsia="Times New Roman" w:hAnsi="Times New Roman"/>
          <w:sz w:val="18"/>
          <w:szCs w:val="18"/>
          <w:color w:val="auto"/>
        </w:rPr>
      </w:pPr>
    </w:p>
    <w:p>
      <w:pPr>
        <w:ind w:left="4" w:right="40" w:hanging="4"/>
        <w:spacing w:after="0" w:line="252" w:lineRule="auto"/>
        <w:tabs>
          <w:tab w:leader="none" w:pos="24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signing of a P&amp;S Agreement and (b) date that is 3 months prior to the closing of a Change in Control and shall end on the date that is twelve (12) months after the occurrence of the first event constituting a Change in Control. These provisions shall terminate and be of no further force or effect after the Change in Control Period. In no event will the Executive be entitled to severance benefits under both Section 5 and Section 6 of this Agreement. If the Company has commenced providing severance pay and benefits to the Executive under Section 5 prior to the date that the Executive becomes eligible to receive severance pay and benefits under this Section 6, the severance pay and benefits previously provided to the Executive under Section 5 shall reduce the severance pay and benefits to be provided under this Section 6.</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4"/>
          </w:cols>
          <w:pgMar w:left="436" w:top="270" w:right="499" w:bottom="1440" w:gutter="0" w:footer="0" w:header="0"/>
        </w:sectPr>
      </w:pPr>
    </w:p>
    <w:bookmarkStart w:id="14" w:name="page15"/>
    <w:bookmarkEnd w:id="14"/>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Executive’s employment is terminated by the Company without Cause as provided in Section 3(d) or the Executive terminates employment for Good Reason as provided in Section 3(e) and in each case the Date of Termination occurs during the Change in Control Period, then, in addition to the Accrued Obligations, and subject to the signing of the Separation Agreement by the Executive and the Separation Agreement becoming fully effective, all within the time frame set forth in the Separation Agreement but in no event more than sixty (60) days after the Date of Termination:</w:t>
      </w:r>
    </w:p>
    <w:p>
      <w:pPr>
        <w:spacing w:after="0" w:line="72" w:lineRule="exact"/>
        <w:rPr>
          <w:sz w:val="20"/>
          <w:szCs w:val="20"/>
          <w:color w:val="auto"/>
        </w:rPr>
      </w:pPr>
    </w:p>
    <w:p>
      <w:pPr>
        <w:jc w:val="both"/>
        <w:ind w:right="60" w:firstLine="987"/>
        <w:spacing w:after="0" w:line="261" w:lineRule="auto"/>
        <w:tabs>
          <w:tab w:leader="none" w:pos="12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Severance</w:t>
      </w:r>
      <w:r>
        <w:rPr>
          <w:rFonts w:ascii="Times New Roman" w:cs="Times New Roman" w:eastAsia="Times New Roman" w:hAnsi="Times New Roman"/>
          <w:sz w:val="18"/>
          <w:szCs w:val="18"/>
          <w:color w:val="auto"/>
        </w:rPr>
        <w:t>. The Company shall pay the Executive a lump sum in cash in an amount equal to the sum of (A) twelve (12) months’ of the Executive’s then-current Base Salary (or the Executive’s Base Salary in effect immediately prior to the Change in Control, if higher), and (B) the Executive’s Target Bonus for the then-current year (or the Executive’s Target Bonus in effect immediately prior to the Change in Control, if higher), plus, if applicable, any Earned Bonus (the “</w:t>
      </w:r>
      <w:r>
        <w:rPr>
          <w:rFonts w:ascii="Times New Roman" w:cs="Times New Roman" w:eastAsia="Times New Roman" w:hAnsi="Times New Roman"/>
          <w:sz w:val="18"/>
          <w:szCs w:val="18"/>
          <w:b w:val="1"/>
          <w:bCs w:val="1"/>
          <w:i w:val="1"/>
          <w:iCs w:val="1"/>
          <w:u w:val="single" w:color="auto"/>
          <w:color w:val="auto"/>
        </w:rPr>
        <w:t>Change in Control Payment</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40" w:firstLine="987"/>
        <w:spacing w:after="0" w:line="253" w:lineRule="auto"/>
        <w:tabs>
          <w:tab w:leader="none" w:pos="1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COBRA Premiums</w:t>
      </w:r>
      <w:r>
        <w:rPr>
          <w:rFonts w:ascii="Times New Roman" w:cs="Times New Roman" w:eastAsia="Times New Roman" w:hAnsi="Times New Roman"/>
          <w:sz w:val="18"/>
          <w:szCs w:val="18"/>
          <w:color w:val="auto"/>
        </w:rPr>
        <w:t>. Subject to the Executive’s copayment of premium amounts at the applicable active employees’ rate and the Executive’s proper election to receive benefits under COBRA, the Company shall pay to the group health plan provider or the COBRA provider a monthly payment equal to the monthly employer contribution that the Company would have made to provide health insurance to the Executive if the Executive had remained employed by the Company until the earliest of (A) the twelve (12) month anniversary of the Date of Termination; (B) the date that the Executive becomes eligible for group medical plan benefits under any other employer’s group medical plan; or (C) the cessation of the Executive’s health continuation rights under COBRA; provided, however, that if the Company determines that it cannot pay such amounts to the group health plan provider or the COBRA provider (if applicable) without potentially violating applicable law (including, without limitation, Section 2716 of the Public Health Service Act), then the Company shall convert such payments to payroll payments directly to the Executive for the time period specified above. Such payments to the Executive shall be subject to tax-related deductions and withholdings and paid on the Company’s regular payroll dates.</w:t>
      </w:r>
    </w:p>
    <w:p>
      <w:pPr>
        <w:spacing w:after="0" w:line="86"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Accelerated Vesting of Equity Awards</w:t>
      </w:r>
      <w:r>
        <w:rPr>
          <w:rFonts w:ascii="Times New Roman" w:cs="Times New Roman" w:eastAsia="Times New Roman" w:hAnsi="Times New Roman"/>
          <w:sz w:val="18"/>
          <w:szCs w:val="18"/>
          <w:color w:val="auto"/>
        </w:rPr>
        <w:t>. Notwithstanding anything to the contrary in any Equity Award, the Equity Awards shall immediately accelerate and become fully vested and exercisable or nonforfeitable as if the Executive had remained employed with the Company) as of the later of (i) the Date of Termination (or, if later, the Change in Control) or (ii) the effective date of the Separation Agreement (the “</w:t>
      </w:r>
      <w:r>
        <w:rPr>
          <w:rFonts w:ascii="Times New Roman" w:cs="Times New Roman" w:eastAsia="Times New Roman" w:hAnsi="Times New Roman"/>
          <w:sz w:val="18"/>
          <w:szCs w:val="18"/>
          <w:b w:val="1"/>
          <w:bCs w:val="1"/>
          <w:i w:val="1"/>
          <w:iCs w:val="1"/>
          <w:u w:val="single" w:color="auto"/>
          <w:color w:val="auto"/>
        </w:rPr>
        <w:t>Accelerated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auto"/>
        </w:rPr>
        <w:t>Vesting Date</w:t>
      </w:r>
      <w:r>
        <w:rPr>
          <w:rFonts w:ascii="Times New Roman" w:cs="Times New Roman" w:eastAsia="Times New Roman" w:hAnsi="Times New Roman"/>
          <w:sz w:val="18"/>
          <w:szCs w:val="18"/>
          <w:color w:val="auto"/>
        </w:rPr>
        <w:t>”), provided that in order to effectuate the accelerated vesting contemplated by this subsection, the unvested portion of such Equity Awards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that would otherwise terminate or be forfeited on the Date of Termination will remain outstanding until the earlier of (A) the effective date of the Separation Agreement (at which time acceleration will occur), or (B) the date that the Separation Agreement can no longer become fully effective (at which time the unvested portion of the Executive’s Equity Awards will terminate or be forfeited). Notwithstanding the foregoing, no additional time-based vesting of the Equity Awards shall occur during the period between the Date of Termination and the Accelerated Vesting Date except as specifically provided in this Section 6(c). Each such Equity Award that is outstanding and exercisable on the Accelerated Vesting Date shall remain exercisable for one-hundred eighty (180) days following such Accelerated Vesting Date (or, if earlier, until the original expiration date of the Equity Award).</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440" w:top="270" w:right="519" w:bottom="1440" w:gutter="0" w:footer="0" w:header="0"/>
        </w:sectPr>
      </w:pPr>
    </w:p>
    <w:bookmarkStart w:id="15" w:name="page16"/>
    <w:bookmarkEnd w:id="15"/>
    <w:p>
      <w:pPr>
        <w:ind w:left="-20" w:right="540" w:firstLine="987"/>
        <w:spacing w:after="0" w:line="312" w:lineRule="auto"/>
        <w:tabs>
          <w:tab w:leader="none" w:pos="1226" w:val="left"/>
        </w:tabs>
        <w:numPr>
          <w:ilvl w:val="1"/>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Outplacement Services</w:t>
      </w:r>
      <w:r>
        <w:rPr>
          <w:rFonts w:ascii="Times New Roman" w:cs="Times New Roman" w:eastAsia="Times New Roman" w:hAnsi="Times New Roman"/>
          <w:sz w:val="17"/>
          <w:szCs w:val="17"/>
          <w:color w:val="auto"/>
        </w:rPr>
        <w:t>. The Company shall provide the Executive with outplacement services consistent with the outplacement services provided to senior executives of the Company, which services shall be provided by an outplacement firm selected by the Company.</w:t>
      </w:r>
    </w:p>
    <w:p>
      <w:pPr>
        <w:spacing w:after="0" w:line="31" w:lineRule="exact"/>
        <w:rPr>
          <w:rFonts w:ascii="Times New Roman" w:cs="Times New Roman" w:eastAsia="Times New Roman" w:hAnsi="Times New Roman"/>
          <w:sz w:val="17"/>
          <w:szCs w:val="17"/>
          <w:color w:val="auto"/>
        </w:rPr>
      </w:pPr>
    </w:p>
    <w:p>
      <w:pPr>
        <w:ind w:left="-20" w:firstLine="987"/>
        <w:spacing w:after="0" w:line="261" w:lineRule="auto"/>
        <w:tabs>
          <w:tab w:leader="none" w:pos="1216"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 Payment Timing</w:t>
      </w:r>
      <w:r>
        <w:rPr>
          <w:rFonts w:ascii="Times New Roman" w:cs="Times New Roman" w:eastAsia="Times New Roman" w:hAnsi="Times New Roman"/>
          <w:sz w:val="18"/>
          <w:szCs w:val="18"/>
          <w:color w:val="auto"/>
        </w:rPr>
        <w:t>. The amounts payable under this Section 6, to the extent taxable, shall be paid or commence to be paid within sixty (60) days after the Date of Termination or, if later, the Change in Control; provided, however, that if the 60-day period begins in one calendar year and ends in a second calendar year, such payments to the extent they qualify as “non-qualified deferred compensation” within the meaning of Section 409A of the Code, shall be paid or commence to be paid in the second calendar year by the last day of such 60-day period.</w:t>
      </w:r>
    </w:p>
    <w:p>
      <w:pPr>
        <w:spacing w:after="0" w:line="179"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280G Limitation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right="20" w:firstLine="987"/>
        <w:spacing w:after="0" w:line="253" w:lineRule="auto"/>
        <w:tabs>
          <w:tab w:leader="none" w:pos="121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Code, and the applicable regulations thereunder (the “</w:t>
      </w:r>
      <w:r>
        <w:rPr>
          <w:rFonts w:ascii="Times New Roman" w:cs="Times New Roman" w:eastAsia="Times New Roman" w:hAnsi="Times New Roman"/>
          <w:sz w:val="18"/>
          <w:szCs w:val="18"/>
          <w:b w:val="1"/>
          <w:bCs w:val="1"/>
          <w:i w:val="1"/>
          <w:iCs w:val="1"/>
          <w:u w:val="single" w:color="auto"/>
          <w:color w:val="auto"/>
        </w:rPr>
        <w:t>Aggregate Payments</w:t>
      </w:r>
      <w:r>
        <w:rPr>
          <w:rFonts w:ascii="Times New Roman" w:cs="Times New Roman" w:eastAsia="Times New Roman" w:hAnsi="Times New Roman"/>
          <w:sz w:val="18"/>
          <w:szCs w:val="18"/>
          <w:color w:val="auto"/>
        </w:rPr>
        <w:t>”),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77" w:lineRule="exact"/>
        <w:rPr>
          <w:rFonts w:ascii="Times New Roman" w:cs="Times New Roman" w:eastAsia="Times New Roman" w:hAnsi="Times New Roman"/>
          <w:sz w:val="18"/>
          <w:szCs w:val="18"/>
          <w:color w:val="auto"/>
        </w:rPr>
      </w:pPr>
    </w:p>
    <w:p>
      <w:pPr>
        <w:ind w:left="-20" w:right="40" w:firstLine="987"/>
        <w:spacing w:after="0" w:line="257" w:lineRule="auto"/>
        <w:tabs>
          <w:tab w:leader="none" w:pos="1226"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7, the “</w:t>
      </w:r>
      <w:r>
        <w:rPr>
          <w:rFonts w:ascii="Times New Roman" w:cs="Times New Roman" w:eastAsia="Times New Roman" w:hAnsi="Times New Roman"/>
          <w:sz w:val="18"/>
          <w:szCs w:val="18"/>
          <w:b w:val="1"/>
          <w:bCs w:val="1"/>
          <w:i w:val="1"/>
          <w:iCs w:val="1"/>
          <w:u w:val="single" w:color="auto"/>
          <w:color w:val="auto"/>
        </w:rPr>
        <w:t>After Tax Amount</w:t>
      </w:r>
      <w:r>
        <w:rPr>
          <w:rFonts w:ascii="Times New Roman" w:cs="Times New Roman" w:eastAsia="Times New Roman" w:hAnsi="Times New Roman"/>
          <w:sz w:val="18"/>
          <w:szCs w:val="18"/>
          <w:color w:val="auto"/>
        </w:rPr>
        <w: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60" w:top="270" w:right="479" w:bottom="1440" w:gutter="0" w:footer="0" w:header="0"/>
        </w:sectPr>
      </w:pPr>
    </w:p>
    <w:bookmarkStart w:id="16" w:name="page17"/>
    <w:bookmarkEnd w:id="16"/>
    <w:p>
      <w:pPr>
        <w:ind w:right="20" w:firstLine="987"/>
        <w:spacing w:after="0" w:line="253" w:lineRule="auto"/>
        <w:tabs>
          <w:tab w:leader="none" w:pos="123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determining whether and the extent to which the Aggregate Payments will be subject to the excise tax, (i) no portion of the Aggregate Payments the receipt or enjoyment of which Executive shall have waived at such time and in such manner as not to constitute a “payment” within the meaning of Section 280G(b) of the Code shall be taken into account, (ii) no portion of the Aggregate Payments shall be taken into account which, in the written opinion of independent auditors or advisors of nationally recognized standing (“</w:t>
      </w:r>
      <w:r>
        <w:rPr>
          <w:rFonts w:ascii="Times New Roman" w:cs="Times New Roman" w:eastAsia="Times New Roman" w:hAnsi="Times New Roman"/>
          <w:sz w:val="18"/>
          <w:szCs w:val="18"/>
          <w:b w:val="1"/>
          <w:bCs w:val="1"/>
          <w:i w:val="1"/>
          <w:iCs w:val="1"/>
          <w:color w:val="auto"/>
        </w:rPr>
        <w:t>Independent Advisors</w:t>
      </w:r>
      <w:r>
        <w:rPr>
          <w:rFonts w:ascii="Times New Roman" w:cs="Times New Roman" w:eastAsia="Times New Roman" w:hAnsi="Times New Roman"/>
          <w:sz w:val="18"/>
          <w:szCs w:val="18"/>
          <w:color w:val="auto"/>
        </w:rPr>
        <w:t>”) selected by the Company prior to a Change in Control, does not constitute a “parachute payment” within the meaning of Section 280G(b)(2) of the Code (including by reason of Section 280G(b)(4)(A) of the Code) and, in calculating the excise tax, no portion of such Aggregate Payments shall be taken into account which, in the opinion of Independent Advisors, constitutes reasonable compensation for services actually rendered, within the meaning of</w:t>
      </w:r>
    </w:p>
    <w:p>
      <w:pPr>
        <w:spacing w:after="0" w:line="2"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280G(b)(4)(B) of the Code, in excess of the “base amount” (as defined in Section 280G(b)(3) of the Code) allocable to such reasonable compensation, and (iii) the value of any non-cash benefit or any deferred payment or benefit included in the Aggregate Payments shall be determined by the Independent Advisors in accordance with the principles of Sections 280G(d)(3) and (4) of the Code. The Independent Advisors shall provide detailed supporting calculations both to the Company and the Executive within fifteen (15) business days of the Date of Termination, if applicable, or at such earlier time as is reasonably requested by the Company or the Executive. Any determination by the Independent Advisors shall be binding upon the Company and the Executive.</w:t>
      </w:r>
    </w:p>
    <w:p>
      <w:pPr>
        <w:spacing w:after="0" w:line="18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0" w:firstLine="987"/>
        <w:spacing w:after="0" w:line="254" w:lineRule="auto"/>
        <w:tabs>
          <w:tab w:leader="none" w:pos="123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 (B)(i) of the Code, then to the extent any payment or benefit that the Executive becomes entitled to under this Agreement or otherwise on account of the Executive’s separation from service would be considered deferred compensation otherwise subject to the 20% additional tax imposed pursuant to Section 409A(a) of the Code as a result of the application of Section 409A(a)(2)(B)(i) of the Code, such payment shall not be payable and such benefit shall not be provided until the date that is the earlier of (A) six (6)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6-month period but for the application of this provision, and the balance of the installments shall be payable in accordance with their original schedule.</w:t>
      </w:r>
    </w:p>
    <w:p>
      <w:pPr>
        <w:spacing w:after="0" w:line="80" w:lineRule="exact"/>
        <w:rPr>
          <w:rFonts w:ascii="Times New Roman" w:cs="Times New Roman" w:eastAsia="Times New Roman" w:hAnsi="Times New Roman"/>
          <w:sz w:val="18"/>
          <w:szCs w:val="18"/>
          <w:color w:val="auto"/>
        </w:rPr>
      </w:pPr>
    </w:p>
    <w:p>
      <w:pPr>
        <w:ind w:right="100" w:firstLine="987"/>
        <w:spacing w:after="0" w:line="256" w:lineRule="auto"/>
        <w:tabs>
          <w:tab w:leader="none" w:pos="1246"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7" w:name="page18"/>
    <w:bookmarkEnd w:id="17"/>
    <w:p>
      <w:pPr>
        <w:jc w:val="both"/>
        <w:ind w:left="-80" w:right="160" w:firstLine="987"/>
        <w:spacing w:after="0" w:line="261" w:lineRule="auto"/>
        <w:tabs>
          <w:tab w:leader="none" w:pos="115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71" w:lineRule="exact"/>
        <w:rPr>
          <w:rFonts w:ascii="Times New Roman" w:cs="Times New Roman" w:eastAsia="Times New Roman" w:hAnsi="Times New Roman"/>
          <w:sz w:val="18"/>
          <w:szCs w:val="18"/>
          <w:color w:val="auto"/>
        </w:rPr>
      </w:pPr>
    </w:p>
    <w:p>
      <w:pPr>
        <w:ind w:left="-80" w:right="220" w:firstLine="987"/>
        <w:spacing w:after="0" w:line="254" w:lineRule="auto"/>
        <w:tabs>
          <w:tab w:leader="none" w:pos="116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intend that this Agreement will be administered in a manner not intended to violate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Any such payment that may be excluded from Section 409A either as separation pay due to an involuntary separation from service or as a short-term deferral (each as described in Treasury regulations issued under Section 409A) shall be excluded from Section 409A to the greatest extent possible.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83" w:lineRule="exact"/>
        <w:rPr>
          <w:rFonts w:ascii="Times New Roman" w:cs="Times New Roman" w:eastAsia="Times New Roman" w:hAnsi="Times New Roman"/>
          <w:sz w:val="18"/>
          <w:szCs w:val="18"/>
          <w:color w:val="auto"/>
        </w:rPr>
      </w:pPr>
    </w:p>
    <w:p>
      <w:pPr>
        <w:ind w:left="-80" w:firstLine="987"/>
        <w:spacing w:after="0" w:line="266" w:lineRule="auto"/>
        <w:tabs>
          <w:tab w:leader="none" w:pos="1156"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75" w:lineRule="exact"/>
        <w:rPr>
          <w:rFonts w:ascii="Times New Roman" w:cs="Times New Roman" w:eastAsia="Times New Roman" w:hAnsi="Times New Roman"/>
          <w:sz w:val="18"/>
          <w:szCs w:val="18"/>
          <w:color w:val="auto"/>
        </w:rPr>
      </w:pPr>
    </w:p>
    <w:p>
      <w:pPr>
        <w:ind w:left="540" w:hanging="184"/>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Obligations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80" w:right="20" w:firstLine="987"/>
        <w:spacing w:after="0" w:line="258" w:lineRule="auto"/>
        <w:tabs>
          <w:tab w:leader="none" w:pos="1156"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 Agreement</w:t>
      </w:r>
      <w:r>
        <w:rPr>
          <w:rFonts w:ascii="Times New Roman" w:cs="Times New Roman" w:eastAsia="Times New Roman" w:hAnsi="Times New Roman"/>
          <w:sz w:val="18"/>
          <w:szCs w:val="18"/>
          <w:color w:val="auto"/>
        </w:rPr>
        <w:t>. As a condition of entering into this Agreement, Executive agrees to the terms of the Employee Proprietary Information and Inventions Assignment Agreement, dated July 9, 2021 between the Company and the Executive (the “</w:t>
      </w:r>
      <w:r>
        <w:rPr>
          <w:rFonts w:ascii="Times New Roman" w:cs="Times New Roman" w:eastAsia="Times New Roman" w:hAnsi="Times New Roman"/>
          <w:sz w:val="18"/>
          <w:szCs w:val="18"/>
          <w:b w:val="1"/>
          <w:bCs w:val="1"/>
          <w:i w:val="1"/>
          <w:iCs w:val="1"/>
          <w:u w:val="single" w:color="auto"/>
          <w:color w:val="auto"/>
        </w:rPr>
        <w:t>Restrictive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auto"/>
        </w:rPr>
        <w:t>Covenants Agreement</w:t>
      </w:r>
      <w:r>
        <w:rPr>
          <w:rFonts w:ascii="Times New Roman" w:cs="Times New Roman" w:eastAsia="Times New Roman" w:hAnsi="Times New Roman"/>
          <w:sz w:val="18"/>
          <w:szCs w:val="18"/>
          <w:color w:val="auto"/>
        </w:rPr>
        <w:t>”). For purposes of this Agreement, the obligations in this Section 9 and those that arise in the Restrictive Covenants Agreement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any other agreement relating to confidentiality, assignment of inventions, or other restrictive covenants that may later be agreed to by the Executive shall collectively be referred to as the “</w:t>
      </w:r>
      <w:r>
        <w:rPr>
          <w:rFonts w:ascii="Times New Roman" w:cs="Times New Roman" w:eastAsia="Times New Roman" w:hAnsi="Times New Roman"/>
          <w:sz w:val="18"/>
          <w:szCs w:val="18"/>
          <w:b w:val="1"/>
          <w:bCs w:val="1"/>
          <w:i w:val="1"/>
          <w:iCs w:val="1"/>
          <w:u w:val="single" w:color="auto"/>
          <w:color w:val="auto"/>
        </w:rPr>
        <w:t>Continuing Obligations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60"/>
          </w:cols>
          <w:pgMar w:left="520" w:top="270" w:right="519" w:bottom="1440" w:gutter="0" w:footer="0" w:header="0"/>
        </w:sectPr>
      </w:pPr>
    </w:p>
    <w:bookmarkStart w:id="18" w:name="page19"/>
    <w:bookmarkEnd w:id="18"/>
    <w:p>
      <w:pPr>
        <w:ind w:left="4" w:right="120" w:firstLine="987"/>
        <w:spacing w:after="0" w:line="254" w:lineRule="auto"/>
        <w:tabs>
          <w:tab w:leader="none" w:pos="125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Third-Party Agreements and Rights</w:t>
      </w:r>
      <w:r>
        <w:rPr>
          <w:rFonts w:ascii="Times New Roman" w:cs="Times New Roman" w:eastAsia="Times New Roman" w:hAnsi="Times New Roman"/>
          <w:sz w:val="18"/>
          <w:szCs w:val="18"/>
          <w:color w:val="auto"/>
        </w:rPr>
        <w:t>. The Executive hereby confirms that the Executive is not bound by the terms of any agreement with any previous employer or other party which restricts in any way the Executive’s use or disclosure of information, other than confidentiality restrictions (if any), or the Executive’s engagement in any business. The Executive represents to the Company that the Executive’s execution of this Agreement, the Executive’s employment with the Company and the performance of the Executive’s proposed duties for the Company will not violate any obligations the Executive may have to any such previous employer or other party. In the Executive’s work for the Company, the Executive will not disclose or make use of any information in violation of any agreements with or rights of any such previous employer or other party, and the Executive will not bring to the premises of the Company any copies or other tangible embodiments of non-public information belonging to or obtained from any such previous employment or other party.</w:t>
      </w:r>
    </w:p>
    <w:p>
      <w:pPr>
        <w:spacing w:after="0" w:line="83"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24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and Regulatory Cooperation</w:t>
      </w:r>
      <w:r>
        <w:rPr>
          <w:rFonts w:ascii="Times New Roman" w:cs="Times New Roman" w:eastAsia="Times New Roman" w:hAnsi="Times New Roman"/>
          <w:sz w:val="18"/>
          <w:szCs w:val="18"/>
          <w:color w:val="auto"/>
        </w:rPr>
        <w:t>. During and after the Executive’s employment, the Executive shall cooperate fully with the Company in (i) the defense or prosecution of any claims or actions now in existence or which may be brought in the future against or on behalf of the Company which relate to events or occurrences that transpired while the Executive was employed by the Company, and (ii) the investigation, whether internal or external, of any matters about which the Company believes the Executive may have knowledge or information. The Executive’s full cooperation in connection with such claims, actions or investigations shall include, but not be limited to, being available to meet with counsel upon reasonable notice to answer questions or to prepare for discovery or trial and to act as a witness on behalf of the Company at mutually convenient times. During and after the Executive’s employment, the Executive also shall cooperate fully with the Company in connection with any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9(c), which shall be in addition to its obligations to provide indemnification to the Executive.</w:t>
      </w:r>
    </w:p>
    <w:p>
      <w:pPr>
        <w:spacing w:after="0" w:line="83" w:lineRule="exact"/>
        <w:rPr>
          <w:rFonts w:ascii="Times New Roman" w:cs="Times New Roman" w:eastAsia="Times New Roman" w:hAnsi="Times New Roman"/>
          <w:sz w:val="18"/>
          <w:szCs w:val="18"/>
          <w:color w:val="auto"/>
        </w:rPr>
      </w:pPr>
    </w:p>
    <w:p>
      <w:pPr>
        <w:ind w:left="4" w:right="140" w:firstLine="987"/>
        <w:spacing w:after="0" w:line="258" w:lineRule="auto"/>
        <w:tabs>
          <w:tab w:leader="none" w:pos="125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Relief</w:t>
      </w:r>
      <w:r>
        <w:rPr>
          <w:rFonts w:ascii="Times New Roman" w:cs="Times New Roman" w:eastAsia="Times New Roman" w:hAnsi="Times New Roman"/>
          <w:sz w:val="18"/>
          <w:szCs w:val="18"/>
          <w:color w:val="auto"/>
        </w:rPr>
        <w:t>. The Executive agrees that it would be difficult to measure any damages caused to the Company which might result from any breach by the Executive of the Continuing Obligations, and that in any event monetary damages would be an inadequate remedy for any such breach. Accordingly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Executive agrees that if the Executive breaches, or proposes to breach, any portion of the Continuing Obligations, the Company shall be entitled, in addition to all other remedies that it may have, to an injunction or other appropriate equitable relief to restrain any such breach without showing or proving any actual damage to the Company.</w:t>
      </w:r>
    </w:p>
    <w:p>
      <w:pPr>
        <w:spacing w:after="0" w:line="183" w:lineRule="exact"/>
        <w:rPr>
          <w:rFonts w:ascii="Times New Roman" w:cs="Times New Roman" w:eastAsia="Times New Roman" w:hAnsi="Times New Roman"/>
          <w:sz w:val="18"/>
          <w:szCs w:val="18"/>
          <w:color w:val="auto"/>
        </w:rPr>
      </w:pPr>
    </w:p>
    <w:p>
      <w:pPr>
        <w:ind w:left="4" w:firstLine="436"/>
        <w:spacing w:after="0" w:line="276" w:lineRule="auto"/>
        <w:tabs>
          <w:tab w:leader="none" w:pos="714"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Consent to Jurisdiction</w:t>
      </w:r>
      <w:r>
        <w:rPr>
          <w:rFonts w:ascii="Times New Roman" w:cs="Times New Roman" w:eastAsia="Times New Roman" w:hAnsi="Times New Roman"/>
          <w:sz w:val="17"/>
          <w:szCs w:val="17"/>
          <w:color w:val="auto"/>
        </w:rPr>
        <w:t>. The parties hereby consent to the jurisdiction of the state and federal courts of the State of Vermont. Accordingly, with respect to any such court action, the Executive (a) submits to the exclusive personal jurisdiction of such courts; (b) consents to service of process; and</w:t>
      </w:r>
    </w:p>
    <w:p>
      <w:pPr>
        <w:ind w:left="244" w:hanging="244"/>
        <w:spacing w:after="0"/>
        <w:tabs>
          <w:tab w:leader="none" w:pos="24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any other requirement (whether imposed by statute, rule of court, or otherwise) with respect to personal jurisdiction or service of process.</w:t>
      </w:r>
    </w:p>
    <w:p>
      <w:pPr>
        <w:spacing w:after="0" w:line="206" w:lineRule="exact"/>
        <w:rPr>
          <w:rFonts w:ascii="Times New Roman" w:cs="Times New Roman" w:eastAsia="Times New Roman" w:hAnsi="Times New Roman"/>
          <w:sz w:val="18"/>
          <w:szCs w:val="18"/>
          <w:color w:val="auto"/>
        </w:rPr>
      </w:pPr>
    </w:p>
    <w:p>
      <w:pPr>
        <w:ind w:left="4" w:firstLine="436"/>
        <w:spacing w:after="0" w:line="266" w:lineRule="auto"/>
        <w:tabs>
          <w:tab w:leader="none" w:pos="70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Integration</w:t>
      </w:r>
      <w:r>
        <w:rPr>
          <w:rFonts w:ascii="Times New Roman" w:cs="Times New Roman" w:eastAsia="Times New Roman" w:hAnsi="Times New Roman"/>
          <w:sz w:val="18"/>
          <w:szCs w:val="18"/>
          <w:color w:val="auto"/>
        </w:rPr>
        <w:t>. This Agreement constitutes the entire agreement between the parties with respect to the subject matter hereof and supersedes all prior agreements between the parties concerning such subject matter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including the Prior Agreement, provided that the Restrictive Covenants Agreement and the agreements governing any Equity Awards remain in full force and effect.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70" w:right="479" w:bottom="1440" w:gutter="0" w:footer="0" w:header="0"/>
        </w:sectPr>
      </w:pPr>
    </w:p>
    <w:bookmarkStart w:id="19" w:name="page20"/>
    <w:bookmarkEnd w:id="19"/>
    <w:p>
      <w:pPr>
        <w:ind w:left="4" w:right="20" w:firstLine="436"/>
        <w:spacing w:after="0" w:line="261" w:lineRule="auto"/>
        <w:tabs>
          <w:tab w:leader="none" w:pos="71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Withholding; Tax Effect</w:t>
      </w:r>
      <w:r>
        <w:rPr>
          <w:rFonts w:ascii="Times New Roman" w:cs="Times New Roman" w:eastAsia="Times New Roman" w:hAnsi="Times New Roman"/>
          <w:sz w:val="18"/>
          <w:szCs w:val="18"/>
          <w:color w:val="auto"/>
        </w:rPr>
        <w:t>. All payments made by the Company to the Executive under this Agreement shall be net of any tax or other amounts required to be withheld by the Company under applicable law. Nothing in this Agreement shall be construed to require the Company to make any payments to compensate the Executive for any adverse tax effect associated with any payments or benefits or for any deduction or withholding from any payment or benefit.</w:t>
      </w:r>
    </w:p>
    <w:p>
      <w:pPr>
        <w:spacing w:after="0" w:line="71" w:lineRule="exact"/>
        <w:rPr>
          <w:rFonts w:ascii="Times New Roman" w:cs="Times New Roman" w:eastAsia="Times New Roman" w:hAnsi="Times New Roman"/>
          <w:sz w:val="18"/>
          <w:szCs w:val="18"/>
          <w:color w:val="auto"/>
        </w:rPr>
      </w:pPr>
    </w:p>
    <w:p>
      <w:pPr>
        <w:ind w:left="4" w:right="140" w:firstLine="436"/>
        <w:spacing w:after="0" w:line="261" w:lineRule="auto"/>
        <w:tabs>
          <w:tab w:leader="none" w:pos="71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will be binding upon and inure to the benefit of (a) the heirs, executors, and legal representatives of Executive upon Executive’s death as well as any beneficiaries duly designated by Executive prior to death in accordance with the terms hereof, and</w:t>
      </w:r>
    </w:p>
    <w:p>
      <w:pPr>
        <w:ind w:left="4" w:hanging="4"/>
        <w:spacing w:after="0" w:line="251" w:lineRule="auto"/>
        <w:tabs>
          <w:tab w:leader="none" w:pos="25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The Company shall require its respective successors to expressly assume and agree to perform this Agreement in the same manner and to the same extent that the Company would be required to perform it if no such succession had taken place. Notwithstanding the foregoing, the Company shall remain, with such successor, jointly and severally liable for all of their obligations hereunder. Except as herein provided, this Agreement may not otherwise be assigned by the Company and any attempted assignment in contravention hereof will be null and void. In the event of the Executive’s death after the Executive’s termination of employment but prior to the completion by the Company of all payments due to the Executive under this Agreement, the Company shall continue such payments to the Executive’s beneficiary designated in writing to the Company prior to the Executive’s death (or to the Executive’s estate, if the Executive fails to make such designation). The Executive may designate one or more persons or entities as the primary or contingent beneficiaries of any amounts to be received under this Agreement. Such designation must be in the form of a signed writing reasonably acceptable to the Board or the Board’s designee. Executive may make or change such designation at any time. Except as approved by the Board or the Board’s designee, none of the rights of the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82" w:lineRule="exact"/>
        <w:rPr>
          <w:rFonts w:ascii="Times New Roman" w:cs="Times New Roman" w:eastAsia="Times New Roman" w:hAnsi="Times New Roman"/>
          <w:sz w:val="18"/>
          <w:szCs w:val="18"/>
          <w:color w:val="auto"/>
        </w:rPr>
      </w:pPr>
    </w:p>
    <w:p>
      <w:pPr>
        <w:ind w:left="4" w:right="260" w:firstLine="436"/>
        <w:spacing w:after="0" w:line="261" w:lineRule="auto"/>
        <w:tabs>
          <w:tab w:leader="none" w:pos="71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Enforceability</w:t>
      </w:r>
      <w:r>
        <w:rPr>
          <w:rFonts w:ascii="Times New Roman" w:cs="Times New Roman" w:eastAsia="Times New Roman" w:hAnsi="Times New Roman"/>
          <w:sz w:val="18"/>
          <w:szCs w:val="18"/>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71" w:lineRule="exact"/>
        <w:rPr>
          <w:rFonts w:ascii="Times New Roman" w:cs="Times New Roman" w:eastAsia="Times New Roman" w:hAnsi="Times New Roman"/>
          <w:sz w:val="18"/>
          <w:szCs w:val="18"/>
          <w:color w:val="auto"/>
        </w:rPr>
      </w:pPr>
    </w:p>
    <w:p>
      <w:pPr>
        <w:ind w:left="4" w:right="200" w:firstLine="436"/>
        <w:spacing w:after="0" w:line="266" w:lineRule="auto"/>
        <w:tabs>
          <w:tab w:leader="none" w:pos="714"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The provisions of this Agreement shall survive the termination of this Agreement and/or the termination of the Executive’s employment to the extent necessary to effectuate the terms contained herein, including but not limited to the Company’s obligation to make severance payments or provide indemnification and the Executive’s obligations to comply with the Continuing Obligations.</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20" w:name="page21"/>
    <w:bookmarkEnd w:id="20"/>
    <w:p>
      <w:pPr>
        <w:ind w:left="4" w:right="100" w:firstLine="436"/>
        <w:spacing w:after="0" w:line="266" w:lineRule="auto"/>
        <w:tabs>
          <w:tab w:leader="none" w:pos="71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Waiver</w:t>
      </w:r>
      <w:r>
        <w:rPr>
          <w:rFonts w:ascii="Times New Roman" w:cs="Times New Roman" w:eastAsia="Times New Roman" w:hAnsi="Times New Roman"/>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6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notices, requests, demands and other communications provided for by this Agreement shall be sufficient if in writing and</w:t>
      </w:r>
    </w:p>
    <w:p>
      <w:pPr>
        <w:spacing w:after="0" w:line="27" w:lineRule="exact"/>
        <w:rPr>
          <w:rFonts w:ascii="Times New Roman" w:cs="Times New Roman" w:eastAsia="Times New Roman" w:hAnsi="Times New Roman"/>
          <w:sz w:val="18"/>
          <w:szCs w:val="18"/>
          <w:color w:val="auto"/>
        </w:rPr>
      </w:pPr>
    </w:p>
    <w:p>
      <w:pPr>
        <w:jc w:val="both"/>
        <w:ind w:left="4" w:right="260" w:hanging="4"/>
        <w:spacing w:after="0" w:line="255" w:lineRule="auto"/>
        <w:tabs>
          <w:tab w:leader="none" w:pos="21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in person, (ii)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 or (iii) sent via email to the Executive at the Executive’s Company email address.</w:t>
      </w:r>
    </w:p>
    <w:p>
      <w:pPr>
        <w:spacing w:after="0" w:line="77" w:lineRule="exact"/>
        <w:rPr>
          <w:rFonts w:ascii="Times New Roman" w:cs="Times New Roman" w:eastAsia="Times New Roman" w:hAnsi="Times New Roman"/>
          <w:sz w:val="18"/>
          <w:szCs w:val="18"/>
          <w:color w:val="auto"/>
        </w:rPr>
      </w:pPr>
    </w:p>
    <w:p>
      <w:pPr>
        <w:ind w:left="4" w:right="300" w:firstLine="436"/>
        <w:spacing w:after="0" w:line="282" w:lineRule="auto"/>
        <w:tabs>
          <w:tab w:leader="none" w:pos="71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This Agreement may be amended or modified only by a written instrument signed by the Executive and by a duly authorized representative of the Company.</w:t>
      </w:r>
    </w:p>
    <w:p>
      <w:pPr>
        <w:spacing w:after="0" w:line="53" w:lineRule="exact"/>
        <w:rPr>
          <w:rFonts w:ascii="Times New Roman" w:cs="Times New Roman" w:eastAsia="Times New Roman" w:hAnsi="Times New Roman"/>
          <w:sz w:val="18"/>
          <w:szCs w:val="18"/>
          <w:color w:val="auto"/>
        </w:rPr>
      </w:pPr>
    </w:p>
    <w:p>
      <w:pPr>
        <w:ind w:left="4" w:firstLine="436"/>
        <w:spacing w:after="0" w:line="253" w:lineRule="auto"/>
        <w:tabs>
          <w:tab w:leader="none" w:pos="71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Company will (i) indemnify the Executive with respect to claims arising out of any action taken or not taken in Executive’s capacity as an officer or employee of the Company or its subsidiaries; provided, that the Executive acted in good faith and in a manner that he reasonably believed to be in or not opposed to the best interests of the Company and, with respect to any criminal action or proceeding, had no reasonable cause to believe that his conduct was unlawful, (ii) advance to the Executive all reasonable and documented out of pocket costs and expenses incurred by the Executive in connection with the foregoing clause (i), including but not limited to attorneys’ fees, and (iii) provide for the Executive to be covered by D&amp;O insurance, with respect to clauses (i) and (ii), on the same terms as made available to executive officers of the Company and/or members of the Board, as applicable; provided that, this Agreement constitutes an undertaking that amounts advanced under clause (ii) shall be promptly repaid to the Company by the Executive if it shall ultimately be determined that the Executive is not entitled to be indemnified by the Company pursuant to this Section 19. Nothing herein shall limit any right that the Executive may have in respect of indemnification, advancement or liability insurance coverage under any other policy, plan, contract or arrangement of the Company or its subsidiaries or under applicable law with respect to his services as an officer or employee for the Company or its subsidiaries, and the Company shall not change any right to such indemnification or advancement with respect to the Executive after his termination of employment.</w:t>
      </w:r>
    </w:p>
    <w:p>
      <w:pPr>
        <w:spacing w:after="0" w:line="81" w:lineRule="exact"/>
        <w:rPr>
          <w:rFonts w:ascii="Times New Roman" w:cs="Times New Roman" w:eastAsia="Times New Roman" w:hAnsi="Times New Roman"/>
          <w:sz w:val="18"/>
          <w:szCs w:val="18"/>
          <w:color w:val="auto"/>
        </w:rPr>
      </w:pPr>
    </w:p>
    <w:p>
      <w:pPr>
        <w:ind w:left="4" w:right="320" w:firstLine="436"/>
        <w:spacing w:after="0" w:line="261" w:lineRule="auto"/>
        <w:tabs>
          <w:tab w:leader="none" w:pos="71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Mitigation; Offset</w:t>
      </w:r>
      <w:r>
        <w:rPr>
          <w:rFonts w:ascii="Times New Roman" w:cs="Times New Roman" w:eastAsia="Times New Roman" w:hAnsi="Times New Roman"/>
          <w:sz w:val="18"/>
          <w:szCs w:val="18"/>
          <w:color w:val="auto"/>
        </w:rPr>
        <w:t>. In the event of any termination of employment and service hereunder, the Executive shall be under no obligation to seek other employment, and there shall be no offset against any amounts due Executive under this Agreement on account of any remuneration attributable to any subsequent employment that Executive may obtain. The preceding sentence shall not limit the Company’s right to enforce the termination provisions set forth in Section 4 above or the repayment or recoupment provisions in Section 22(d) and Section 23 below.</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4"/>
          </w:cols>
          <w:pgMar w:left="436" w:top="270" w:right="479" w:bottom="1440" w:gutter="0" w:footer="0" w:header="0"/>
        </w:sectPr>
      </w:pPr>
    </w:p>
    <w:bookmarkStart w:id="21" w:name="page22"/>
    <w:bookmarkEnd w:id="21"/>
    <w:p>
      <w:pPr>
        <w:ind w:left="-20" w:right="120" w:firstLine="436"/>
        <w:spacing w:after="0" w:line="254" w:lineRule="auto"/>
        <w:tabs>
          <w:tab w:leader="none" w:pos="69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 on Other Plans and Agreements</w:t>
      </w:r>
      <w:r>
        <w:rPr>
          <w:rFonts w:ascii="Times New Roman" w:cs="Times New Roman" w:eastAsia="Times New Roman" w:hAnsi="Times New Roman"/>
          <w:sz w:val="18"/>
          <w:szCs w:val="18"/>
          <w:color w:val="auto"/>
        </w:rPr>
        <w:t>. An election by the Executive to resign for Good Reason under the provisions of this Agreement shall not be deemed a voluntary termination of employment by the Executive for the purpose of interpreting the provisions of any of the Company’s benefit plans, programs or policies. Nothing in this Agreement shall be construed to limit the rights of the Executive under the Company’s benefit plans, programs or policies except to the extent specifically provided in Section 7 hereof, and except that the Executive shall have no rights to continue any severance benefits under any Company severance pay plan, offer letter or otherwise. Except for the Restrictive Covenants Agreement, in the event that the Executive is party to an agreement with the Company providing for payments or benefits under such plan or agreement and under this Agreement, the terms of this Agreement shall govern and the Executive may receive payment under this Agreement only and not both. Further, Section 5 and Section 6 of this Agreement are mutually exclusive and in no event shall the Executive be entitled to cash severance payments or benefits pursuant to both Section 5 and Section 6 of this Agreement.</w:t>
      </w:r>
    </w:p>
    <w:p>
      <w:pPr>
        <w:spacing w:after="0" w:line="80"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 and Enforcement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right="200" w:firstLine="987"/>
        <w:spacing w:after="0" w:line="261" w:lineRule="auto"/>
        <w:tabs>
          <w:tab w:leader="none" w:pos="121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be governed by and construed in accordance with applicable federal laws and, to the extent not inconsistent therewith or preempted thereby, with the laws of the State of Vermont, including any applicable statutes of limitation, without regard to any otherwise applicable principles of conflicts of laws or choice of law rules (whether of the State of Vermont or any other jurisdiction) that would result in the application of the substantive or procedural rules or law of any other jurisdiction.</w:t>
      </w:r>
    </w:p>
    <w:p>
      <w:pPr>
        <w:spacing w:after="0" w:line="71" w:lineRule="exact"/>
        <w:rPr>
          <w:rFonts w:ascii="Times New Roman" w:cs="Times New Roman" w:eastAsia="Times New Roman" w:hAnsi="Times New Roman"/>
          <w:sz w:val="18"/>
          <w:szCs w:val="18"/>
          <w:color w:val="auto"/>
        </w:rPr>
      </w:pPr>
    </w:p>
    <w:p>
      <w:pPr>
        <w:ind w:left="-20" w:right="140" w:firstLine="987"/>
        <w:spacing w:after="0" w:line="258" w:lineRule="auto"/>
        <w:tabs>
          <w:tab w:leader="none" w:pos="122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any controversy or claim arising out of or relating to this Agreement or the alleged breach hereof shall be instituted in the United States District Court for the District of Vermont, or if that court does not have or will not accept jurisdiction, in any court of general jurisdiction in the State of Vermont, and Executive and the Company hereby consent to the personal and exclusive jurisdiction of such court(s) and hereby waive any objection(s) that any such party may have to personal jurisdiction, the laying of venue of any such proceedings and any claim or defense of inconvenient forum.</w:t>
      </w:r>
    </w:p>
    <w:p>
      <w:pPr>
        <w:spacing w:after="0" w:line="75" w:lineRule="exact"/>
        <w:rPr>
          <w:rFonts w:ascii="Times New Roman" w:cs="Times New Roman" w:eastAsia="Times New Roman" w:hAnsi="Times New Roman"/>
          <w:sz w:val="18"/>
          <w:szCs w:val="18"/>
          <w:color w:val="auto"/>
        </w:rPr>
      </w:pPr>
    </w:p>
    <w:p>
      <w:pPr>
        <w:ind w:left="-20" w:firstLine="987"/>
        <w:spacing w:after="0" w:line="261" w:lineRule="auto"/>
        <w:tabs>
          <w:tab w:leader="none" w:pos="121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 shall be payable to Executive no later than the end of Executive’s first taxable year in which the Company either concede the amount (or portion of the amount) payable or are required to make payment pursuant to a judgment by a court, and shall include interest on any amounts due and payable to Executive from the date due to the date of payment, calculated at one hundred and ten percent (110%) of the base lending in effect at Citibank, N.A. (or any successor thereto) on the first of each month.</w:t>
      </w:r>
    </w:p>
    <w:p>
      <w:pPr>
        <w:spacing w:after="0" w:line="71" w:lineRule="exact"/>
        <w:rPr>
          <w:rFonts w:ascii="Times New Roman" w:cs="Times New Roman" w:eastAsia="Times New Roman" w:hAnsi="Times New Roman"/>
          <w:sz w:val="18"/>
          <w:szCs w:val="18"/>
          <w:color w:val="auto"/>
        </w:rPr>
      </w:pPr>
    </w:p>
    <w:p>
      <w:pPr>
        <w:ind w:left="-20" w:firstLine="987"/>
        <w:spacing w:after="0" w:line="253" w:lineRule="auto"/>
        <w:tabs>
          <w:tab w:leader="none" w:pos="122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is necessary or desirable for Executive to retain legal counsel or incur other costs and expenses in connection with the enforcement of any or all of Executive’s rights under this Agreement, the Company shall, within thirty (30) days after receipt of an invoice certifying payment by Executive of such attorney fees, or payment of such other costs and expenses, reimburse Executive’s reasonable attorneys’ fees and costs and such other expenses, including expenses of any expert witnesses, in connection with the enforcement of said rights in an amount not to exceed $200,000, provided, that to the extent (and only to the extent) such expenses are subject to Section 409A, in no event shall any payment of Executive’s fees, costs, and expenses be made after the last day of Executive’s taxable year following the taxable year in which the expense was incurred; provided, further, that Executive shall repay any such advance of fees, costs, and expenses (and no additional advances or reimbursements shall be made) (i) if there is a specific judicial finding that Executive’s request to litigate was frivolous, unreasonable or without foundation; (ii) if it has been finally determined that Executive’s termination of employment for Cause was proper; or (iii) if the Board determines in good faith that as of the date of Executive’s termination of employment and service, grounds for an involuntary termination for Cause had existed.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60" w:top="270" w:right="479" w:bottom="1440" w:gutter="0" w:footer="0" w:header="0"/>
        </w:sectPr>
      </w:pPr>
    </w:p>
    <w:bookmarkStart w:id="22" w:name="page23"/>
    <w:bookmarkEnd w:id="22"/>
    <w:p>
      <w:pPr>
        <w:ind w:left="4" w:firstLine="436"/>
        <w:spacing w:after="0" w:line="269" w:lineRule="auto"/>
        <w:tabs>
          <w:tab w:leader="none" w:pos="714"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Recoupment</w:t>
      </w:r>
      <w:r>
        <w:rPr>
          <w:rFonts w:ascii="Times New Roman" w:cs="Times New Roman" w:eastAsia="Times New Roman" w:hAnsi="Times New Roman"/>
          <w:sz w:val="17"/>
          <w:szCs w:val="17"/>
          <w:color w:val="auto"/>
        </w:rPr>
        <w:t>. Executive shall be required to repay incentive pay to the Company as described in this Section 23, and the Company may offset payments otherwise due and payable under this Agreement by the amounts required to be repaid under this Section 23. Repayment of incentive pay shall be required if, and to the extent that, the Compensation Committee determines, in its sole discretion, that repayment is due on account of a restatement of the Company’s financial statements or otherwise pursuant to any clawback or compensation recoupment policy as may be in effect or amended from time to time) (the “</w:t>
      </w:r>
      <w:r>
        <w:rPr>
          <w:rFonts w:ascii="Times New Roman" w:cs="Times New Roman" w:eastAsia="Times New Roman" w:hAnsi="Times New Roman"/>
          <w:sz w:val="17"/>
          <w:szCs w:val="17"/>
          <w:b w:val="1"/>
          <w:bCs w:val="1"/>
          <w:i w:val="1"/>
          <w:iCs w:val="1"/>
          <w:color w:val="auto"/>
        </w:rPr>
        <w:t>Recoupment Policy</w:t>
      </w:r>
      <w:r>
        <w:rPr>
          <w:rFonts w:ascii="Times New Roman" w:cs="Times New Roman" w:eastAsia="Times New Roman" w:hAnsi="Times New Roman"/>
          <w:sz w:val="17"/>
          <w:szCs w:val="17"/>
          <w:color w:val="auto"/>
        </w:rPr>
        <w:t>”). Where the result of a performance measure was a factor in determining the compensation awarded or paid, but</w:t>
      </w:r>
    </w:p>
    <w:p>
      <w:pPr>
        <w:spacing w:after="0" w:line="2" w:lineRule="exact"/>
        <w:rPr>
          <w:rFonts w:ascii="Times New Roman" w:cs="Times New Roman" w:eastAsia="Times New Roman" w:hAnsi="Times New Roman"/>
          <w:sz w:val="17"/>
          <w:szCs w:val="17"/>
          <w:color w:val="auto"/>
        </w:rPr>
      </w:pPr>
    </w:p>
    <w:p>
      <w:pPr>
        <w:ind w:left="4" w:hanging="4"/>
        <w:spacing w:after="0" w:line="252" w:lineRule="auto"/>
        <w:tabs>
          <w:tab w:leader="none" w:pos="21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subsequently-restated performance measure was not the only factor used to determine the compensation awarded or paid, or (ii) the incentive-based compensation is not awarded or paid on a formulaic basis, the Committee will determine in its discretion the amount, if any, by which the payment or award should be reduced. If the Committee seeks to recover payment of incentive pay as a result of a restatement of the Company’s financial statements or otherwise under the Recoupment Policy, Executive shall pay to the Company, as applicable, (A) all or a portion (as determined by the Committee in its reasonable discretion) of the amount by which the payment received by Executive exceeds the amount that would have been paid to Executive based on the restated financial statements, or (B) the amount (as determined by the Committee in its reasonable discretion) to be repaid pursuant to the Recoupment Policy. Nothing in this Section 23 shall preclude the Company (or any other person) from taking any other action.</w:t>
      </w:r>
    </w:p>
    <w:p>
      <w:pPr>
        <w:spacing w:after="0" w:line="80" w:lineRule="exact"/>
        <w:rPr>
          <w:rFonts w:ascii="Times New Roman" w:cs="Times New Roman" w:eastAsia="Times New Roman" w:hAnsi="Times New Roman"/>
          <w:sz w:val="18"/>
          <w:szCs w:val="18"/>
          <w:color w:val="auto"/>
        </w:rPr>
      </w:pPr>
    </w:p>
    <w:p>
      <w:pPr>
        <w:ind w:left="4" w:right="160" w:firstLine="436"/>
        <w:spacing w:after="0" w:line="282" w:lineRule="auto"/>
        <w:tabs>
          <w:tab w:leader="none" w:pos="71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when so executed and delivered shall be taken to be an original; but such counterparts shall together constitute one and the same document.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70"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effective on the Effective Date.</w:t>
      </w:r>
    </w:p>
    <w:p>
      <w:pPr>
        <w:spacing w:after="0" w:line="248" w:lineRule="exact"/>
        <w:rPr>
          <w:sz w:val="20"/>
          <w:szCs w:val="20"/>
          <w:color w:val="auto"/>
        </w:rPr>
      </w:pPr>
    </w:p>
    <w:p>
      <w:pPr>
        <w:jc w:val="right"/>
        <w:ind w:right="1740"/>
        <w:spacing w:after="0"/>
        <w:rPr>
          <w:sz w:val="20"/>
          <w:szCs w:val="20"/>
          <w:color w:val="auto"/>
        </w:rPr>
      </w:pPr>
      <w:r>
        <w:rPr>
          <w:rFonts w:ascii="Times New Roman" w:cs="Times New Roman" w:eastAsia="Times New Roman" w:hAnsi="Times New Roman"/>
          <w:sz w:val="18"/>
          <w:szCs w:val="18"/>
          <w:b w:val="1"/>
          <w:bCs w:val="1"/>
          <w:color w:val="auto"/>
        </w:rPr>
        <w:t>ADAGIO THERAPEUTICS, INC.</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Marc Elia</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Marc Elia</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Chair of the Board of Directors</w:t>
            </w:r>
          </w:p>
        </w:tc>
      </w:tr>
    </w:tbl>
    <w:p>
      <w:pPr>
        <w:spacing w:after="0" w:line="19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EXECUTIVE</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David Hering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17145</wp:posOffset>
            </wp:positionV>
            <wp:extent cx="27946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David Hering</w:t>
      </w:r>
    </w:p>
    <w:p>
      <w:pPr>
        <w:spacing w:after="0" w:line="1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80"/>
          </w:cols>
          <w:pgMar w:left="880" w:top="270" w:right="439"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Outside Activities</w:t>
      </w:r>
    </w:p>
    <w:p>
      <w:pPr>
        <w:sectPr>
          <w:pgSz w:w="11900" w:h="16838" w:orient="portrait"/>
          <w:cols w:equalWidth="0" w:num="1">
            <w:col w:w="9019"/>
          </w:cols>
          <w:pgMar w:left="1440" w:top="266" w:right="1440" w:bottom="1440" w:gutter="0" w:footer="0" w:header="0"/>
        </w:sectPr>
      </w:pPr>
    </w:p>
    <w:bookmarkStart w:id="25" w:name="page26"/>
    <w:bookmarkEnd w:id="25"/>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Appendix B</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SEPARATION AGREEMENT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w:t>
      </w:r>
    </w:p>
    <w:p>
      <w:pPr>
        <w:spacing w:after="0" w:line="31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 Separation Agreement</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[Name]:</w:t>
      </w:r>
    </w:p>
    <w:p>
      <w:pPr>
        <w:spacing w:after="0" w:line="225"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This letter sets forth the substance of the separation agreement (the “Agreement”) which Adagio Therapeutics, Inc. (the “Company”) is offering to you to aid in your employment transition.</w:t>
      </w:r>
    </w:p>
    <w:p>
      <w:pPr>
        <w:spacing w:after="0" w:line="50" w:lineRule="exact"/>
        <w:rPr>
          <w:sz w:val="20"/>
          <w:szCs w:val="20"/>
          <w:color w:val="auto"/>
        </w:rPr>
      </w:pPr>
    </w:p>
    <w:p>
      <w:pPr>
        <w:ind w:left="184" w:hanging="184"/>
        <w:spacing w:after="0"/>
        <w:tabs>
          <w:tab w:leader="none" w:pos="18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Separation. </w:t>
      </w:r>
      <w:r>
        <w:rPr>
          <w:rFonts w:ascii="Times New Roman" w:cs="Times New Roman" w:eastAsia="Times New Roman" w:hAnsi="Times New Roman"/>
          <w:sz w:val="18"/>
          <w:szCs w:val="18"/>
          <w:color w:val="auto"/>
        </w:rPr>
        <w:t>Your last day of work with the Company and your employment termination date will be [Date] (the “Separation Date”).</w:t>
      </w:r>
    </w:p>
    <w:p>
      <w:pPr>
        <w:spacing w:after="0" w:line="117" w:lineRule="exact"/>
        <w:rPr>
          <w:rFonts w:ascii="Times New Roman" w:cs="Times New Roman" w:eastAsia="Times New Roman" w:hAnsi="Times New Roman"/>
          <w:sz w:val="18"/>
          <w:szCs w:val="18"/>
          <w:b w:val="1"/>
          <w:bCs w:val="1"/>
          <w:color w:val="auto"/>
        </w:rPr>
      </w:pPr>
    </w:p>
    <w:p>
      <w:pPr>
        <w:ind w:left="4" w:right="540" w:hanging="4"/>
        <w:spacing w:after="0" w:line="286" w:lineRule="auto"/>
        <w:tabs>
          <w:tab w:leader="none" w:pos="18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Accrued Salary. </w:t>
      </w:r>
      <w:r>
        <w:rPr>
          <w:rFonts w:ascii="Times New Roman" w:cs="Times New Roman" w:eastAsia="Times New Roman" w:hAnsi="Times New Roman"/>
          <w:sz w:val="18"/>
          <w:szCs w:val="18"/>
          <w:color w:val="auto"/>
        </w:rPr>
        <w:t>On the Separation Date, the Company will pay you all accrued salary earned through the Separation Date, subject to standard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payroll deductions and withholdings. You will receive these payments regardless of whether or not you sign this Agreement.</w:t>
      </w:r>
    </w:p>
    <w:p>
      <w:pPr>
        <w:spacing w:after="0" w:line="46" w:lineRule="exact"/>
        <w:rPr>
          <w:rFonts w:ascii="Times New Roman" w:cs="Times New Roman" w:eastAsia="Times New Roman" w:hAnsi="Times New Roman"/>
          <w:sz w:val="18"/>
          <w:szCs w:val="18"/>
          <w:b w:val="1"/>
          <w:bCs w:val="1"/>
          <w:color w:val="auto"/>
        </w:rPr>
      </w:pPr>
    </w:p>
    <w:p>
      <w:pPr>
        <w:ind w:left="4" w:right="20" w:hanging="4"/>
        <w:spacing w:after="0" w:line="286" w:lineRule="auto"/>
        <w:tabs>
          <w:tab w:leader="none" w:pos="18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Severance Benefits. </w:t>
      </w:r>
      <w:r>
        <w:rPr>
          <w:rFonts w:ascii="Times New Roman" w:cs="Times New Roman" w:eastAsia="Times New Roman" w:hAnsi="Times New Roman"/>
          <w:sz w:val="18"/>
          <w:szCs w:val="18"/>
          <w:color w:val="auto"/>
        </w:rPr>
        <w:t>If you execute and do not revoke this Agreement, the Company will provide you with the following Severance Benefits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terms of your [month, date, year] Employment Agreement with the Company (the “Employment Agreement”).</w:t>
      </w:r>
    </w:p>
    <w:p>
      <w:pPr>
        <w:spacing w:after="0" w:line="159"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The Company is offering severance to you in reliance on Treasury Regulation Section 1.409A-1(b)(9) and the short term deferral exemption in Treasury Regulation Section 1.409A-1(b)(4). Any payments made in reliance on Treasury Regulation Section 1.409A-1(b)(4) will be made not later than March 15, 20__. For purposes of Code Section 409A, your right to receive any installment payments under this Agreement (whether severance payments, reimbursements or otherwise) shall be treated as a right to receive a series of separate payments and, accordingly, each installment payment hereunder shall at all times be considered a separate and distinct payment.</w:t>
      </w:r>
    </w:p>
    <w:p>
      <w:pPr>
        <w:spacing w:after="0" w:line="2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4. Benefit Plans.</w:t>
      </w:r>
    </w:p>
    <w:p>
      <w:pPr>
        <w:spacing w:after="0" w:line="119" w:lineRule="exact"/>
        <w:rPr>
          <w:sz w:val="20"/>
          <w:szCs w:val="20"/>
          <w:color w:val="auto"/>
        </w:rPr>
      </w:pPr>
    </w:p>
    <w:p>
      <w:pPr>
        <w:ind w:left="4" w:right="60"/>
        <w:spacing w:after="0" w:line="261" w:lineRule="auto"/>
        <w:rPr>
          <w:sz w:val="20"/>
          <w:szCs w:val="20"/>
          <w:color w:val="auto"/>
        </w:rPr>
      </w:pPr>
      <w:r>
        <w:rPr>
          <w:rFonts w:ascii="Times New Roman" w:cs="Times New Roman" w:eastAsia="Times New Roman" w:hAnsi="Times New Roman"/>
          <w:sz w:val="18"/>
          <w:szCs w:val="18"/>
          <w:color w:val="auto"/>
        </w:rPr>
        <w:t xml:space="preserve">If you are currently participating in the Company’s group health insurance plans, your participation as an employee will end on [the Separation Date]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[the last day of the month in which separation occurs]. Thereafter, to the extent provided by the federal COBRA law or, if applicable, state insurance laws, and by the Company’s current group health insurance policies, you will be eligible to continue your group health insurance benefits at your own expense. Later, you may be able to convert to an individual policy through the provider of the Company’s health insurance, if you wish.</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66" w:right="459" w:bottom="1440" w:gutter="0" w:footer="0" w:header="0"/>
        </w:sectPr>
      </w:pPr>
    </w:p>
    <w:bookmarkStart w:id="26" w:name="page27"/>
    <w:bookmarkEnd w:id="26"/>
    <w:p>
      <w:pPr>
        <w:ind w:left="4" w:right="7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Deductions for the 401(k) Plan will end with your last regular paycheck. You will receive information by mail concerning 401(k) plan rollover procedures should you be a participant in this program.</w:t>
      </w:r>
    </w:p>
    <w:p>
      <w:pPr>
        <w:spacing w:after="0" w:line="162" w:lineRule="exact"/>
        <w:rPr>
          <w:sz w:val="20"/>
          <w:szCs w:val="20"/>
          <w:color w:val="auto"/>
        </w:rPr>
      </w:pPr>
    </w:p>
    <w:p>
      <w:pPr>
        <w:ind w:left="4" w:right="160"/>
        <w:spacing w:after="0" w:line="282" w:lineRule="auto"/>
        <w:rPr>
          <w:sz w:val="20"/>
          <w:szCs w:val="20"/>
          <w:color w:val="auto"/>
        </w:rPr>
      </w:pPr>
      <w:r>
        <w:rPr>
          <w:rFonts w:ascii="Times New Roman" w:cs="Times New Roman" w:eastAsia="Times New Roman" w:hAnsi="Times New Roman"/>
          <w:sz w:val="18"/>
          <w:szCs w:val="18"/>
          <w:color w:val="auto"/>
        </w:rPr>
        <w:t>You may be eligible for unemployment insurance benefits after the Separation Date. The Massachusetts Department of Unemployment Assistance, not the Company, will determine your eligibility for such benefits.</w:t>
      </w:r>
    </w:p>
    <w:p>
      <w:pPr>
        <w:spacing w:after="0" w:line="50" w:lineRule="exact"/>
        <w:rPr>
          <w:sz w:val="20"/>
          <w:szCs w:val="20"/>
          <w:color w:val="auto"/>
        </w:rPr>
      </w:pPr>
    </w:p>
    <w:p>
      <w:pPr>
        <w:ind w:left="4" w:right="60" w:hanging="4"/>
        <w:spacing w:after="0" w:line="286" w:lineRule="auto"/>
        <w:tabs>
          <w:tab w:leader="none" w:pos="18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 Options. </w:t>
      </w:r>
      <w:r>
        <w:rPr>
          <w:rFonts w:ascii="Times New Roman" w:cs="Times New Roman" w:eastAsia="Times New Roman" w:hAnsi="Times New Roman"/>
          <w:sz w:val="18"/>
          <w:szCs w:val="18"/>
          <w:color w:val="auto"/>
        </w:rPr>
        <w:t>You were granted an option to purchase ________ shares of the Company’s common stock, pursuant to the Company’s [correct name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Stock or incentive plan] (the “Plan”). Under the terms of the Plan and your stock option grant, vesting will cease as of the Separation Date.</w:t>
      </w:r>
    </w:p>
    <w:p>
      <w:pPr>
        <w:spacing w:after="0" w:line="46" w:lineRule="exact"/>
        <w:rPr>
          <w:rFonts w:ascii="Times New Roman" w:cs="Times New Roman" w:eastAsia="Times New Roman" w:hAnsi="Times New Roman"/>
          <w:sz w:val="18"/>
          <w:szCs w:val="18"/>
          <w:b w:val="1"/>
          <w:bCs w:val="1"/>
          <w:color w:val="auto"/>
        </w:rPr>
      </w:pPr>
    </w:p>
    <w:p>
      <w:pPr>
        <w:ind w:left="4" w:right="560" w:hanging="4"/>
        <w:spacing w:after="0" w:line="286" w:lineRule="auto"/>
        <w:tabs>
          <w:tab w:leader="none" w:pos="18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Compensation or Benefits. </w:t>
      </w:r>
      <w:r>
        <w:rPr>
          <w:rFonts w:ascii="Times New Roman" w:cs="Times New Roman" w:eastAsia="Times New Roman" w:hAnsi="Times New Roman"/>
          <w:sz w:val="18"/>
          <w:szCs w:val="18"/>
          <w:color w:val="auto"/>
        </w:rPr>
        <w:t>You acknowledge that, except as expressly provided in this Agreement, you will not receive any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compensation, severance or benefits after the Separation Date.</w:t>
      </w:r>
    </w:p>
    <w:p>
      <w:pPr>
        <w:spacing w:after="0" w:line="46" w:lineRule="exact"/>
        <w:rPr>
          <w:rFonts w:ascii="Times New Roman" w:cs="Times New Roman" w:eastAsia="Times New Roman" w:hAnsi="Times New Roman"/>
          <w:sz w:val="18"/>
          <w:szCs w:val="18"/>
          <w:b w:val="1"/>
          <w:bCs w:val="1"/>
          <w:color w:val="auto"/>
        </w:rPr>
      </w:pPr>
    </w:p>
    <w:p>
      <w:pPr>
        <w:ind w:left="4" w:right="420" w:hanging="4"/>
        <w:spacing w:after="0" w:line="268" w:lineRule="auto"/>
        <w:tabs>
          <w:tab w:leader="none" w:pos="18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 Reimbursements. </w:t>
      </w:r>
      <w:r>
        <w:rPr>
          <w:rFonts w:ascii="Times New Roman" w:cs="Times New Roman" w:eastAsia="Times New Roman" w:hAnsi="Times New Roman"/>
          <w:sz w:val="18"/>
          <w:szCs w:val="18"/>
          <w:color w:val="auto"/>
        </w:rPr>
        <w:t>You agree that, within ten (10) days of the Separation Date, you will submit your final documented expense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reimbursement statement reflecting all business expenses you incurred through the Separation Date, if any, for which you seek reimbursement. The Company will reimburse you for reasonable business expenses pursuant to its regular business practice.</w:t>
      </w:r>
    </w:p>
    <w:p>
      <w:pPr>
        <w:spacing w:after="0" w:line="62" w:lineRule="exact"/>
        <w:rPr>
          <w:rFonts w:ascii="Times New Roman" w:cs="Times New Roman" w:eastAsia="Times New Roman" w:hAnsi="Times New Roman"/>
          <w:sz w:val="18"/>
          <w:szCs w:val="18"/>
          <w:b w:val="1"/>
          <w:bCs w:val="1"/>
          <w:color w:val="auto"/>
        </w:rPr>
      </w:pPr>
    </w:p>
    <w:p>
      <w:pPr>
        <w:ind w:left="4" w:right="300" w:hanging="4"/>
        <w:spacing w:after="0" w:line="257" w:lineRule="auto"/>
        <w:tabs>
          <w:tab w:leader="none" w:pos="184"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Return of Company Property. </w:t>
      </w:r>
      <w:r>
        <w:rPr>
          <w:rFonts w:ascii="Times New Roman" w:cs="Times New Roman" w:eastAsia="Times New Roman" w:hAnsi="Times New Roman"/>
          <w:sz w:val="18"/>
          <w:szCs w:val="18"/>
          <w:color w:val="auto"/>
        </w:rPr>
        <w:t>By the Separation Date, you agree to return to the Company all Company documents (and all copies thereof)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Company property that you have had in your possession at any time, including, but not limited to, Company files, notes, drawings, records, business plans and forecasts, financial information, specifications, computer-recorded information, tangible property (including, but not limited to, computers), credit cards, entry cards, identification badges and keys; and, any materials of any kind that contain or embody any proprietary or confidential information of the Company (and all reproductions thereof). Please coordinate return of Company property with [name/title]. </w:t>
      </w:r>
      <w:r>
        <w:rPr>
          <w:rFonts w:ascii="Times New Roman" w:cs="Times New Roman" w:eastAsia="Times New Roman" w:hAnsi="Times New Roman"/>
          <w:sz w:val="18"/>
          <w:szCs w:val="18"/>
          <w:b w:val="1"/>
          <w:bCs w:val="1"/>
          <w:color w:val="auto"/>
        </w:rPr>
        <w:t>Receipt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severance benefits described in Section 3 of this Agreement is expressly conditioned upon return of all Company Property.</w:t>
      </w:r>
    </w:p>
    <w:p>
      <w:pPr>
        <w:spacing w:after="0" w:line="74" w:lineRule="exact"/>
        <w:rPr>
          <w:rFonts w:ascii="Times New Roman" w:cs="Times New Roman" w:eastAsia="Times New Roman" w:hAnsi="Times New Roman"/>
          <w:sz w:val="18"/>
          <w:szCs w:val="18"/>
          <w:b w:val="1"/>
          <w:bCs w:val="1"/>
          <w:color w:val="auto"/>
        </w:rPr>
      </w:pPr>
    </w:p>
    <w:p>
      <w:pPr>
        <w:ind w:left="4" w:hanging="4"/>
        <w:spacing w:after="0" w:line="267" w:lineRule="auto"/>
        <w:tabs>
          <w:tab w:leader="none" w:pos="184"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Confidential Information and Post-Termination Obligations. </w:t>
      </w:r>
      <w:r>
        <w:rPr>
          <w:rFonts w:ascii="Times New Roman" w:cs="Times New Roman" w:eastAsia="Times New Roman" w:hAnsi="Times New Roman"/>
          <w:sz w:val="17"/>
          <w:szCs w:val="17"/>
          <w:color w:val="auto"/>
        </w:rPr>
        <w:t>Both during and after your employment you acknowledge your continuing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obligations under your Employee Proprietary Information and Inventions Assignment Agreement (“Restrictive Covenants Agreement”) not to use or disclose any confidential or proprietary information of the Company and to refrain from certain solicitation activities. A copy of your Restrictive Covenants Agreement is attached hereto. If you have any doubts as to the scope of the restrictions in your agreement, you should contact [name/title] immediately to assess your compliance. As you know, the Company will enforce its contract rights. Please familiarize yourself with the enclosed agreement which you signed. Confidential information that is also a “trade secret,” as defined by law, may be disclosed (A) if it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in the event that you file a lawsuit for retaliation by the Company for reporting a suspected violation of law, you may disclose the trade secret to your attorney and use the trade secret information in the court proceeding, if you: (A) file any document containing the trade secret under seal; and</w:t>
      </w:r>
    </w:p>
    <w:p>
      <w:pPr>
        <w:spacing w:after="0" w:line="7" w:lineRule="exact"/>
        <w:rPr>
          <w:rFonts w:ascii="Times New Roman" w:cs="Times New Roman" w:eastAsia="Times New Roman" w:hAnsi="Times New Roman"/>
          <w:sz w:val="17"/>
          <w:szCs w:val="17"/>
          <w:b w:val="1"/>
          <w:bCs w:val="1"/>
          <w:color w:val="auto"/>
        </w:rPr>
      </w:pPr>
    </w:p>
    <w:p>
      <w:pPr>
        <w:ind w:left="4"/>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(B) do not disclose the trade secret, except pursuant to court order.</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4"/>
          </w:cols>
          <w:pgMar w:left="436" w:top="270" w:right="439" w:bottom="1440" w:gutter="0" w:footer="0" w:header="0"/>
        </w:sectPr>
      </w:pPr>
    </w:p>
    <w:bookmarkStart w:id="27" w:name="page28"/>
    <w:bookmarkEnd w:id="27"/>
    <w:p>
      <w:pPr>
        <w:ind w:left="4" w:right="100" w:hanging="4"/>
        <w:spacing w:after="0" w:line="271" w:lineRule="auto"/>
        <w:tabs>
          <w:tab w:leader="none" w:pos="274" w:val="left"/>
        </w:tabs>
        <w:numPr>
          <w:ilvl w:val="0"/>
          <w:numId w:val="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Non-Compete. </w:t>
      </w:r>
      <w:r>
        <w:rPr>
          <w:rFonts w:ascii="Times New Roman" w:cs="Times New Roman" w:eastAsia="Times New Roman" w:hAnsi="Times New Roman"/>
          <w:sz w:val="17"/>
          <w:szCs w:val="17"/>
          <w:color w:val="auto"/>
        </w:rPr>
        <w:t>In consideration of the increased compensation and benefits provided to you under the Employment Agreement, including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severance benefits set forth in this Agreement, to which you would not otherwise be entitled, you agree that during the one year period after the Separation Date, you will not, whether paid or not: (i) serve as a partner, principal, licensor, licensee, employee, consultant, officer, director, manager, agent, affiliate, representative, advisor, promoter, associate, investor, or otherwise for, (ii) directly or indirectly, own, purchase, organize or take preparatory steps for the organization of, or (iii) build, design, finance, acquire, lease, operate, manage, control, invest in, work or consult for or otherwise join, participate in or affiliate yourself with, any business whose business, products or operations are in any respect involved in Conflicting Services (defined below) anywhere in the Restricted Territory (defined below). Should you obtain other employment within 12 months immediately following the Separation Date, you agree to provide written notification to the Company as to the name and address of your new employer, the position that you expect to hold, and a general description of your duties and responsibilities, at least three business days prior to starting such employment.</w:t>
      </w:r>
    </w:p>
    <w:p>
      <w:pPr>
        <w:spacing w:after="0" w:line="177" w:lineRule="exact"/>
        <w:rPr>
          <w:rFonts w:ascii="Times New Roman" w:cs="Times New Roman" w:eastAsia="Times New Roman" w:hAnsi="Times New Roman"/>
          <w:sz w:val="17"/>
          <w:szCs w:val="17"/>
          <w:b w:val="1"/>
          <w:bCs w:val="1"/>
          <w:color w:val="auto"/>
        </w:rPr>
      </w:pPr>
    </w:p>
    <w:p>
      <w:pPr>
        <w:ind w:left="4" w:right="440" w:firstLine="436"/>
        <w:spacing w:after="0" w:line="282" w:lineRule="auto"/>
        <w:tabs>
          <w:tab w:leader="none" w:pos="639"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agree that for purposes of this Agreement, “Conflicting Services” means any business in which the Company is engaged, or in which the Company has plans to be engaged, or any service that the Company provides or has plans to provide.</w:t>
      </w:r>
    </w:p>
    <w:p>
      <w:pPr>
        <w:spacing w:after="0" w:line="161" w:lineRule="exact"/>
        <w:rPr>
          <w:rFonts w:ascii="Times New Roman" w:cs="Times New Roman" w:eastAsia="Times New Roman" w:hAnsi="Times New Roman"/>
          <w:sz w:val="18"/>
          <w:szCs w:val="18"/>
          <w:b w:val="1"/>
          <w:bCs w:val="1"/>
          <w:color w:val="auto"/>
        </w:rPr>
      </w:pPr>
    </w:p>
    <w:p>
      <w:pPr>
        <w:ind w:left="4" w:firstLine="436"/>
        <w:spacing w:after="0" w:line="282" w:lineRule="auto"/>
        <w:tabs>
          <w:tab w:leader="none" w:pos="649"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parties further agree that for purposes of this Agreement, “Restricted Territory” means the geographic areas in which you provided services for the Company or had a material presence or influence, during any time within the last two years prior to the Separation Date.</w:t>
      </w:r>
    </w:p>
    <w:p>
      <w:pPr>
        <w:spacing w:after="0" w:line="161" w:lineRule="exact"/>
        <w:rPr>
          <w:rFonts w:ascii="Times New Roman" w:cs="Times New Roman" w:eastAsia="Times New Roman" w:hAnsi="Times New Roman"/>
          <w:sz w:val="18"/>
          <w:szCs w:val="18"/>
          <w:b w:val="1"/>
          <w:bCs w:val="1"/>
          <w:color w:val="auto"/>
        </w:rPr>
      </w:pPr>
    </w:p>
    <w:p>
      <w:pPr>
        <w:ind w:left="4" w:right="260" w:firstLine="436"/>
        <w:spacing w:after="0" w:line="282" w:lineRule="auto"/>
        <w:tabs>
          <w:tab w:leader="none" w:pos="629"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You acknowledge and affirm that you have been advised by this writing that you have the right to consult with an attorney prior to executing this Agreement.</w:t>
      </w:r>
    </w:p>
    <w:p>
      <w:pPr>
        <w:spacing w:after="0" w:line="49" w:lineRule="exact"/>
        <w:rPr>
          <w:rFonts w:ascii="Times New Roman" w:cs="Times New Roman" w:eastAsia="Times New Roman" w:hAnsi="Times New Roman"/>
          <w:sz w:val="18"/>
          <w:szCs w:val="18"/>
          <w:b w:val="1"/>
          <w:bCs w:val="1"/>
          <w:color w:val="auto"/>
        </w:rPr>
      </w:pPr>
    </w:p>
    <w:p>
      <w:pPr>
        <w:ind w:left="4" w:right="40" w:hanging="4"/>
        <w:spacing w:after="0" w:line="256" w:lineRule="auto"/>
        <w:tabs>
          <w:tab w:leader="none" w:pos="26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Confidentiality. </w:t>
      </w:r>
      <w:r>
        <w:rPr>
          <w:rFonts w:ascii="Times New Roman" w:cs="Times New Roman" w:eastAsia="Times New Roman" w:hAnsi="Times New Roman"/>
          <w:sz w:val="18"/>
          <w:szCs w:val="18"/>
          <w:color w:val="auto"/>
        </w:rPr>
        <w:t>The provisions of this Agreement will be held in strictest confidence by you and will not be publicized or disclosed in any manner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whatsoever;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you may disclose this Agreement to your immediate family; (b) you may disclose this Agreement in confidence to your attorney, accountant, auditor, tax preparer, and financial advisor; and (c) you may disclose this Agreement insofar as such disclosure may be required by law.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66" w:right="459" w:bottom="1440" w:gutter="0" w:footer="0" w:header="0"/>
        </w:sectPr>
      </w:pPr>
    </w:p>
    <w:bookmarkStart w:id="28" w:name="page29"/>
    <w:bookmarkEnd w:id="28"/>
    <w:p>
      <w:pPr>
        <w:ind w:left="4" w:right="80" w:hanging="4"/>
        <w:spacing w:after="0" w:line="254" w:lineRule="auto"/>
        <w:tabs>
          <w:tab w:leader="none" w:pos="27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Non-Disparagement. </w:t>
      </w:r>
      <w:r>
        <w:rPr>
          <w:rFonts w:ascii="Times New Roman" w:cs="Times New Roman" w:eastAsia="Times New Roman" w:hAnsi="Times New Roman"/>
          <w:sz w:val="18"/>
          <w:szCs w:val="18"/>
          <w:color w:val="auto"/>
        </w:rPr>
        <w:t>You agree not to disparage the Company, and the Company’s attorneys, directors, managers, partners, employees, agents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affiliates, in any manner likely to be harmful to them or their business, business reputation or personal reputation; provided that you may respond accurately and fully to any question, inquiry or request for information when required by legal process. You further agree that, by no later than the Effective Date, you shall delete or otherwise remove any and all disparaging public comments or statements that you made prior to the Effective Date about or relating to the Company, including, but not limited to, comments in online forums or on websites (including, but not limited to, Facebook, Glassdoor, Yelp, and LinkedIn). Notwithstanding the foregoing, nothing in this Agreement shall limit your right to voluntarily communicate with the Equal Employment Opportunity Commission, United States Department of Labor, the National Labor Relations Board, the Securities and Exchange Commission, other federal government agency or similar state or local agency or to discuss the terms and conditions of your employment with others to the extent expressly permitted by Section 7 of the National Labor Relations Act.</w:t>
      </w:r>
    </w:p>
    <w:p>
      <w:pPr>
        <w:spacing w:after="0" w:line="80" w:lineRule="exact"/>
        <w:rPr>
          <w:rFonts w:ascii="Times New Roman" w:cs="Times New Roman" w:eastAsia="Times New Roman" w:hAnsi="Times New Roman"/>
          <w:sz w:val="18"/>
          <w:szCs w:val="18"/>
          <w:b w:val="1"/>
          <w:bCs w:val="1"/>
          <w:color w:val="auto"/>
        </w:rPr>
      </w:pPr>
    </w:p>
    <w:p>
      <w:pPr>
        <w:ind w:left="4" w:right="320" w:hanging="4"/>
        <w:spacing w:after="0" w:line="262" w:lineRule="auto"/>
        <w:tabs>
          <w:tab w:leader="none" w:pos="27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Cooperation after Termination. </w:t>
      </w:r>
      <w:r>
        <w:rPr>
          <w:rFonts w:ascii="Times New Roman" w:cs="Times New Roman" w:eastAsia="Times New Roman" w:hAnsi="Times New Roman"/>
          <w:sz w:val="18"/>
          <w:szCs w:val="18"/>
          <w:color w:val="auto"/>
        </w:rPr>
        <w:t>You agree to cooperate fully with the Company in all matters relating to the transition of your work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responsibilities on behalf of the Company, including, but not limited to, any present, prior or subsequent relationships and the orderly transfer of any such work and institutional knowledge to such other persons as may be designated by the Company, by making yourself reasonably available during regular business hours.</w:t>
      </w:r>
    </w:p>
    <w:p>
      <w:pPr>
        <w:spacing w:after="0" w:line="68" w:lineRule="exact"/>
        <w:rPr>
          <w:rFonts w:ascii="Times New Roman" w:cs="Times New Roman" w:eastAsia="Times New Roman" w:hAnsi="Times New Roman"/>
          <w:sz w:val="18"/>
          <w:szCs w:val="18"/>
          <w:b w:val="1"/>
          <w:bCs w:val="1"/>
          <w:color w:val="auto"/>
        </w:rPr>
      </w:pPr>
    </w:p>
    <w:p>
      <w:pPr>
        <w:ind w:left="4" w:hanging="4"/>
        <w:spacing w:after="0" w:line="253" w:lineRule="auto"/>
        <w:tabs>
          <w:tab w:leader="none" w:pos="274"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Release. </w:t>
      </w:r>
      <w:r>
        <w:rPr>
          <w:rFonts w:ascii="Times New Roman" w:cs="Times New Roman" w:eastAsia="Times New Roman" w:hAnsi="Times New Roman"/>
          <w:sz w:val="18"/>
          <w:szCs w:val="18"/>
          <w:color w:val="auto"/>
        </w:rPr>
        <w:t>In exchange for the payments and other consideration under this Agreement, to which you would not otherwise be entitled, and except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set forth in this Agreement, you, on behalf of yourself and, to the extent permitted by law, on behalf of your spouse, heirs, executors, administrators, assigns, insurers, attorneys and other persons or entities, acting or purporting to act on your behalf (collectively, the “Employee Parties”), hereby generally and completely release, acquit and forever discharge the Company, its parents and subsidiaries, and its and their officers, directors, managers, partners, agents, representatives, employees, attorneys, shareholders, predecessors, successors, assigns, insurers and affiliates (the “Company Parties”) of and from any and all claims, liabilities, demands, contentions, actions, causes of action, suits, costs, expenses, attorneys’ fees, damages, indemnities, debts, judgments, levies, executions and obligations of every kind and nature, in law, equity, or otherwise, both known and unknown, suspected and unsuspected, disclosed and undisclosed, arising out of or in any way related to agreements, events, acts or conduct at any time prior to and including the execution date of this Agreement, including but not limited to: all such claims and demands directly or indirectly arising out of or in any way connected with your employment with the Company or the termination of that employment; claims or demands related to salary, bonuses, commissions, stock, stock options, or any other ownership interests in the Company, vacation pay, fringe benefits, expense reimbursements, severance pay, or any other form of compensation; claims pursuant to any federal, state or local law, statute, or cause of action; tort law; or contract law (individually a “Claim” and collectively “Claims”). The Claims you are releasing and waiving in this Agreement include, but are not limited to, any and all Claims that any of the Company Parties:</w:t>
      </w:r>
    </w:p>
    <w:p>
      <w:pPr>
        <w:spacing w:after="0" w:line="94" w:lineRule="exact"/>
        <w:rPr>
          <w:rFonts w:ascii="Times New Roman" w:cs="Times New Roman" w:eastAsia="Times New Roman" w:hAnsi="Times New Roman"/>
          <w:sz w:val="18"/>
          <w:szCs w:val="18"/>
          <w:b w:val="1"/>
          <w:bCs w:val="1"/>
          <w:color w:val="auto"/>
        </w:rPr>
      </w:pPr>
    </w:p>
    <w:p>
      <w:pPr>
        <w:ind w:left="964" w:hanging="424"/>
        <w:spacing w:after="0"/>
        <w:tabs>
          <w:tab w:leader="none" w:pos="9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violated its personnel policies, handbooks, contracts of employment, or covenants of good faith and fair dealing;</w:t>
      </w:r>
    </w:p>
    <w:p>
      <w:pPr>
        <w:spacing w:after="0" w:line="130" w:lineRule="exact"/>
        <w:rPr>
          <w:rFonts w:ascii="Times New Roman" w:cs="Times New Roman" w:eastAsia="Times New Roman" w:hAnsi="Times New Roman"/>
          <w:sz w:val="18"/>
          <w:szCs w:val="18"/>
          <w:color w:val="auto"/>
        </w:rPr>
      </w:pPr>
    </w:p>
    <w:p>
      <w:pPr>
        <w:ind w:left="964" w:right="60" w:hanging="424"/>
        <w:spacing w:after="0" w:line="266" w:lineRule="auto"/>
        <w:tabs>
          <w:tab w:leader="none" w:pos="96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discriminated against you on the basis of age, race, color, sex (including sexual harassment), national origin, ancestry, disability, religion, sexual orientation, marital status, parental status, source of income, entitlement to benefits, any union activities or other protected category in violation of any local, state or federal law, constitution, ordinance, or regulation, including but not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4"/>
          </w:cols>
          <w:pgMar w:left="436" w:top="266" w:right="459" w:bottom="1440" w:gutter="0" w:footer="0" w:header="0"/>
        </w:sectPr>
      </w:pPr>
    </w:p>
    <w:bookmarkStart w:id="29" w:name="page30"/>
    <w:bookmarkEnd w:id="29"/>
    <w:p>
      <w:pPr>
        <w:ind w:left="44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limited to: Title VII of the Civil Rights Act of 1964, the Civil Rights Act of 1866 (42 U.S.C. 1981), the Civil Rights Act of 1991, the Genetic Information Nondiscrimination Act, Executive Order 11246, which prohibit discrimination based on race, color, national origin, religion, or sex; the Americans with Disabilities Act and Sections 503 and 504 of the Rehabilitation Act of 1973, which prohibit discrimination against the disabled, the Age Discrimination in Employment Act (ADEA), which prohibits discrimination based on age, the Older Workers Benefit Protection Act, the National Labor Relations Act, the Lily Ledbetter Fair Pay Act, the anti-retaliation provisions of the Sarbanes-Oxley Act, or any other federal or state law regarding whistleblower retaliation; the Massachusetts Fair Employment Practices Act (M.G.L. c. 151B), the Massachusetts Equal Rights Act, the Massachusetts Equal Pay Act, the Massachusetts Privacy Statute, the Massachusetts Sick Leave Law, the Massachusetts Civil Rights Act, the Vermont Fair Employment Practices Act, the Vermont Parental and Family Leave Act, all as amended, and any and all other federal, state or local laws, rules, regulations, constitutions, ordinances or public policies, whether known or unknown, prohibiting employment discrimination;</w:t>
      </w:r>
    </w:p>
    <w:p>
      <w:pPr>
        <w:spacing w:after="0" w:line="100" w:lineRule="exact"/>
        <w:rPr>
          <w:sz w:val="20"/>
          <w:szCs w:val="20"/>
          <w:color w:val="auto"/>
        </w:rPr>
      </w:pPr>
    </w:p>
    <w:p>
      <w:pPr>
        <w:ind w:left="424" w:right="100" w:hanging="424"/>
        <w:spacing w:after="0" w:line="254" w:lineRule="auto"/>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violated any employment statutes, such as the WARN Act, which requires that advance notice be given of certain workforce reductions; the Employee Retirement Income Security Act of 1974 (ERISA) which, among other things, protects employee benefits; the Fair Labor Standards Act of 1938, which regulates wage and hour matters; the National Labor Relations Act, which protects forms of concerted activity; the Family and Medical Leave Act of 1993, which requires employers to provide leaves of absence under certain circumstances; the Fair Credit Reporting Act, the Employee Polygraph Protection Act, the Massachusetts Payment of Wages Act (M.G.L. c. 149 sections 148 and 150), the Massachusetts Overtime regulations (M.G.L. c. 151 sections 1A and 1B), the Massachusetts Meal Break regulations (M.G.L. c. 149 sections 100 and 101), the Vermont Fair Employment Practices Act, the Vermont Parental and Family Leave Act, all as amended, and any and all other federal, state or local laws, rules, regulations, constitutions, ordinances or public policies, whether known or unknown relating to employment laws, such as veterans’ reemployment rights laws;</w:t>
      </w:r>
    </w:p>
    <w:p>
      <w:pPr>
        <w:spacing w:after="0" w:line="93" w:lineRule="exact"/>
        <w:rPr>
          <w:rFonts w:ascii="Times New Roman" w:cs="Times New Roman" w:eastAsia="Times New Roman" w:hAnsi="Times New Roman"/>
          <w:sz w:val="18"/>
          <w:szCs w:val="18"/>
          <w:color w:val="auto"/>
        </w:rPr>
      </w:pPr>
    </w:p>
    <w:p>
      <w:pPr>
        <w:ind w:left="424" w:right="20" w:hanging="424"/>
        <w:spacing w:after="0" w:line="255" w:lineRule="auto"/>
        <w:tabs>
          <w:tab w:leader="none" w:pos="42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violated any other laws, such as federal, state, or local laws providing workers’ compensation benefits, restricting an employer’s right to terminate employees, or otherwise regulating employment; any federal, state or local law enforcing express or implied employment contracts or requiring an employer to deal with employees fairly or in good faith; any other federal, state or local laws providing recourse for alleged wrongful discharge, retaliatory discharge, negligent hiring, retention, or supervision, physical or personal injury, emotional distress, assault, battery, false imprisonment, fraud, negligent misrepresentation, defamation, intentional or negligent infliction of emotional distress and/or mental anguish, intentional interference with contract, negligence, detrimental reliance, loss of consortium to you or any member of your family, whistleblowing, and similar or related claims.</w:t>
      </w:r>
    </w:p>
    <w:p>
      <w:pPr>
        <w:spacing w:after="0" w:line="121"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464"/>
          </w:cols>
          <w:pgMar w:left="976" w:top="270" w:right="459" w:bottom="1440" w:gutter="0" w:footer="0" w:header="0"/>
        </w:sectPr>
      </w:pPr>
    </w:p>
    <w:bookmarkStart w:id="30" w:name="page31"/>
    <w:bookmarkEnd w:id="30"/>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other than events expressly contemplated by this Agreement you do not waive or release rights or Claims that may arise from events that occur after the date this waiver is executed or your right to enforce this Agreement. Also excluded from this Agreement are any Claims which cannot be waived by law, including, without limitation, any rights you may have under applicable workers’ compensation laws and your right, if applicable, to file or participate in an investigative proceeding of any federal, state or local governmental agency. Nothing in this Agreement shall prevent you from filing, cooperating with, or participating in any proceeding or investigation before the Equal Employment Opportunity Commission, United States Department of Labor, the National Labor Relations Board, the Occupational Safety and Health Administration, the Securities and Exchange Commission or any other federal government agency, or similar state or local agency (“Government Agencies”), or exercising any rights pursuant to Section 7 of the National Labor Relations Act. You further understand this Agreement does not limit your ability to voluntarily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you are otherwise waiving, to the fullest extent permitted by law, any and all rights you may have to individual relief based on any Claims that you have released and any rights you have waived by signing this Agreement.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any of the Company Parties is a party. This Agreement does not abrogate your existing rights under any Company benefit plan or any plan or agreement related to equity ownership in the Company; however, it does waive, release and forever discharge Claims existing as of the date you execute this Agreement pursuant to any such plan or agreement.</w:t>
      </w:r>
    </w:p>
    <w:p>
      <w:pPr>
        <w:spacing w:after="0" w:line="81" w:lineRule="exact"/>
        <w:rPr>
          <w:sz w:val="20"/>
          <w:szCs w:val="20"/>
          <w:color w:val="auto"/>
        </w:rPr>
      </w:pPr>
    </w:p>
    <w:p>
      <w:pPr>
        <w:ind w:left="4" w:right="60" w:hanging="4"/>
        <w:spacing w:after="0" w:line="253" w:lineRule="auto"/>
        <w:tabs>
          <w:tab w:leader="none" w:pos="274"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Your Acknowledgments and Affirmations/ Effective Date of Agreement. </w:t>
      </w:r>
      <w:r>
        <w:rPr>
          <w:rFonts w:ascii="Times New Roman" w:cs="Times New Roman" w:eastAsia="Times New Roman" w:hAnsi="Times New Roman"/>
          <w:sz w:val="18"/>
          <w:szCs w:val="18"/>
          <w:color w:val="auto"/>
        </w:rPr>
        <w:t>You acknowledge that you are knowingly and voluntarily waiving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releasing any and all rights you may have under the ADEA, as amended. You also acknowledge and agree that (i) the consideration given to you in exchange for the waiver and release in this Agreement is in addition to anything of value to which you were already entitled, and (ii) that you have been paid for all time worked, have received all the leave, leaves of absence and leave benefits and protections for which you are eligible, and have not suffered any on-the-job injury for which you have not already filed a Claim. You affirm that all of the decisions of the Company Parties regarding your pay and benefits through the date of your execution of this Agreement were not discriminatory based on age, disability, race, color, sex, religion, national origin or any other classification protected by law. You affirm that you have not filed or caused to be filed, and are not presently a party to, a Claim against any of the Company Parties. You further affirm that you have no known workplace injuries or occupational diseases. You acknowledge and affirm that you have not been retaliated against for reporting any allegation of corporate fraud or other wrongdoing by any of the Company Parties, or for exercising any rights protected by law, including any rights protected by the Fair Labor Standards Act, the Family Medical Leave Act or any related statute or local leave or disability accommodation laws, or any applicable state workers’ compensation law. You further acknowledge and affirm that you have been advised by this writing that: (a) your waiver and release do not apply to any rights or Claims that may arise after the execution date of this</w:t>
      </w:r>
    </w:p>
    <w:p>
      <w:pPr>
        <w:spacing w:after="0" w:line="12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4"/>
          </w:cols>
          <w:pgMar w:left="436" w:top="270" w:right="459" w:bottom="1440" w:gutter="0" w:footer="0" w:header="0"/>
        </w:sectPr>
      </w:pPr>
    </w:p>
    <w:bookmarkStart w:id="31" w:name="page32"/>
    <w:bookmarkEnd w:id="31"/>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(b) you have been advised hereby that you have the right to consult with an attorney prior to executing this Agreement; (c) you have been given twenty-one (21) days to consider this Agreement (although you may choose to voluntarily execute this Agreement earlier and if you do you will sign the Consideration Period waiver below); (d) you have seven (7) business days following your execution of this Agreement to revoke this Agreement; and (e) this Agreement shall not be effective until the date upon which the revocation period has expired unexercised (the “Effective Date”), which shall be the eighth business day after this Agreement is executed by you.</w:t>
      </w:r>
    </w:p>
    <w:p>
      <w:pPr>
        <w:spacing w:after="0" w:line="71" w:lineRule="exact"/>
        <w:rPr>
          <w:sz w:val="20"/>
          <w:szCs w:val="20"/>
          <w:color w:val="auto"/>
        </w:rPr>
      </w:pPr>
    </w:p>
    <w:p>
      <w:pPr>
        <w:jc w:val="both"/>
        <w:ind w:left="4" w:right="120" w:hanging="4"/>
        <w:spacing w:after="0" w:line="268" w:lineRule="auto"/>
        <w:tabs>
          <w:tab w:leader="none" w:pos="27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Admission. </w:t>
      </w:r>
      <w:r>
        <w:rPr>
          <w:rFonts w:ascii="Times New Roman" w:cs="Times New Roman" w:eastAsia="Times New Roman" w:hAnsi="Times New Roman"/>
          <w:sz w:val="18"/>
          <w:szCs w:val="18"/>
          <w:color w:val="auto"/>
        </w:rPr>
        <w:t>This Agreement does not constitute an admission by the Company of any wrongful action or violation of any federal, state, or local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statute, or common law rights, including those relating to the provisions of any law or statute concerning employment actions, or of any other possible or claimed violation of law or rights.</w:t>
      </w:r>
    </w:p>
    <w:p>
      <w:pPr>
        <w:spacing w:after="0" w:line="62" w:lineRule="exact"/>
        <w:rPr>
          <w:rFonts w:ascii="Times New Roman" w:cs="Times New Roman" w:eastAsia="Times New Roman" w:hAnsi="Times New Roman"/>
          <w:sz w:val="18"/>
          <w:szCs w:val="18"/>
          <w:b w:val="1"/>
          <w:bCs w:val="1"/>
          <w:color w:val="auto"/>
        </w:rPr>
      </w:pPr>
    </w:p>
    <w:p>
      <w:pPr>
        <w:ind w:left="4" w:right="40" w:hanging="4"/>
        <w:spacing w:after="0" w:line="255" w:lineRule="auto"/>
        <w:tabs>
          <w:tab w:leader="none" w:pos="27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Breach. </w:t>
      </w:r>
      <w:r>
        <w:rPr>
          <w:rFonts w:ascii="Times New Roman" w:cs="Times New Roman" w:eastAsia="Times New Roman" w:hAnsi="Times New Roman"/>
          <w:sz w:val="18"/>
          <w:szCs w:val="18"/>
          <w:color w:val="auto"/>
        </w:rPr>
        <w:t>You agree that upon any breach of this Agreement you will forfeit all amounts paid or owing to you under this Agreement. Further, you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acknowledge that it may be impossible to assess the damages caused by your violation of the terms of Sections 8, 9, 10 and 11 of this Agreement and further agree that any threatened or actual violation or breach of those Sections of this Agreement will constitute immediate and irreparable injury to the Company. You therefore agree that any such breach of this Agreement is a material breach of this Agreement, and, in addition to any and all other damages and remedies available to the Company upon your breach of this Agreement, the Company shall be entitled to an injunction to prevent you from violating or breaching this Agreement. You agree that if the Company is successful in whole or part in any legal or equitable action against you under this Agreement, you agree to pay all of the costs, including reasonable attorneys’ fees, incurred by the Company in enforcing the terms of this Agreement.</w:t>
      </w:r>
    </w:p>
    <w:p>
      <w:pPr>
        <w:spacing w:after="0" w:line="76" w:lineRule="exact"/>
        <w:rPr>
          <w:rFonts w:ascii="Times New Roman" w:cs="Times New Roman" w:eastAsia="Times New Roman" w:hAnsi="Times New Roman"/>
          <w:sz w:val="18"/>
          <w:szCs w:val="18"/>
          <w:b w:val="1"/>
          <w:bCs w:val="1"/>
          <w:color w:val="auto"/>
        </w:rPr>
      </w:pPr>
    </w:p>
    <w:p>
      <w:pPr>
        <w:ind w:left="4" w:right="100" w:hanging="4"/>
        <w:spacing w:after="0" w:line="254" w:lineRule="auto"/>
        <w:tabs>
          <w:tab w:leader="none" w:pos="27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Miscellaneous. </w:t>
      </w:r>
      <w:r>
        <w:rPr>
          <w:rFonts w:ascii="Times New Roman" w:cs="Times New Roman" w:eastAsia="Times New Roman" w:hAnsi="Times New Roman"/>
          <w:sz w:val="18"/>
          <w:szCs w:val="18"/>
          <w:color w:val="auto"/>
        </w:rPr>
        <w:t>This Agreement, including any exhibits, constitutes the complete, final and exclusive embodiment of the entire agreement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and the Company with regard to this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This Agreement will be deemed to have been entered into and will be construed and enforced in accordance with the laws of the State of Vermont as applied to contracts made and to be performed entirely within Vermont.</w:t>
      </w:r>
    </w:p>
    <w:p>
      <w:pPr>
        <w:spacing w:after="0" w:line="84" w:lineRule="exact"/>
        <w:rPr>
          <w:rFonts w:ascii="Times New Roman" w:cs="Times New Roman" w:eastAsia="Times New Roman" w:hAnsi="Times New Roman"/>
          <w:sz w:val="18"/>
          <w:szCs w:val="18"/>
          <w:b w:val="1"/>
          <w:bCs w:val="1"/>
          <w:color w:val="auto"/>
        </w:rPr>
      </w:pPr>
    </w:p>
    <w:p>
      <w:pPr>
        <w:ind w:left="264" w:hanging="264"/>
        <w:spacing w:after="0"/>
        <w:tabs>
          <w:tab w:leader="none" w:pos="264"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ensure the rapid and economical resolution of disputes that may arise in connection with your employment with the Company, you and the</w:t>
      </w:r>
    </w:p>
    <w:p>
      <w:pPr>
        <w:spacing w:after="0" w:line="27" w:lineRule="exact"/>
        <w:rPr>
          <w:rFonts w:ascii="Times New Roman" w:cs="Times New Roman" w:eastAsia="Times New Roman" w:hAnsi="Times New Roman"/>
          <w:sz w:val="18"/>
          <w:szCs w:val="18"/>
          <w:b w:val="1"/>
          <w:bCs w:val="1"/>
          <w:color w:val="auto"/>
        </w:rPr>
      </w:pPr>
    </w:p>
    <w:p>
      <w:pPr>
        <w:ind w:left="4"/>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Company agree that any and all disputes, claims, or causes of action, in law or equity, including but not limited to statutory claims (including, but not limited to, the Massachusetts Antidiscrimination Act, Mass. Gen. Laws ch.151B and the Massachusetts Wage Act, Mass. Gen. Laws ch. 149), arising from or relating to the enforcement, breach, performance, or interpretation of this Agreement, your employment with the Company, or the termination of your employment, shall be resolved, to the fullest extent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70" w:right="459" w:bottom="1440" w:gutter="0" w:footer="0" w:header="0"/>
        </w:sectPr>
      </w:pPr>
    </w:p>
    <w:bookmarkStart w:id="32" w:name="page33"/>
    <w:bookmarkEnd w:id="32"/>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permitted by law, by final, binding and confidential arbitration conducted by JAMS or its successor, under JAMS’ then applicable rules and procedures for employment disputes (available upon request and also currently available at http://www.jamsadr.com/rules-employment-arbitration/). </w:t>
      </w:r>
      <w:r>
        <w:rPr>
          <w:rFonts w:ascii="Times New Roman" w:cs="Times New Roman" w:eastAsia="Times New Roman" w:hAnsi="Times New Roman"/>
          <w:sz w:val="18"/>
          <w:szCs w:val="18"/>
          <w:b w:val="1"/>
          <w:bCs w:val="1"/>
          <w:color w:val="auto"/>
        </w:rPr>
        <w:t>You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acknowledge that by agreeing to this arbitration procedure, both you and the Company waive the right to resolve any such dispute through a trial by jury or judge or administrative proceeding. </w:t>
      </w:r>
      <w:r>
        <w:rPr>
          <w:rFonts w:ascii="Times New Roman" w:cs="Times New Roman" w:eastAsia="Times New Roman" w:hAnsi="Times New Roman"/>
          <w:sz w:val="18"/>
          <w:szCs w:val="18"/>
          <w:color w:val="auto"/>
        </w:rPr>
        <w:t>You will have the right to be represented by legal counsel at any arbitration proceeding.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arbitrator shall: (a) have the authority to compel adequate discovery for the resolution of the dispute and to award such relief as would otherwise be permitted by law; and (b) issue a written statement signed by the arbitrator regarding the disposition of each claim and the relief, if any, awarded as to each claim, the reasons for the award, and the arbitrator’s essential findings and conclusions on which the award is based. The arbitrator shall be authorized to award all relief that you or the Company would be entitled to seek in a court of law. The Company shall pay all JAMS arbitration fees in excess of the administrative fees that you would be required to pay if the dispute were decided in a court of law. Nothing in this Agreement is intended to prevent either you or the Company from obtaining injunctive relief in court to prevent irreparable harm pending the conclusion of any such arbitration.</w:t>
      </w:r>
    </w:p>
    <w:p>
      <w:pPr>
        <w:spacing w:after="0" w:line="19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this Agreement is acceptable to you, please sign below and return the original to me on or after your Separation Date, but no later than the date that is twenty-one (21) days after you receive this Agreement. This offer will expire if we have not received your executed copy by that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wish you good luck in your future endeavors.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Adagio Therapeutics,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17145</wp:posOffset>
            </wp:positionV>
            <wp:extent cx="23399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GREED TO AND</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CCEPTED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20"/>
          </w:cols>
          <w:pgMar w:left="440" w:top="270" w:right="539" w:bottom="1440" w:gutter="0" w:footer="0" w:header="0"/>
        </w:sectPr>
      </w:pPr>
    </w:p>
    <w:bookmarkStart w:id="33" w:name="page34"/>
    <w:bookmarkEnd w:id="3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CONSIDERATION PERIOD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____________________, understand that I have the right to take at least 21 days to consider whether to sign this Agreement, which I received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 __, 20__. If I elect to sign this Agreement before 21 days have passed, I understand I am to sign and date below this paragraph to confirm</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 I knowingly and voluntarily agree to waive the 21-day consideration period.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4"/>
          <w:szCs w:val="14"/>
          <w:b w:val="1"/>
          <w:bCs w:val="1"/>
          <w:color w:val="auto"/>
        </w:rPr>
        <w:t>GREED</w:t>
      </w: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294005</wp:posOffset>
            </wp:positionV>
            <wp:extent cx="27946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7946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40"/>
          </w:cols>
          <w:pgMar w:left="440" w:top="266" w:right="51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173990</wp:posOffset>
            </wp:positionV>
            <wp:extent cx="1663065" cy="436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63065"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Adagio Announces Results of Annual Meeting of Stockholders and Evolution of the Board of Directors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Marc Elia Named Chair of the Board of Directors</w:t>
      </w:r>
    </w:p>
    <w:p>
      <w:pPr>
        <w:spacing w:after="0" w:line="223"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Waltham, MA – July 01, 2022 </w:t>
      </w:r>
      <w:r>
        <w:rPr>
          <w:rFonts w:ascii="Times New Roman" w:cs="Times New Roman" w:eastAsia="Times New Roman" w:hAnsi="Times New Roman"/>
          <w:sz w:val="18"/>
          <w:szCs w:val="18"/>
          <w:color w:val="auto"/>
        </w:rPr>
        <w:t>– Adagio Therapeutics, Inc. (Nasdaq: ADGI), a clinical-stage biopharmaceutical company focused on the discovery,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and commercialization of antibody-based solutions for infectious diseases, announced today that following its Annual Meeting of Stockholders, the company has formed its new Board of Directors to support a continued commitment to the development of novel antibodies for the prevention and treatment of COVID-19 and other infectious diseases.</w:t>
      </w:r>
    </w:p>
    <w:p>
      <w:pPr>
        <w:spacing w:after="0" w:line="180"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 xml:space="preserve">Industry veterans Tamsin Berry, Marc Elia and Dr. Clive Meanwell have been elected to the Adagio Board of Directors, with each of these members of the Mithril Group slate receiving over 90% of the votes cast at the meeting in support of their election. Marc Elia, founder of M28 Capital Management LP., has been appointed chair of Adagio’s Board of Directors. Including Mr. Elia, the Adagio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xml:space="preserve"> now comprises the following industry experts:</w:t>
      </w:r>
    </w:p>
    <w:p>
      <w:pPr>
        <w:spacing w:after="0" w:line="85" w:lineRule="exact"/>
        <w:rPr>
          <w:sz w:val="20"/>
          <w:szCs w:val="20"/>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Tamsin Berry, partner at Population Health Partners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Tom Heyman, former president of Johnson &amp; Johnson Development Corporation</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Terry McGuire, partner at Polaris Partners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Clive A. Meanwell, M.D., executive chair and co-founder of Population Health Partners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Redonda Miller, M.D., president of The Johns Hopkins Hospital</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Wyzga, president of MSW Consulting, Inc.</w:t>
      </w:r>
    </w:p>
    <w:p>
      <w:pPr>
        <w:spacing w:after="0" w:line="22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behalf of the Mithril group, I want to thank the shareholders for their attention to and support of our proposals for the company. We are elated by Adagio’s renewed focus on its original mission. We look forward to the company working with renewed energy, ingenuity, and high capital efficiency on the urgent need for durable solutions for the COVID-19 pandemic,” stated Ajay Royan, managing general partner and founder of Mithril Capital and former director of Adagio.</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“Adagio Therapeutics was founded to leverage best-in-class antibody engineering technology and deep B cell mining expertise to combat viral diseases. I am delighted to be collaborating with such an esteemed Board and leadership team to help the company potentially bring forward life-changing therapeutic options,” added Mr. Elia. “At its core, Adagio represents a highly adaptive organization equipped with unique capabilities critical for discovering and developing durable solutions against viral threats, such as COVID-19. Given the circumstances we face with the ongoing COVID-19 viral burden and the clear limitations of active immunization in fully protecting our population, there has never been a more important time for Adagio to align its strategic and operational posture with the scope of the opportunity and power of its platform. We look forward to serving the patients who may benefit from our work.”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Adagio Therapeutics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Adagio (Nasdaq: ADGI) is a clinical-stage biopharmaceutical company focused on the discovery, development and commercialization of differentiated products for the prevention and treatment of infectious diseases. The company is developing its lead product candidate, adintrevimab, for the prevention and treatment of COVID-19, the disease caused by the virus SARS-CoV-2 and its variants. Beyond COVID-19, Adagio is leveraging robust antibody discovery and development capabilities that have enabled expedited advancement of adintrevimab into clinical trials to develop therapeutic or preventative options for other infectious diseases, such as additional coronaviruses and influenza. Adintrevimab is an investigational monoclonal antibody that is not approved for use in any country. The safety and efficacy of adintrevimab have not been established. For more information, please visit www.adagiotx.com.</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5154295</wp:posOffset>
            </wp:positionH>
            <wp:positionV relativeFrom="page">
              <wp:posOffset>182880</wp:posOffset>
            </wp:positionV>
            <wp:extent cx="1663065" cy="4286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663065" cy="428625"/>
                    </a:xfrm>
                    <a:prstGeom prst="rect">
                      <a:avLst/>
                    </a:prstGeom>
                    <a:noFill/>
                  </pic:spPr>
                </pic:pic>
              </a:graphicData>
            </a:graphic>
          </wp:anchor>
        </w:drawing>
        <w:t>Cautionary Note Regarding Forward Looking Statements</w:t>
      </w:r>
    </w:p>
    <w:p>
      <w:pPr>
        <w:spacing w:after="0" w:line="121"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our leadership evolution and board membership transitions; our ongoing research and clinical development plans; our plans to advance adintrevimab or other early stage candidates as a potential prophylaxis and treatment option for COVID-19, including disease caused by most variants, as either a single or combination agent; the potential for adintrevimab to demonstrate activity against predominant SARS-CoV-2 variant(s) in the U.S. and globally; our plans, technology and resources to develop therapeutic or preventative options for other infectious diseases, such as additional coronaviruses and influenza, in the U.S. and globally; and other statements that are not historical fact.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the impacts of the COVID-19 pandemic on our business and those of our collaborators, our clinical trials and our financial position; unexpected safety or efficacy data observed during preclinical studies or clinical trials; the predictability of clinical success of adintrevimab based on neutralizing activity in pre-clinical studies; variability of results in models used to predict activity against SARS-CoV-2 variants of concern; clinical trial site activation or enrollment rates that are lower than expected; changes in expected or existing competition; changes in the regulatory environment; and the uncertainties and timing of the regulatory approval process, including the outcome of our discussions with regulatory authorities concerning our Phase 2/3 clinical trials, whether adintrevimab is able to demonstrate activity against predominant SARS-CoV-2 variant(s) in the U.S. and globally, whether we are able to successfully submit an emergency use authorization in the future, and the outcome of any such emergency use application submission; whether research and development efforts will improve efficacy of adintrevimab against predominant variants or identify additional monoclonal antibodies for the prevention and treatment of COVID-19 and other infectious diseases; whether research and development efforts will identify and result in safe and effective therapeutic or preventative options for other infectious diseases in the U.S. or globally and whether we have adequate funding to meet future operating expenses and capital expenditure requirements. Other factors that may cause our actual results to differ materially from those expressed or implied in the forward-looking statements in this press release are described under the heading “Risk Factors” in our Annual Report on Form 10-K for the year ended December 31, 2021 and our Quarterly Report on Form 10-Q for the quarter ended March 31, 2022, each filed with the Securities and Exchange Commission (the “SEC”), and in our other filings with the SEC, and in Adagio’s future reports to be filed with the SEC and available at www.sec.gov. Such risks may be amplified by the impacts of the COVID-19 pandemic. Forward-looking statements contained in this press release are made as of this date, and Adagio undertakes no duty to update such information whether as a result of new information, future events or otherwise, except as required under applicable law.</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contains hyperlinks to information that is not deemed to be incorporated by reference in this press release.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Budwick, 1AB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dan@1abmedia.com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Monique Allaire, THRUST Strategic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monique@thrustsc.com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1089" w:right="4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173990</wp:posOffset>
            </wp:positionV>
            <wp:extent cx="1663065" cy="4286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66306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Adagio Announces David Hering Named Permanent Chief Executive Officer and Director</w:t>
      </w:r>
    </w:p>
    <w:p>
      <w:pPr>
        <w:spacing w:after="0" w:line="22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Waltham, MA – July 5, 2022 </w:t>
      </w:r>
      <w:r>
        <w:rPr>
          <w:rFonts w:ascii="Times New Roman" w:cs="Times New Roman" w:eastAsia="Times New Roman" w:hAnsi="Times New Roman"/>
          <w:sz w:val="18"/>
          <w:szCs w:val="18"/>
          <w:color w:val="auto"/>
        </w:rPr>
        <w:t>– Adagio Therapeutics, Inc. (Nasdaq: ADGI), a clinical-stage biopharmaceutical company focused on the discovery,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development and commercialization of antibody-based solutions for infectious diseases, announced today that industry and infectious disease veteran David Hering, who has been serving as the company’s interim chief executive officer and chief operating officer, has been named permanent CEO and a director on the company’s Board of Directors.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COVID-19 continues to infect millions worldwide, we are committed to the ongoing advancement of Adagio’s founding mission focused on delivering both treatment and prophylactic solutions for COVID-19 and other important infectious diseases,” said Marc Elia, chair of Adagio’s Board of Directors. “A thorough process underlined Dave’s core skills and deep expertise. He is the ideal person to lead Adagio through its next phase of growth, and we are thrilled to appoint him as CEO and director. We believe Adagio has best-in-class antibody discovery and development capabilities and to fully realize its potential the company requires leadership with substantial operational and commercial experience. Dave has a unique track record leading organizations focused on infectious disease medicines, including the launch of the first and market leading COVID-19 vaccine during his time at Pfizer. We are excited about the road ahead for Adagio and the impact we may have on people in need.”</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Mr. Hering added, “Unfortunately, COVID-19 continues to impact global health. Waning antibody titers combined with the continued emergence of immune-evasive SARS-CoV-2 variants is resulting in high rates of infection with disease outcomes ranging from asymptomatic to symptomatic to hospitalization and death. This immunity gap provides a significant unmet need which Adagio was created to help address. There remains a tremendous prophylactic and treatment potential opportunity for Adagio’s adintrevimab and other emerging candidates with potential class leading profiles. I am pleased to assume this role as permanent CEO and look forward to leading the company to fulfill our mission and potentially bring beneficial antibody-based therapeutic options to patients in need.”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Adagio Therapeutics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Adagio (Nasdaq: ADGI) is a clinical-stage biopharmaceutical company focused on the discovery, development and commercialization of differentiated products for the prevention and treatment of infectious diseases. The company is developing its lead product candidate, adintrevimab, for the prevention and treatment of COVID-19, the disease caused by the virus SARS-CoV-2 and its variants. Beyond COVID-19, Adagio is leveraging robust antibody discovery and development capabilities that have enabled expedited advancement of adintrevimab into clinical trials to develop therapeutic or preventative options for other infectious diseases, such as additional coronaviruses and influenza. Adintrevimab is an investigational monoclonal antibody that is not approved for use in any country. The safety and efficacy of adintrevimab have not been established. For more information, please visit www.adagiotx.com.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121"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Words such as “anticipates,” “believes,” “could,” “expects,” “intends,” “potential,” “projects,” and “future” or similar expressions (as well as other words or expressions referencing future events, conditions or circumstances) are intended to identify forward-looking statements. Forward-looking statements include statements concerning, among other things, our belief regarding leadership requirements for operation and commercial success and the magnitude of that success; our belief that our antibody discovery and development capabilities are best in class; our ongoing research and clinical development plans; our plans to advance adintrevimab or other early stage candidates as a potential prophylaxis and treatment option for COVID-19, including disease caused by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37" w:name="page38"/>
    <w:bookmarkEnd w:id="37"/>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5154295</wp:posOffset>
            </wp:positionH>
            <wp:positionV relativeFrom="page">
              <wp:posOffset>182880</wp:posOffset>
            </wp:positionV>
            <wp:extent cx="1663065" cy="4286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663065" cy="428625"/>
                    </a:xfrm>
                    <a:prstGeom prst="rect">
                      <a:avLst/>
                    </a:prstGeom>
                    <a:noFill/>
                  </pic:spPr>
                </pic:pic>
              </a:graphicData>
            </a:graphic>
          </wp:anchor>
        </w:drawing>
        <w:t>most variants, as either a single or combination agent; the potential for adintrevimab to demonstrate activity against predominant SARS-CoV-2 variant(s) in the U.S. and globally; our plans, technology and resources to develop therapeutic or preventative options for other infectious diseases, such as additional coronaviruses and influenza, in the U.S. and globally; and other statements that are not historical fact. We may not actually achieve the plans, intentions or expectations disclosed in our forward-looking statements and you should not place undue reliance on our forward-looking statements. These forward-looking statements involve risks and uncertainties that could cause our actual results to differ materially from the results described in or implied by the forward-looking statements, including, without limitation: the impacts of the COVID-19 pandemic on our business and those of our collaborators, our clinical trials and our financial position; unexpected safety or efficacy data observed during preclinical studies or clinical trials; the predictability of clinical success of adintrevimab based on neutralizing activity in pre-clinical studies; variability of results in models used to predict activity against SARS-CoV-2 variants of concern; clinical trial site activation or enrollment rates that are lower than expected; changes in expected or existing competition; changes in the regulatory environment; and the uncertainties and timing of the regulatory approval process, including the outcome of our discussions with regulatory authorities concerning our Phase 2/3 clinical trials; whether adintrevimab is able to demonstrate activity against predominant SARS-CoV-2 variant(s) in the U.S. and globally; whether we are able to successfully submit an emergency use authorization in the future, and the outcome of any such emergency use application submission; whether research and development efforts will improve efficacy of adintrevimab against predominant variants or identify additional monoclonal antibodies for the prevention and treatment of COVID-19 and other infectious diseases; whether research and development efforts will identify and result in safe and effective therapeutic or preventative options for other infectious diseases in the U.S. or globally and whether we have adequate funding to meet future operating expenses and capital expenditure requirements. Other factors that may cause our actual results to differ materially from those expressed or implied in the forward-looking statements in this press release are described under the heading “Risk Factors” in our Annual Report on Form 10-K for the year ended December 31, 2021 and our Quarterly Report on Form 10-Q for the quarter ended March 31, 2022, each filed with the Securities and Exchange Commission (the “SEC”), and in our other filings with the SEC, and in Adagio’s future reports to be filed with the SEC and available at www.sec.gov. Such risks may be amplified by the impacts of the COVID-19 pandemic. Forward-looking statements contained in this press release are made as of this date, and Adagio undertakes no duty to update such information whether as a result of new information, future events or otherwise, except as required under applicable law.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press release contains hyperlinks to information that is not deemed to be incorporated by reference in this press release.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 Budwick, 1AB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dan@1abmedia.com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Monique Allaire, THRUST Strategic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monique@thrustsc.com</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000"/>
      </w:cols>
      <w:pgMar w:left="440" w:top="109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1."/>
      <w:numFmt w:val="decimal"/>
      <w:start w:val="1"/>
    </w:lvl>
    <w:lvl w:ilvl="1">
      <w:lvlJc w:val="left"/>
      <w:lvlText w:val="(%2)"/>
      <w:numFmt w:val="lowerLetter"/>
      <w:start w:val="1"/>
    </w:lvl>
  </w:abstractNum>
  <w:abstractNum w:abstractNumId="2">
    <w:nsid w:val="6763845E"/>
    <w:multiLevelType w:val="hybridMultilevel"/>
    <w:lvl w:ilvl="0">
      <w:lvlJc w:val="left"/>
      <w:lvlText w:val="(%1)"/>
      <w:numFmt w:val="lowerLetter"/>
      <w:start w:val="3"/>
    </w:lvl>
  </w:abstractNum>
  <w:abstractNum w:abstractNumId="3">
    <w:nsid w:val="75A2A8D4"/>
    <w:multiLevelType w:val="hybridMultilevel"/>
    <w:lvl w:ilvl="0">
      <w:lvlJc w:val="left"/>
      <w:lvlText w:val="%1."/>
      <w:numFmt w:val="decimal"/>
      <w:start w:val="2"/>
    </w:lvl>
    <w:lvl w:ilvl="1">
      <w:lvlJc w:val="left"/>
      <w:lvlText w:val="(%2)"/>
      <w:numFmt w:val="lowerLetter"/>
      <w:start w:val="1"/>
    </w:lvl>
  </w:abstractNum>
  <w:abstractNum w:abstractNumId="4">
    <w:nsid w:val="8EDBDAB"/>
    <w:multiLevelType w:val="hybridMultilevel"/>
    <w:lvl w:ilvl="0">
      <w:lvlJc w:val="left"/>
      <w:lvlText w:val="(%1)"/>
      <w:numFmt w:val="lowerLetter"/>
      <w:start w:val="3"/>
    </w:lvl>
  </w:abstractNum>
  <w:abstractNum w:abstractNumId="5">
    <w:nsid w:val="79838CB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6">
    <w:nsid w:val="4353D0CD"/>
    <w:multiLevelType w:val="hybridMultilevel"/>
    <w:lvl w:ilvl="0">
      <w:lvlJc w:val="left"/>
      <w:lvlText w:val="(%1)"/>
      <w:numFmt w:val="lowerRoman"/>
      <w:start w:val="4"/>
    </w:lvl>
  </w:abstractNum>
  <w:abstractNum w:abstractNumId="7">
    <w:nsid w:val="B03E0C6"/>
    <w:multiLevelType w:val="hybridMultilevel"/>
    <w:lvl w:ilvl="0">
      <w:lvlJc w:val="left"/>
      <w:lvlText w:val="(%1)"/>
      <w:numFmt w:val="lowerLetter"/>
      <w:start w:val="4"/>
    </w:lvl>
  </w:abstractNum>
  <w:abstractNum w:abstractNumId="8">
    <w:nsid w:val="189A769B"/>
    <w:multiLevelType w:val="hybridMultilevel"/>
    <w:lvl w:ilvl="0">
      <w:lvlJc w:val="left"/>
      <w:lvlText w:val="%1"/>
      <w:numFmt w:val="lowerLetter"/>
      <w:start w:val="1"/>
    </w:lvl>
    <w:lvl w:ilvl="1">
      <w:lvlJc w:val="left"/>
      <w:lvlText w:val="(%2)"/>
      <w:numFmt w:val="lowerRoman"/>
      <w:start w:val="1"/>
    </w:lvl>
  </w:abstractNum>
  <w:abstractNum w:abstractNumId="9">
    <w:nsid w:val="54E49EB4"/>
    <w:multiLevelType w:val="hybridMultilevel"/>
    <w:lvl w:ilvl="0">
      <w:lvlJc w:val="left"/>
      <w:lvlText w:val="(%1)"/>
      <w:numFmt w:val="lowerLetter"/>
      <w:start w:val="6"/>
    </w:lvl>
    <w:lvl w:ilvl="1">
      <w:lvlJc w:val="left"/>
      <w:lvlText w:val="(%2)"/>
      <w:numFmt w:val="lowerRoman"/>
      <w:start w:val="1"/>
    </w:lvl>
  </w:abstractNum>
  <w:abstractNum w:abstractNumId="10">
    <w:nsid w:val="71F32454"/>
    <w:multiLevelType w:val="hybridMultilevel"/>
    <w:lvl w:ilvl="0">
      <w:lvlJc w:val="left"/>
      <w:lvlText w:val="%1."/>
      <w:numFmt w:val="decimal"/>
      <w:start w:val="4"/>
    </w:lvl>
  </w:abstractNum>
  <w:abstractNum w:abstractNumId="11">
    <w:nsid w:val="2CA88611"/>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12">
    <w:nsid w:val="836C40E"/>
    <w:multiLevelType w:val="hybridMultilevel"/>
    <w:lvl w:ilvl="0">
      <w:lvlJc w:val="left"/>
      <w:lvlText w:val="(%1)"/>
      <w:numFmt w:val="lowerRoman"/>
      <w:start w:val="2"/>
    </w:lvl>
    <w:lvl w:ilvl="1">
      <w:lvlJc w:val="left"/>
      <w:lvlText w:val="%2"/>
      <w:numFmt w:val="decimal"/>
      <w:start w:val="1"/>
    </w:lvl>
    <w:lvl w:ilvl="2">
      <w:lvlJc w:val="left"/>
      <w:lvlText w:val="%3"/>
      <w:numFmt w:val="lowerLetter"/>
      <w:start w:val="1"/>
    </w:lvl>
  </w:abstractNum>
  <w:abstractNum w:abstractNumId="13">
    <w:nsid w:val="2901D82"/>
    <w:multiLevelType w:val="hybridMultilevel"/>
    <w:lvl w:ilvl="0">
      <w:lvlJc w:val="left"/>
      <w:lvlText w:val="(%1)"/>
      <w:numFmt w:val="lowerRoman"/>
      <w:start w:val="4"/>
    </w:lvl>
    <w:lvl w:ilvl="1">
      <w:lvlJc w:val="left"/>
      <w:lvlText w:val="%2."/>
      <w:numFmt w:val="decimal"/>
      <w:start w:val="4"/>
    </w:lvl>
    <w:lvl w:ilvl="2">
      <w:lvlJc w:val="left"/>
      <w:lvlText w:val="(%3)"/>
      <w:numFmt w:val="lowerLetter"/>
      <w:start w:val="3"/>
    </w:lvl>
  </w:abstractNum>
  <w:abstractNum w:abstractNumId="14">
    <w:nsid w:val="3A95F874"/>
    <w:multiLevelType w:val="hybridMultilevel"/>
    <w:lvl w:ilvl="0">
      <w:lvlJc w:val="left"/>
      <w:lvlText w:val="%1"/>
      <w:numFmt w:val="upperLetter"/>
      <w:start w:val="1"/>
    </w:lvl>
    <w:lvl w:ilvl="1">
      <w:lvlJc w:val="left"/>
      <w:lvlText w:val="(%2)"/>
      <w:numFmt w:val="lowerLetter"/>
      <w:start w:val="1"/>
    </w:lvl>
  </w:abstractNum>
  <w:abstractNum w:abstractNumId="15">
    <w:nsid w:val="8138641"/>
    <w:multiLevelType w:val="hybridMultilevel"/>
    <w:lvl w:ilvl="0">
      <w:lvlJc w:val="left"/>
      <w:lvlText w:val="(%1)"/>
      <w:numFmt w:val="upperLetter"/>
      <w:start w:val="1"/>
    </w:lvl>
    <w:lvl w:ilvl="1">
      <w:lvlJc w:val="left"/>
      <w:lvlText w:val="(%2)"/>
      <w:numFmt w:val="lowerLetter"/>
      <w:start w:val="3"/>
    </w:lvl>
  </w:abstractNum>
  <w:abstractNum w:abstractNumId="16">
    <w:nsid w:val="1E7FF52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17">
    <w:nsid w:val="7C3DBD3D"/>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18">
    <w:nsid w:val="737B8DD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9">
    <w:nsid w:val="6CEAF087"/>
    <w:multiLevelType w:val="hybridMultilevel"/>
    <w:lvl w:ilvl="0">
      <w:lvlJc w:val="left"/>
      <w:lvlText w:val="(%1)"/>
      <w:numFmt w:val="lowerLetter"/>
      <w:start w:val="1"/>
    </w:lvl>
  </w:abstractNum>
  <w:abstractNum w:abstractNumId="20">
    <w:nsid w:val="22221A70"/>
    <w:multiLevelType w:val="hybridMultilevel"/>
    <w:lvl w:ilvl="0">
      <w:lvlJc w:val="left"/>
      <w:lvlText w:val="%1"/>
      <w:numFmt w:val="decimal"/>
      <w:start w:val="1"/>
    </w:lvl>
    <w:lvl w:ilvl="1">
      <w:lvlJc w:val="left"/>
      <w:lvlText w:val="(%2)"/>
      <w:numFmt w:val="lowerLetter"/>
      <w:start w:val="4"/>
    </w:lvl>
  </w:abstractNum>
  <w:abstractNum w:abstractNumId="21">
    <w:nsid w:val="4516DDE9"/>
    <w:multiLevelType w:val="hybridMultilevel"/>
    <w:lvl w:ilvl="0">
      <w:lvlJc w:val="left"/>
      <w:lvlText w:val="%1."/>
      <w:numFmt w:val="decimal"/>
      <w:start w:val="7"/>
    </w:lvl>
    <w:lvl w:ilvl="1">
      <w:lvlJc w:val="left"/>
      <w:lvlText w:val="(%2)"/>
      <w:numFmt w:val="lowerLetter"/>
      <w:start w:val="1"/>
    </w:lvl>
  </w:abstractNum>
  <w:abstractNum w:abstractNumId="22">
    <w:nsid w:val="3006C83E"/>
    <w:multiLevelType w:val="hybridMultilevel"/>
    <w:lvl w:ilvl="0">
      <w:lvlJc w:val="left"/>
      <w:lvlText w:val="%1"/>
      <w:numFmt w:val="decimal"/>
      <w:start w:val="1"/>
    </w:lvl>
    <w:lvl w:ilvl="1">
      <w:lvlJc w:val="left"/>
      <w:lvlText w:val="(%2)"/>
      <w:numFmt w:val="lowerLetter"/>
      <w:start w:val="3"/>
    </w:lvl>
  </w:abstractNum>
  <w:abstractNum w:abstractNumId="23">
    <w:nsid w:val="614FD4A1"/>
    <w:multiLevelType w:val="hybridMultilevel"/>
    <w:lvl w:ilvl="0">
      <w:lvlJc w:val="left"/>
      <w:lvlText w:val="%1."/>
      <w:numFmt w:val="decimal"/>
      <w:start w:val="8"/>
    </w:lvl>
    <w:lvl w:ilvl="1">
      <w:lvlJc w:val="left"/>
      <w:lvlText w:val="(%2)"/>
      <w:numFmt w:val="lowerLetter"/>
      <w:start w:val="1"/>
    </w:lvl>
  </w:abstractNum>
  <w:abstractNum w:abstractNumId="24">
    <w:nsid w:val="419AC241"/>
    <w:multiLevelType w:val="hybridMultilevel"/>
    <w:lvl w:ilvl="0">
      <w:lvlJc w:val="left"/>
      <w:lvlText w:val="%1"/>
      <w:numFmt w:val="decimal"/>
      <w:start w:val="1"/>
    </w:lvl>
    <w:lvl w:ilvl="1">
      <w:lvlJc w:val="left"/>
      <w:lvlText w:val="(%2)"/>
      <w:numFmt w:val="lowerLetter"/>
      <w:start w:val="3"/>
    </w:lvl>
  </w:abstractNum>
  <w:abstractNum w:abstractNumId="25">
    <w:nsid w:val="5577F8E1"/>
    <w:multiLevelType w:val="hybridMultilevel"/>
    <w:lvl w:ilvl="0">
      <w:lvlJc w:val="left"/>
      <w:lvlText w:val="%1."/>
      <w:numFmt w:val="decimal"/>
      <w:start w:val="9"/>
    </w:lvl>
    <w:lvl w:ilvl="1">
      <w:lvlJc w:val="left"/>
      <w:lvlText w:val="(%2)"/>
      <w:numFmt w:val="lowerLetter"/>
      <w:start w:val="1"/>
    </w:lvl>
  </w:abstractNum>
  <w:abstractNum w:abstractNumId="26">
    <w:nsid w:val="440BADF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7">
    <w:nsid w:val="5072367"/>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28">
    <w:nsid w:val="3804823E"/>
    <w:multiLevelType w:val="hybridMultilevel"/>
    <w:lvl w:ilvl="0">
      <w:lvlJc w:val="left"/>
      <w:lvlText w:val="(%1)"/>
      <w:numFmt w:val="lowerLetter"/>
      <w:start w:val="3"/>
    </w:lvl>
    <w:lvl w:ilvl="1">
      <w:lvlJc w:val="left"/>
      <w:lvlText w:val="%2."/>
      <w:numFmt w:val="decimal"/>
      <w:start w:val="11"/>
    </w:lvl>
    <w:lvl w:ilvl="2">
      <w:lvlJc w:val="left"/>
      <w:lvlText w:val="%3"/>
      <w:numFmt w:val="lowerLetter"/>
      <w:start w:val="1"/>
    </w:lvl>
  </w:abstractNum>
  <w:abstractNum w:abstractNumId="29">
    <w:nsid w:val="77465F01"/>
    <w:multiLevelType w:val="hybridMultilevel"/>
    <w:lvl w:ilvl="0">
      <w:lvlJc w:val="left"/>
      <w:lvlText w:val="%1"/>
      <w:numFmt w:val="lowerLetter"/>
      <w:start w:val="1"/>
    </w:lvl>
    <w:lvl w:ilvl="1">
      <w:lvlJc w:val="left"/>
      <w:lvlText w:val="%2."/>
      <w:numFmt w:val="decimal"/>
      <w:start w:val="12"/>
    </w:lvl>
  </w:abstractNum>
  <w:abstractNum w:abstractNumId="30">
    <w:nsid w:val="7724C67E"/>
    <w:multiLevelType w:val="hybridMultilevel"/>
    <w:lvl w:ilvl="0">
      <w:lvlJc w:val="left"/>
      <w:lvlText w:val="(%1)"/>
      <w:numFmt w:val="lowerLetter"/>
      <w:start w:val="2"/>
    </w:lvl>
    <w:lvl w:ilvl="1">
      <w:lvlJc w:val="left"/>
      <w:lvlText w:val="%2."/>
      <w:numFmt w:val="decimal"/>
      <w:start w:val="14"/>
    </w:lvl>
  </w:abstractNum>
  <w:abstractNum w:abstractNumId="31">
    <w:nsid w:val="5C482A97"/>
    <w:multiLevelType w:val="hybridMultilevel"/>
    <w:lvl w:ilvl="0">
      <w:lvlJc w:val="left"/>
      <w:lvlText w:val="%1"/>
      <w:numFmt w:val="lowerRoman"/>
      <w:start w:val="1"/>
    </w:lvl>
    <w:lvl w:ilvl="1">
      <w:lvlJc w:val="left"/>
      <w:lvlText w:val="%2."/>
      <w:numFmt w:val="decimal"/>
      <w:start w:val="16"/>
    </w:lvl>
  </w:abstractNum>
  <w:abstractNum w:abstractNumId="32">
    <w:nsid w:val="2463B9EA"/>
    <w:multiLevelType w:val="hybridMultilevel"/>
    <w:lvl w:ilvl="0">
      <w:lvlJc w:val="left"/>
      <w:lvlText w:val="(%1)"/>
      <w:numFmt w:val="lowerRoman"/>
      <w:start w:val="1"/>
    </w:lvl>
    <w:lvl w:ilvl="1">
      <w:lvlJc w:val="left"/>
      <w:lvlText w:val="%2."/>
      <w:numFmt w:val="decimal"/>
      <w:start w:val="18"/>
    </w:lvl>
  </w:abstractNum>
  <w:abstractNum w:abstractNumId="33">
    <w:nsid w:val="5E884ADC"/>
    <w:multiLevelType w:val="hybridMultilevel"/>
    <w:lvl w:ilvl="0">
      <w:lvlJc w:val="left"/>
      <w:lvlText w:val="%1."/>
      <w:numFmt w:val="decimal"/>
      <w:start w:val="21"/>
    </w:lvl>
    <w:lvl w:ilvl="1">
      <w:lvlJc w:val="left"/>
      <w:lvlText w:val="(%2)"/>
      <w:numFmt w:val="lowerLetter"/>
      <w:start w:val="1"/>
    </w:lvl>
  </w:abstractNum>
  <w:abstractNum w:abstractNumId="34">
    <w:nsid w:val="51EAD36B"/>
    <w:multiLevelType w:val="hybridMultilevel"/>
    <w:lvl w:ilvl="0">
      <w:lvlJc w:val="left"/>
      <w:lvlText w:val="%1"/>
      <w:numFmt w:val="lowerRoman"/>
      <w:start w:val="1"/>
    </w:lvl>
    <w:lvl w:ilvl="1">
      <w:lvlJc w:val="left"/>
      <w:lvlText w:val="%2."/>
      <w:numFmt w:val="decimal"/>
      <w:start w:val="23"/>
    </w:lvl>
  </w:abstractNum>
  <w:abstractNum w:abstractNumId="35">
    <w:nsid w:val="2D517796"/>
    <w:multiLevelType w:val="hybridMultilevel"/>
    <w:lvl w:ilvl="0">
      <w:lvlJc w:val="left"/>
      <w:lvlText w:val="(%1)"/>
      <w:numFmt w:val="lowerRoman"/>
      <w:start w:val="1"/>
    </w:lvl>
    <w:lvl w:ilvl="1">
      <w:lvlJc w:val="left"/>
      <w:lvlText w:val="%2."/>
      <w:numFmt w:val="decimal"/>
      <w:start w:val="24"/>
    </w:lvl>
  </w:abstractNum>
  <w:abstractNum w:abstractNumId="36">
    <w:nsid w:val="580BD78F"/>
    <w:multiLevelType w:val="hybridMultilevel"/>
    <w:lvl w:ilvl="0">
      <w:lvlJc w:val="left"/>
      <w:lvlText w:val="%1."/>
      <w:numFmt w:val="decimal"/>
      <w:start w:val="1"/>
    </w:lvl>
  </w:abstractNum>
  <w:abstractNum w:abstractNumId="37">
    <w:nsid w:val="153EA438"/>
    <w:multiLevelType w:val="hybridMultilevel"/>
    <w:lvl w:ilvl="0">
      <w:lvlJc w:val="left"/>
      <w:lvlText w:val="%1."/>
      <w:numFmt w:val="decimal"/>
      <w:start w:val="5"/>
    </w:lvl>
  </w:abstractNum>
  <w:abstractNum w:abstractNumId="38">
    <w:nsid w:val="3855585C"/>
    <w:multiLevelType w:val="hybridMultilevel"/>
    <w:lvl w:ilvl="0">
      <w:lvlJc w:val="left"/>
      <w:lvlText w:val="%1."/>
      <w:numFmt w:val="decimal"/>
      <w:start w:val="10"/>
    </w:lvl>
    <w:lvl w:ilvl="1">
      <w:lvlJc w:val="left"/>
      <w:lvlText w:val="%2)"/>
      <w:numFmt w:val="lowerLetter"/>
      <w:start w:val="1"/>
    </w:lvl>
  </w:abstractNum>
  <w:abstractNum w:abstractNumId="39">
    <w:nsid w:val="70A64E2A"/>
    <w:multiLevelType w:val="hybridMultilevel"/>
    <w:lvl w:ilvl="0">
      <w:lvlJc w:val="left"/>
      <w:lvlText w:val="%1."/>
      <w:numFmt w:val="decimal"/>
      <w:start w:val="12"/>
    </w:lvl>
    <w:lvl w:ilvl="1">
      <w:lvlJc w:val="left"/>
      <w:lvlText w:val="•"/>
      <w:numFmt w:val="bullet"/>
      <w:start w:val="1"/>
    </w:lvl>
  </w:abstractNum>
  <w:abstractNum w:abstractNumId="40">
    <w:nsid w:val="6A2342EC"/>
    <w:multiLevelType w:val="hybridMultilevel"/>
    <w:lvl w:ilvl="0">
      <w:lvlJc w:val="left"/>
      <w:lvlText w:val="•"/>
      <w:numFmt w:val="bullet"/>
      <w:start w:val="1"/>
    </w:lvl>
  </w:abstractNum>
  <w:abstractNum w:abstractNumId="41">
    <w:nsid w:val="2A487CB0"/>
    <w:multiLevelType w:val="hybridMultilevel"/>
    <w:lvl w:ilvl="0">
      <w:lvlJc w:val="left"/>
      <w:lvlText w:val="%1."/>
      <w:numFmt w:val="decimal"/>
      <w:start w:val="15"/>
    </w:lvl>
  </w:abstractNum>
  <w:abstractNum w:abstractNumId="42">
    <w:nsid w:val="1D4ED43B"/>
    <w:multiLevelType w:val="hybridMultilevel"/>
    <w:lvl w:ilvl="0">
      <w:lvlJc w:val="left"/>
      <w:lvlText w:val="%1."/>
      <w:numFmt w:val="decimal"/>
      <w:start w:val="16"/>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2022-07-05T15:44:29Z</dcterms:created>
  <dcterms:modified xsi:type="dcterms:W3CDTF">2022-07-05T15:44:29Z</dcterms:modified>
</cp:coreProperties>
</file>