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Washington, D.C. 20549</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SCHEDULE 13D</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(Amendment No. __)*</w:t>
      </w: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Adagio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(Name of Issuer)</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(CUSIP Number)</w:t>
      </w:r>
    </w:p>
    <w:p>
      <w:pPr>
        <w:spacing w:after="0" w:line="235" w:lineRule="exact"/>
        <w:rPr>
          <w:sz w:val="24"/>
          <w:szCs w:val="24"/>
          <w:color w:val="auto"/>
        </w:rPr>
      </w:pPr>
    </w:p>
    <w:p>
      <w:pPr>
        <w:ind w:left="4440"/>
        <w:spacing w:after="0"/>
        <w:rPr>
          <w:sz w:val="20"/>
          <w:szCs w:val="20"/>
          <w:color w:val="auto"/>
        </w:rPr>
      </w:pPr>
      <w:r>
        <w:rPr>
          <w:rFonts w:ascii="Arial" w:cs="Arial" w:eastAsia="Arial" w:hAnsi="Arial"/>
          <w:sz w:val="20"/>
          <w:szCs w:val="20"/>
          <w:color w:val="auto"/>
        </w:rPr>
        <w:t>M28 Capital Management LP</w:t>
      </w:r>
    </w:p>
    <w:p>
      <w:pPr>
        <w:ind w:left="4540"/>
        <w:spacing w:after="0" w:line="195" w:lineRule="auto"/>
        <w:rPr>
          <w:sz w:val="20"/>
          <w:szCs w:val="20"/>
          <w:color w:val="auto"/>
        </w:rPr>
      </w:pPr>
      <w:r>
        <w:rPr>
          <w:rFonts w:ascii="Arial" w:cs="Arial" w:eastAsia="Arial" w:hAnsi="Arial"/>
          <w:sz w:val="20"/>
          <w:szCs w:val="20"/>
          <w:color w:val="auto"/>
        </w:rPr>
        <w:t>700 Canal Street, 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p>
      <w:pPr>
        <w:ind w:left="4800"/>
        <w:spacing w:after="0"/>
        <w:rPr>
          <w:sz w:val="20"/>
          <w:szCs w:val="20"/>
          <w:color w:val="auto"/>
        </w:rPr>
      </w:pPr>
      <w:r>
        <w:rPr>
          <w:rFonts w:ascii="Arial" w:cs="Arial" w:eastAsia="Arial" w:hAnsi="Arial"/>
          <w:sz w:val="20"/>
          <w:szCs w:val="20"/>
          <w:color w:val="auto"/>
        </w:rPr>
        <w:t>Stamford, CT 06902</w:t>
      </w:r>
    </w:p>
    <w:p>
      <w:pPr>
        <w:spacing w:after="0" w:line="227" w:lineRule="exact"/>
        <w:rPr>
          <w:sz w:val="24"/>
          <w:szCs w:val="24"/>
          <w:color w:val="auto"/>
        </w:rPr>
      </w:pPr>
    </w:p>
    <w:p>
      <w:pPr>
        <w:ind w:left="4900"/>
        <w:spacing w:after="0"/>
        <w:rPr>
          <w:sz w:val="20"/>
          <w:szCs w:val="20"/>
          <w:color w:val="auto"/>
        </w:rPr>
      </w:pPr>
      <w:r>
        <w:rPr>
          <w:rFonts w:ascii="Arial" w:cs="Arial" w:eastAsia="Arial" w:hAnsi="Arial"/>
          <w:sz w:val="20"/>
          <w:szCs w:val="20"/>
          <w:color w:val="auto"/>
        </w:rPr>
        <w:t>Eleazer Klein, Esq.</w:t>
      </w:r>
    </w:p>
    <w:p>
      <w:pPr>
        <w:spacing w:after="0" w:line="15" w:lineRule="exact"/>
        <w:rPr>
          <w:sz w:val="24"/>
          <w:szCs w:val="24"/>
          <w:color w:val="auto"/>
        </w:rPr>
      </w:pPr>
    </w:p>
    <w:p>
      <w:pPr>
        <w:ind w:left="4740"/>
        <w:spacing w:after="0"/>
        <w:rPr>
          <w:sz w:val="20"/>
          <w:szCs w:val="20"/>
          <w:color w:val="auto"/>
        </w:rPr>
      </w:pPr>
      <w:r>
        <w:rPr>
          <w:rFonts w:ascii="Arial" w:cs="Arial" w:eastAsia="Arial" w:hAnsi="Arial"/>
          <w:sz w:val="20"/>
          <w:szCs w:val="20"/>
          <w:color w:val="auto"/>
        </w:rPr>
        <w:t>Adriana Schwartz, Esq.</w:t>
      </w:r>
    </w:p>
    <w:p>
      <w:pPr>
        <w:ind w:left="4600"/>
        <w:spacing w:after="0"/>
        <w:rPr>
          <w:sz w:val="20"/>
          <w:szCs w:val="20"/>
          <w:color w:val="auto"/>
        </w:rPr>
      </w:pPr>
      <w:r>
        <w:rPr>
          <w:rFonts w:ascii="Arial" w:cs="Arial" w:eastAsia="Arial" w:hAnsi="Arial"/>
          <w:sz w:val="20"/>
          <w:szCs w:val="20"/>
          <w:color w:val="auto"/>
        </w:rPr>
        <w:t>Schulte Roth &amp; Zabel LLP</w:t>
      </w:r>
    </w:p>
    <w:p>
      <w:pPr>
        <w:ind w:left="4960"/>
        <w:spacing w:after="0"/>
        <w:rPr>
          <w:sz w:val="20"/>
          <w:szCs w:val="20"/>
          <w:color w:val="auto"/>
        </w:rPr>
      </w:pPr>
      <w:r>
        <w:rPr>
          <w:rFonts w:ascii="Arial" w:cs="Arial" w:eastAsia="Arial" w:hAnsi="Arial"/>
          <w:sz w:val="20"/>
          <w:szCs w:val="20"/>
          <w:color w:val="auto"/>
        </w:rPr>
        <w:t>919 Third Avenue</w:t>
      </w:r>
    </w:p>
    <w:p>
      <w:pPr>
        <w:ind w:left="4800"/>
        <w:spacing w:after="0"/>
        <w:rPr>
          <w:sz w:val="20"/>
          <w:szCs w:val="20"/>
          <w:color w:val="auto"/>
        </w:rPr>
      </w:pPr>
      <w:r>
        <w:rPr>
          <w:rFonts w:ascii="Arial" w:cs="Arial" w:eastAsia="Arial" w:hAnsi="Arial"/>
          <w:sz w:val="20"/>
          <w:szCs w:val="20"/>
          <w:color w:val="auto"/>
        </w:rPr>
        <w:t>New York, NY 10022</w:t>
      </w:r>
    </w:p>
    <w:p>
      <w:pPr>
        <w:ind w:left="5000"/>
        <w:spacing w:after="0"/>
        <w:rPr>
          <w:sz w:val="20"/>
          <w:szCs w:val="20"/>
          <w:color w:val="auto"/>
        </w:rPr>
      </w:pPr>
      <w:r>
        <w:rPr>
          <w:rFonts w:ascii="Arial" w:cs="Arial" w:eastAsia="Arial" w:hAnsi="Arial"/>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(Name, Address and Telephone Number of Person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Authorized to Receive Notices and Communications)</w:t>
      </w: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March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right="100"/>
        <w:spacing w:after="0" w:line="258"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9"/>
          <w:szCs w:val="19"/>
          <w:color w:val="auto"/>
        </w:rPr>
        <w:t>☐</w:t>
      </w:r>
    </w:p>
    <w:p>
      <w:pPr>
        <w:spacing w:after="0" w:line="187"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(Page 1 of 9 Pages)</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ind w:right="340" w:firstLine="8"/>
        <w:spacing w:after="0" w:line="297" w:lineRule="auto"/>
        <w:tabs>
          <w:tab w:leader="none" w:pos="14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442"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CUSIP No. 00534A102</w:t>
            </w:r>
          </w:p>
        </w:tc>
        <w:tc>
          <w:tcPr>
            <w:tcW w:w="7000" w:type="dxa"/>
            <w:vAlign w:val="bottom"/>
          </w:tcPr>
          <w:p>
            <w:pPr>
              <w:ind w:left="2040"/>
              <w:spacing w:after="0"/>
              <w:rPr>
                <w:sz w:val="20"/>
                <w:szCs w:val="20"/>
                <w:color w:val="auto"/>
              </w:rPr>
            </w:pPr>
            <w:r>
              <w:rPr>
                <w:rFonts w:ascii="Arial" w:cs="Arial" w:eastAsia="Arial" w:hAnsi="Arial"/>
                <w:sz w:val="18"/>
                <w:szCs w:val="18"/>
                <w:b w:val="1"/>
                <w:bCs w:val="1"/>
                <w:color w:val="auto"/>
              </w:rPr>
              <w:t>SCHEDULE 13D</w:t>
            </w:r>
          </w:p>
        </w:tc>
        <w:tc>
          <w:tcPr>
            <w:tcW w:w="1320" w:type="dxa"/>
            <w:vAlign w:val="bottom"/>
          </w:tcPr>
          <w:p>
            <w:pPr>
              <w:spacing w:after="0"/>
              <w:rPr>
                <w:sz w:val="20"/>
                <w:szCs w:val="20"/>
                <w:color w:val="auto"/>
              </w:rPr>
            </w:pPr>
            <w:r>
              <w:rPr>
                <w:rFonts w:ascii="Arial" w:cs="Arial" w:eastAsia="Arial" w:hAnsi="Arial"/>
                <w:sz w:val="18"/>
                <w:szCs w:val="18"/>
                <w:b w:val="1"/>
                <w:bCs w:val="1"/>
                <w:color w:val="auto"/>
                <w:w w:val="83"/>
              </w:rPr>
              <w:t>Page 2 of 9 Pages</w:t>
            </w:r>
          </w:p>
        </w:tc>
        <w:tc>
          <w:tcPr>
            <w:tcW w:w="0" w:type="dxa"/>
            <w:vAlign w:val="bottom"/>
          </w:tcPr>
          <w:p>
            <w:pPr>
              <w:spacing w:after="0"/>
              <w:rPr>
                <w:sz w:val="1"/>
                <w:szCs w:val="1"/>
                <w:color w:val="auto"/>
              </w:rPr>
            </w:pPr>
          </w:p>
        </w:tc>
      </w:tr>
      <w:tr>
        <w:trPr>
          <w:trHeight w:val="351"/>
        </w:trPr>
        <w:tc>
          <w:tcPr>
            <w:tcW w:w="166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gridSpan w:val="3"/>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w:t>
            </w:r>
          </w:p>
        </w:tc>
        <w:tc>
          <w:tcPr>
            <w:tcW w:w="8260" w:type="dxa"/>
            <w:vAlign w:val="bottom"/>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260" w:type="dxa"/>
            <w:vAlign w:val="bottom"/>
            <w:gridSpan w:val="3"/>
          </w:tcPr>
          <w:p>
            <w:pPr>
              <w:ind w:left="420"/>
              <w:spacing w:after="0"/>
              <w:rPr>
                <w:sz w:val="20"/>
                <w:szCs w:val="20"/>
                <w:color w:val="auto"/>
              </w:rPr>
            </w:pPr>
            <w:r>
              <w:rPr>
                <w:rFonts w:ascii="Arial" w:cs="Arial" w:eastAsia="Arial" w:hAnsi="Arial"/>
                <w:sz w:val="20"/>
                <w:szCs w:val="20"/>
                <w:color w:val="auto"/>
              </w:rPr>
              <w:t>M28 Capital Management LP</w:t>
            </w: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gridSpan w:val="3"/>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2</w:t>
            </w:r>
          </w:p>
        </w:tc>
        <w:tc>
          <w:tcPr>
            <w:tcW w:w="826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320" w:type="dxa"/>
            <w:vAlign w:val="bottom"/>
            <w:tcBorders>
              <w:right w:val="single" w:sz="8" w:color="auto"/>
            </w:tcBorders>
          </w:tcPr>
          <w:p>
            <w:pPr>
              <w:ind w:left="300"/>
              <w:spacing w:after="0" w:line="250" w:lineRule="exact"/>
              <w:rPr>
                <w:sz w:val="20"/>
                <w:szCs w:val="20"/>
                <w:color w:val="auto"/>
              </w:rPr>
            </w:pPr>
            <w:r>
              <w:rPr>
                <w:rFonts w:ascii="Arial" w:cs="Arial" w:eastAsia="Arial" w:hAnsi="Arial"/>
                <w:sz w:val="22"/>
                <w:szCs w:val="22"/>
                <w:color w:val="auto"/>
              </w:rPr>
              <w:t>(a) ü</w:t>
            </w: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ind w:left="300"/>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14"/>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3</w:t>
            </w:r>
          </w:p>
        </w:tc>
        <w:tc>
          <w:tcPr>
            <w:tcW w:w="826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8260" w:type="dxa"/>
            <w:vAlign w:val="bottom"/>
            <w:tcBorders>
              <w:bottom w:val="single" w:sz="8" w:color="auto"/>
            </w:tcBorders>
            <w:gridSpan w:val="3"/>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4</w:t>
            </w:r>
          </w:p>
        </w:tc>
        <w:tc>
          <w:tcPr>
            <w:tcW w:w="8260" w:type="dxa"/>
            <w:vAlign w:val="bottom"/>
            <w:gridSpan w:val="3"/>
          </w:tcPr>
          <w:p>
            <w:pPr>
              <w:ind w:left="100"/>
              <w:spacing w:after="0"/>
              <w:rPr>
                <w:sz w:val="20"/>
                <w:szCs w:val="20"/>
                <w:color w:val="auto"/>
              </w:rPr>
            </w:pPr>
            <w:r>
              <w:rPr>
                <w:rFonts w:ascii="Arial" w:cs="Arial" w:eastAsia="Arial" w:hAnsi="Arial"/>
                <w:sz w:val="20"/>
                <w:szCs w:val="20"/>
                <w:color w:val="auto"/>
              </w:rPr>
              <w:t>SOURCE OF FUNDS</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AF</w:t>
            </w:r>
          </w:p>
        </w:tc>
        <w:tc>
          <w:tcPr>
            <w:tcW w:w="700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gridSpan w:val="3"/>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5</w:t>
            </w:r>
          </w:p>
        </w:tc>
        <w:tc>
          <w:tcPr>
            <w:tcW w:w="8260" w:type="dxa"/>
            <w:vAlign w:val="bottom"/>
            <w:gridSpan w:val="3"/>
          </w:tcPr>
          <w:p>
            <w:pPr>
              <w:spacing w:after="0"/>
              <w:rPr>
                <w:sz w:val="20"/>
                <w:szCs w:val="20"/>
                <w:color w:val="auto"/>
              </w:rPr>
            </w:pPr>
            <w:r>
              <w:rPr>
                <w:rFonts w:ascii="Arial" w:cs="Arial" w:eastAsia="Arial" w:hAnsi="Arial"/>
                <w:sz w:val="20"/>
                <w:szCs w:val="20"/>
                <w:color w:val="auto"/>
                <w:w w:val="94"/>
              </w:rPr>
              <w:t>CHECK BOX IF DISCLOSURE OF LEGAL PROCEEDING IS REQUIRED PURSUANT TO ITEMS</w:t>
            </w:r>
          </w:p>
        </w:tc>
        <w:tc>
          <w:tcPr>
            <w:tcW w:w="1320" w:type="dxa"/>
            <w:vAlign w:val="bottom"/>
            <w:tcBorders>
              <w:right w:val="single" w:sz="8" w:color="auto"/>
            </w:tcBorders>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20"/>
                <w:szCs w:val="20"/>
                <w:color w:val="auto"/>
              </w:rPr>
              <w:t>2(d) or 2(e)</w:t>
            </w:r>
          </w:p>
        </w:tc>
        <w:tc>
          <w:tcPr>
            <w:tcW w:w="700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gridSpan w:val="3"/>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6</w:t>
            </w:r>
          </w:p>
        </w:tc>
        <w:tc>
          <w:tcPr>
            <w:tcW w:w="826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7"/>
              </w:rPr>
              <w:t>Delaware</w:t>
            </w:r>
          </w:p>
        </w:tc>
        <w:tc>
          <w:tcPr>
            <w:tcW w:w="700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7</w:t>
            </w:r>
          </w:p>
        </w:tc>
        <w:tc>
          <w:tcPr>
            <w:tcW w:w="40" w:type="dxa"/>
            <w:vAlign w:val="bottom"/>
          </w:tcPr>
          <w:p>
            <w:pPr>
              <w:spacing w:after="0"/>
              <w:rPr>
                <w:sz w:val="22"/>
                <w:szCs w:val="22"/>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SOLE VOTING POWER</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7000" w:type="dxa"/>
            <w:vAlign w:val="bottom"/>
          </w:tcPr>
          <w:p>
            <w:pPr>
              <w:ind w:left="380"/>
              <w:spacing w:after="0"/>
              <w:rPr>
                <w:sz w:val="20"/>
                <w:szCs w:val="20"/>
                <w:color w:val="auto"/>
              </w:rPr>
            </w:pPr>
            <w:r>
              <w:rPr>
                <w:rFonts w:ascii="Arial" w:cs="Arial" w:eastAsia="Arial" w:hAnsi="Arial"/>
                <w:sz w:val="20"/>
                <w:szCs w:val="20"/>
                <w:color w:val="auto"/>
              </w:rPr>
              <w:t>-0-</w:t>
            </w: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1"/>
              </w:rPr>
              <w:t>8</w:t>
            </w:r>
          </w:p>
        </w:tc>
        <w:tc>
          <w:tcPr>
            <w:tcW w:w="40" w:type="dxa"/>
            <w:vAlign w:val="bottom"/>
          </w:tcPr>
          <w:p>
            <w:pPr>
              <w:spacing w:after="0"/>
              <w:rPr>
                <w:sz w:val="5"/>
                <w:szCs w:val="5"/>
                <w:color w:val="auto"/>
              </w:rPr>
            </w:pPr>
          </w:p>
        </w:tc>
        <w:tc>
          <w:tcPr>
            <w:tcW w:w="7000" w:type="dxa"/>
            <w:vAlign w:val="bottom"/>
            <w:vMerge w:val="restart"/>
          </w:tcPr>
          <w:p>
            <w:pPr>
              <w:ind w:left="60"/>
              <w:spacing w:after="0"/>
              <w:rPr>
                <w:sz w:val="20"/>
                <w:szCs w:val="20"/>
                <w:color w:val="auto"/>
              </w:rPr>
            </w:pPr>
            <w:r>
              <w:rPr>
                <w:rFonts w:ascii="Arial" w:cs="Arial" w:eastAsia="Arial" w:hAnsi="Arial"/>
                <w:sz w:val="20"/>
                <w:szCs w:val="20"/>
                <w:color w:val="auto"/>
              </w:rPr>
              <w:t>SHARED VOTING POWER</w:t>
            </w: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000" w:type="dxa"/>
            <w:vAlign w:val="bottom"/>
          </w:tcPr>
          <w:p>
            <w:pPr>
              <w:ind w:left="380"/>
              <w:spacing w:after="0"/>
              <w:rPr>
                <w:sz w:val="20"/>
                <w:szCs w:val="20"/>
                <w:color w:val="auto"/>
              </w:rPr>
            </w:pPr>
            <w:r>
              <w:rPr>
                <w:rFonts w:ascii="Arial" w:cs="Arial" w:eastAsia="Arial" w:hAnsi="Arial"/>
                <w:sz w:val="20"/>
                <w:szCs w:val="20"/>
                <w:color w:val="auto"/>
              </w:rPr>
              <w:t>6,398,250</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1"/>
              </w:rPr>
              <w:t>9</w:t>
            </w:r>
          </w:p>
        </w:tc>
        <w:tc>
          <w:tcPr>
            <w:tcW w:w="40" w:type="dxa"/>
            <w:vAlign w:val="bottom"/>
          </w:tcPr>
          <w:p>
            <w:pPr>
              <w:spacing w:after="0"/>
              <w:rPr>
                <w:sz w:val="9"/>
                <w:szCs w:val="9"/>
                <w:color w:val="auto"/>
              </w:rPr>
            </w:pPr>
          </w:p>
        </w:tc>
        <w:tc>
          <w:tcPr>
            <w:tcW w:w="700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1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660" w:type="dxa"/>
            <w:vAlign w:val="bottom"/>
            <w:tcBorders>
              <w:left w:val="single" w:sz="8" w:color="auto"/>
              <w:right w:val="single" w:sz="8" w:color="auto"/>
            </w:tcBorders>
          </w:tcPr>
          <w:p>
            <w:pPr>
              <w:jc w:val="center"/>
              <w:spacing w:after="0" w:line="164" w:lineRule="exact"/>
              <w:rPr>
                <w:sz w:val="20"/>
                <w:szCs w:val="20"/>
                <w:color w:val="auto"/>
              </w:rPr>
            </w:pPr>
            <w:r>
              <w:rPr>
                <w:rFonts w:ascii="Arial" w:cs="Arial" w:eastAsia="Arial" w:hAnsi="Arial"/>
                <w:sz w:val="19"/>
                <w:szCs w:val="19"/>
                <w:color w:val="auto"/>
              </w:rPr>
              <w:t>EACH</w:t>
            </w:r>
          </w:p>
        </w:tc>
        <w:tc>
          <w:tcPr>
            <w:tcW w:w="12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7000" w:type="dxa"/>
            <w:vAlign w:val="bottom"/>
          </w:tcPr>
          <w:p>
            <w:pPr>
              <w:ind w:left="380"/>
              <w:spacing w:after="0"/>
              <w:rPr>
                <w:sz w:val="20"/>
                <w:szCs w:val="20"/>
                <w:color w:val="auto"/>
              </w:rPr>
            </w:pPr>
            <w:r>
              <w:rPr>
                <w:rFonts w:ascii="Arial" w:cs="Arial" w:eastAsia="Arial" w:hAnsi="Arial"/>
                <w:sz w:val="20"/>
                <w:szCs w:val="20"/>
                <w:color w:val="auto"/>
              </w:rPr>
              <w:t>-0-</w:t>
            </w: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continue"/>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000" w:type="dxa"/>
            <w:vAlign w:val="bottom"/>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2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00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9"/>
              </w:rPr>
              <w:t>10</w:t>
            </w:r>
          </w:p>
        </w:tc>
        <w:tc>
          <w:tcPr>
            <w:tcW w:w="40" w:type="dxa"/>
            <w:vAlign w:val="bottom"/>
          </w:tcPr>
          <w:p>
            <w:pPr>
              <w:spacing w:after="0"/>
              <w:rPr>
                <w:sz w:val="16"/>
                <w:szCs w:val="16"/>
                <w:color w:val="auto"/>
              </w:rPr>
            </w:pPr>
          </w:p>
        </w:tc>
        <w:tc>
          <w:tcPr>
            <w:tcW w:w="700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7000" w:type="dxa"/>
            <w:vAlign w:val="bottom"/>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7000" w:type="dxa"/>
            <w:vAlign w:val="bottom"/>
          </w:tcPr>
          <w:p>
            <w:pPr>
              <w:ind w:left="380"/>
              <w:spacing w:after="0"/>
              <w:rPr>
                <w:sz w:val="20"/>
                <w:szCs w:val="20"/>
                <w:color w:val="auto"/>
              </w:rPr>
            </w:pPr>
            <w:r>
              <w:rPr>
                <w:rFonts w:ascii="Arial" w:cs="Arial" w:eastAsia="Arial" w:hAnsi="Arial"/>
                <w:sz w:val="20"/>
                <w:szCs w:val="20"/>
                <w:color w:val="auto"/>
              </w:rPr>
              <w:t>6,398,250</w:t>
            </w: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7040" w:type="dxa"/>
            <w:vAlign w:val="bottom"/>
            <w:tcBorders>
              <w:bottom w:val="single" w:sz="8" w:color="auto"/>
            </w:tcBorders>
            <w:gridSpan w:val="2"/>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11</w:t>
            </w:r>
          </w:p>
        </w:tc>
        <w:tc>
          <w:tcPr>
            <w:tcW w:w="8260" w:type="dxa"/>
            <w:vAlign w:val="bottom"/>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2"/>
              </w:rPr>
              <w:t>6,398,250</w:t>
            </w:r>
          </w:p>
        </w:tc>
        <w:tc>
          <w:tcPr>
            <w:tcW w:w="700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40" w:type="dxa"/>
            <w:vAlign w:val="bottom"/>
            <w:tcBorders>
              <w:bottom w:val="single" w:sz="8" w:color="auto"/>
            </w:tcBorders>
            <w:gridSpan w:val="2"/>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12</w:t>
            </w:r>
          </w:p>
        </w:tc>
        <w:tc>
          <w:tcPr>
            <w:tcW w:w="8260" w:type="dxa"/>
            <w:vAlign w:val="bottom"/>
            <w:gridSpan w:val="3"/>
          </w:tcPr>
          <w:p>
            <w:pPr>
              <w:ind w:left="100"/>
              <w:spacing w:after="0"/>
              <w:rPr>
                <w:sz w:val="20"/>
                <w:szCs w:val="20"/>
                <w:color w:val="auto"/>
              </w:rPr>
            </w:pPr>
            <w:r>
              <w:rPr>
                <w:rFonts w:ascii="Arial" w:cs="Arial" w:eastAsia="Arial" w:hAnsi="Arial"/>
                <w:sz w:val="20"/>
                <w:szCs w:val="20"/>
                <w:color w:val="auto"/>
              </w:rPr>
              <w:t>CHECK IF THE AGGREGATE AMOUNT IN ROW (11) EXCLUDES CERTAIN SHARES</w:t>
            </w:r>
          </w:p>
        </w:tc>
        <w:tc>
          <w:tcPr>
            <w:tcW w:w="1320" w:type="dxa"/>
            <w:vAlign w:val="bottom"/>
            <w:tcBorders>
              <w:right w:val="single" w:sz="8" w:color="auto"/>
            </w:tcBorders>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74"/>
        </w:trPr>
        <w:tc>
          <w:tcPr>
            <w:tcW w:w="166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040" w:type="dxa"/>
            <w:vAlign w:val="bottom"/>
            <w:tcBorders>
              <w:bottom w:val="single" w:sz="8" w:color="auto"/>
            </w:tcBorders>
            <w:gridSpan w:val="2"/>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13</w:t>
            </w:r>
          </w:p>
        </w:tc>
        <w:tc>
          <w:tcPr>
            <w:tcW w:w="826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(11)</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5.78%</w:t>
            </w:r>
          </w:p>
        </w:tc>
        <w:tc>
          <w:tcPr>
            <w:tcW w:w="4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40" w:type="dxa"/>
            <w:vAlign w:val="bottom"/>
            <w:tcBorders>
              <w:bottom w:val="single" w:sz="8" w:color="auto"/>
            </w:tcBorders>
            <w:gridSpan w:val="2"/>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14</w:t>
            </w:r>
          </w:p>
        </w:tc>
        <w:tc>
          <w:tcPr>
            <w:tcW w:w="826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IA</w:t>
            </w:r>
          </w:p>
        </w:tc>
        <w:tc>
          <w:tcPr>
            <w:tcW w:w="700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00534A102</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3 of 9 Pages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w:t>
            </w:r>
          </w:p>
        </w:tc>
        <w:tc>
          <w:tcPr>
            <w:tcW w:w="8400" w:type="dxa"/>
            <w:vAlign w:val="bottom"/>
            <w:tcBorders>
              <w:top w:val="single" w:sz="8" w:color="auto"/>
            </w:tcBorders>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1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8"/>
              </w:rPr>
              <w:t>Marc Elia</w:t>
            </w:r>
          </w:p>
        </w:tc>
        <w:tc>
          <w:tcPr>
            <w:tcW w:w="714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400" w:type="dxa"/>
            <w:vAlign w:val="bottom"/>
            <w:tcBorders>
              <w:bottom w:val="single" w:sz="8" w:color="auto"/>
            </w:tcBorders>
            <w:gridSpan w:val="3"/>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2</w:t>
            </w:r>
          </w:p>
        </w:tc>
        <w:tc>
          <w:tcPr>
            <w:tcW w:w="840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180" w:type="dxa"/>
            <w:vAlign w:val="bottom"/>
            <w:tcBorders>
              <w:right w:val="single" w:sz="8" w:color="auto"/>
            </w:tcBorders>
          </w:tcPr>
          <w:p>
            <w:pPr>
              <w:ind w:left="160"/>
              <w:spacing w:after="0" w:line="250" w:lineRule="exact"/>
              <w:rPr>
                <w:sz w:val="20"/>
                <w:szCs w:val="20"/>
                <w:color w:val="auto"/>
              </w:rPr>
            </w:pPr>
            <w:r>
              <w:rPr>
                <w:rFonts w:ascii="Arial" w:cs="Arial" w:eastAsia="Arial" w:hAnsi="Arial"/>
                <w:sz w:val="22"/>
                <w:szCs w:val="22"/>
                <w:color w:val="auto"/>
              </w:rPr>
              <w:t>(a) ü</w:t>
            </w: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ind w:left="160"/>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14"/>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3</w:t>
            </w:r>
          </w:p>
        </w:tc>
        <w:tc>
          <w:tcPr>
            <w:tcW w:w="840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8400" w:type="dxa"/>
            <w:vAlign w:val="bottom"/>
            <w:tcBorders>
              <w:bottom w:val="single" w:sz="8" w:color="auto"/>
            </w:tcBorders>
            <w:gridSpan w:val="3"/>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4</w:t>
            </w:r>
          </w:p>
        </w:tc>
        <w:tc>
          <w:tcPr>
            <w:tcW w:w="8400" w:type="dxa"/>
            <w:vAlign w:val="bottom"/>
            <w:gridSpan w:val="3"/>
          </w:tcPr>
          <w:p>
            <w:pPr>
              <w:ind w:left="100"/>
              <w:spacing w:after="0"/>
              <w:rPr>
                <w:sz w:val="20"/>
                <w:szCs w:val="20"/>
                <w:color w:val="auto"/>
              </w:rPr>
            </w:pPr>
            <w:r>
              <w:rPr>
                <w:rFonts w:ascii="Arial" w:cs="Arial" w:eastAsia="Arial" w:hAnsi="Arial"/>
                <w:sz w:val="20"/>
                <w:szCs w:val="20"/>
                <w:color w:val="auto"/>
              </w:rPr>
              <w:t>SOURCE OF FUNDS</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AF</w:t>
            </w:r>
          </w:p>
        </w:tc>
        <w:tc>
          <w:tcPr>
            <w:tcW w:w="714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400" w:type="dxa"/>
            <w:vAlign w:val="bottom"/>
            <w:tcBorders>
              <w:bottom w:val="single" w:sz="8" w:color="auto"/>
            </w:tcBorders>
            <w:gridSpan w:val="3"/>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5</w:t>
            </w:r>
          </w:p>
        </w:tc>
        <w:tc>
          <w:tcPr>
            <w:tcW w:w="8400" w:type="dxa"/>
            <w:vAlign w:val="bottom"/>
            <w:gridSpan w:val="3"/>
          </w:tcPr>
          <w:p>
            <w:pPr>
              <w:spacing w:after="0"/>
              <w:rPr>
                <w:sz w:val="20"/>
                <w:szCs w:val="20"/>
                <w:color w:val="auto"/>
              </w:rPr>
            </w:pPr>
            <w:r>
              <w:rPr>
                <w:rFonts w:ascii="Arial" w:cs="Arial" w:eastAsia="Arial" w:hAnsi="Arial"/>
                <w:sz w:val="20"/>
                <w:szCs w:val="20"/>
                <w:color w:val="auto"/>
                <w:w w:val="96"/>
              </w:rPr>
              <w:t>CHECK BOX IF DISCLOSURE OF LEGAL PROCEEDING IS REQUIRED PURSUANT TO ITEMS</w:t>
            </w:r>
          </w:p>
        </w:tc>
        <w:tc>
          <w:tcPr>
            <w:tcW w:w="1180" w:type="dxa"/>
            <w:vAlign w:val="bottom"/>
            <w:tcBorders>
              <w:right w:val="single" w:sz="8" w:color="auto"/>
            </w:tcBorders>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20"/>
                <w:szCs w:val="20"/>
                <w:color w:val="auto"/>
              </w:rPr>
              <w:t>2(d) or 2(e)</w:t>
            </w:r>
          </w:p>
        </w:tc>
        <w:tc>
          <w:tcPr>
            <w:tcW w:w="714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400" w:type="dxa"/>
            <w:vAlign w:val="bottom"/>
            <w:tcBorders>
              <w:bottom w:val="single" w:sz="8" w:color="auto"/>
            </w:tcBorders>
            <w:gridSpan w:val="3"/>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6</w:t>
            </w:r>
          </w:p>
        </w:tc>
        <w:tc>
          <w:tcPr>
            <w:tcW w:w="840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400" w:type="dxa"/>
            <w:vAlign w:val="bottom"/>
            <w:gridSpan w:val="3"/>
          </w:tcPr>
          <w:p>
            <w:pPr>
              <w:ind w:left="420"/>
              <w:spacing w:after="0"/>
              <w:rPr>
                <w:sz w:val="20"/>
                <w:szCs w:val="20"/>
                <w:color w:val="auto"/>
              </w:rPr>
            </w:pPr>
            <w:r>
              <w:rPr>
                <w:rFonts w:ascii="Arial" w:cs="Arial" w:eastAsia="Arial" w:hAnsi="Arial"/>
                <w:sz w:val="20"/>
                <w:szCs w:val="20"/>
                <w:color w:val="auto"/>
              </w:rPr>
              <w:t>United States</w:t>
            </w:r>
          </w:p>
        </w:tc>
        <w:tc>
          <w:tcPr>
            <w:tcW w:w="1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140" w:type="dxa"/>
            <w:vAlign w:val="bottom"/>
            <w:tcBorders>
              <w:bottom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7</w:t>
            </w:r>
          </w:p>
        </w:tc>
        <w:tc>
          <w:tcPr>
            <w:tcW w:w="40" w:type="dxa"/>
            <w:vAlign w:val="bottom"/>
          </w:tcPr>
          <w:p>
            <w:pPr>
              <w:spacing w:after="0"/>
              <w:rPr>
                <w:sz w:val="22"/>
                <w:szCs w:val="22"/>
                <w:color w:val="auto"/>
              </w:rPr>
            </w:pPr>
          </w:p>
        </w:tc>
        <w:tc>
          <w:tcPr>
            <w:tcW w:w="7140" w:type="dxa"/>
            <w:vAlign w:val="bottom"/>
          </w:tcPr>
          <w:p>
            <w:pPr>
              <w:ind w:left="60"/>
              <w:spacing w:after="0"/>
              <w:rPr>
                <w:sz w:val="20"/>
                <w:szCs w:val="20"/>
                <w:color w:val="auto"/>
              </w:rPr>
            </w:pPr>
            <w:r>
              <w:rPr>
                <w:rFonts w:ascii="Arial" w:cs="Arial" w:eastAsia="Arial" w:hAnsi="Arial"/>
                <w:sz w:val="20"/>
                <w:szCs w:val="20"/>
                <w:color w:val="auto"/>
              </w:rPr>
              <w:t>SOLE VOTING POWER</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7140" w:type="dxa"/>
            <w:vAlign w:val="bottom"/>
          </w:tcPr>
          <w:p>
            <w:pPr>
              <w:ind w:left="380"/>
              <w:spacing w:after="0"/>
              <w:rPr>
                <w:sz w:val="20"/>
                <w:szCs w:val="20"/>
                <w:color w:val="auto"/>
              </w:rPr>
            </w:pPr>
            <w:r>
              <w:rPr>
                <w:rFonts w:ascii="Arial" w:cs="Arial" w:eastAsia="Arial" w:hAnsi="Arial"/>
                <w:sz w:val="20"/>
                <w:szCs w:val="20"/>
                <w:color w:val="auto"/>
              </w:rPr>
              <w:t>-0-</w:t>
            </w:r>
          </w:p>
        </w:tc>
        <w:tc>
          <w:tcPr>
            <w:tcW w:w="1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140" w:type="dxa"/>
            <w:vAlign w:val="bottom"/>
            <w:tcBorders>
              <w:bottom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1"/>
              </w:rPr>
              <w:t>8</w:t>
            </w:r>
          </w:p>
        </w:tc>
        <w:tc>
          <w:tcPr>
            <w:tcW w:w="40" w:type="dxa"/>
            <w:vAlign w:val="bottom"/>
          </w:tcPr>
          <w:p>
            <w:pPr>
              <w:spacing w:after="0"/>
              <w:rPr>
                <w:sz w:val="5"/>
                <w:szCs w:val="5"/>
                <w:color w:val="auto"/>
              </w:rPr>
            </w:pPr>
          </w:p>
        </w:tc>
        <w:tc>
          <w:tcPr>
            <w:tcW w:w="7140" w:type="dxa"/>
            <w:vAlign w:val="bottom"/>
            <w:vMerge w:val="restart"/>
          </w:tcPr>
          <w:p>
            <w:pPr>
              <w:ind w:left="60"/>
              <w:spacing w:after="0"/>
              <w:rPr>
                <w:sz w:val="20"/>
                <w:szCs w:val="20"/>
                <w:color w:val="auto"/>
              </w:rPr>
            </w:pPr>
            <w:r>
              <w:rPr>
                <w:rFonts w:ascii="Arial" w:cs="Arial" w:eastAsia="Arial" w:hAnsi="Arial"/>
                <w:sz w:val="20"/>
                <w:szCs w:val="20"/>
                <w:color w:val="auto"/>
              </w:rPr>
              <w:t>SHARED VOTING POWER</w:t>
            </w:r>
          </w:p>
        </w:tc>
        <w:tc>
          <w:tcPr>
            <w:tcW w:w="1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7140" w:type="dxa"/>
            <w:vAlign w:val="bottom"/>
            <w:vMerge w:val="continue"/>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140" w:type="dxa"/>
            <w:vAlign w:val="bottom"/>
          </w:tcPr>
          <w:p>
            <w:pPr>
              <w:ind w:left="380"/>
              <w:spacing w:after="0"/>
              <w:rPr>
                <w:sz w:val="20"/>
                <w:szCs w:val="20"/>
                <w:color w:val="auto"/>
              </w:rPr>
            </w:pPr>
            <w:r>
              <w:rPr>
                <w:rFonts w:ascii="Arial" w:cs="Arial" w:eastAsia="Arial" w:hAnsi="Arial"/>
                <w:sz w:val="20"/>
                <w:szCs w:val="20"/>
                <w:color w:val="auto"/>
              </w:rPr>
              <w:t>6,398,250</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14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1"/>
              </w:rPr>
              <w:t>9</w:t>
            </w:r>
          </w:p>
        </w:tc>
        <w:tc>
          <w:tcPr>
            <w:tcW w:w="40" w:type="dxa"/>
            <w:vAlign w:val="bottom"/>
          </w:tcPr>
          <w:p>
            <w:pPr>
              <w:spacing w:after="0"/>
              <w:rPr>
                <w:sz w:val="9"/>
                <w:szCs w:val="9"/>
                <w:color w:val="auto"/>
              </w:rPr>
            </w:pPr>
          </w:p>
        </w:tc>
        <w:tc>
          <w:tcPr>
            <w:tcW w:w="714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1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660" w:type="dxa"/>
            <w:vAlign w:val="bottom"/>
            <w:tcBorders>
              <w:left w:val="single" w:sz="8" w:color="auto"/>
              <w:right w:val="single" w:sz="8" w:color="auto"/>
            </w:tcBorders>
          </w:tcPr>
          <w:p>
            <w:pPr>
              <w:jc w:val="center"/>
              <w:spacing w:after="0" w:line="164" w:lineRule="exact"/>
              <w:rPr>
                <w:sz w:val="20"/>
                <w:szCs w:val="20"/>
                <w:color w:val="auto"/>
              </w:rPr>
            </w:pPr>
            <w:r>
              <w:rPr>
                <w:rFonts w:ascii="Arial" w:cs="Arial" w:eastAsia="Arial" w:hAnsi="Arial"/>
                <w:sz w:val="19"/>
                <w:szCs w:val="19"/>
                <w:color w:val="auto"/>
              </w:rPr>
              <w:t>EACH</w:t>
            </w:r>
          </w:p>
        </w:tc>
        <w:tc>
          <w:tcPr>
            <w:tcW w:w="12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140" w:type="dxa"/>
            <w:vAlign w:val="bottom"/>
            <w:vMerge w:val="continue"/>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7140" w:type="dxa"/>
            <w:vAlign w:val="bottom"/>
          </w:tcPr>
          <w:p>
            <w:pPr>
              <w:ind w:left="380"/>
              <w:spacing w:after="0"/>
              <w:rPr>
                <w:sz w:val="20"/>
                <w:szCs w:val="20"/>
                <w:color w:val="auto"/>
              </w:rPr>
            </w:pPr>
            <w:r>
              <w:rPr>
                <w:rFonts w:ascii="Arial" w:cs="Arial" w:eastAsia="Arial" w:hAnsi="Arial"/>
                <w:sz w:val="20"/>
                <w:szCs w:val="20"/>
                <w:color w:val="auto"/>
              </w:rPr>
              <w:t>-0-</w:t>
            </w:r>
          </w:p>
        </w:tc>
        <w:tc>
          <w:tcPr>
            <w:tcW w:w="1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continue"/>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140" w:type="dxa"/>
            <w:vAlign w:val="bottom"/>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2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9"/>
              </w:rPr>
              <w:t>10</w:t>
            </w:r>
          </w:p>
        </w:tc>
        <w:tc>
          <w:tcPr>
            <w:tcW w:w="40" w:type="dxa"/>
            <w:vAlign w:val="bottom"/>
          </w:tcPr>
          <w:p>
            <w:pPr>
              <w:spacing w:after="0"/>
              <w:rPr>
                <w:sz w:val="16"/>
                <w:szCs w:val="16"/>
                <w:color w:val="auto"/>
              </w:rPr>
            </w:pPr>
          </w:p>
        </w:tc>
        <w:tc>
          <w:tcPr>
            <w:tcW w:w="714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1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7140" w:type="dxa"/>
            <w:vAlign w:val="bottom"/>
            <w:vMerge w:val="continue"/>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7140" w:type="dxa"/>
            <w:vAlign w:val="bottom"/>
          </w:tcPr>
          <w:p>
            <w:pPr>
              <w:ind w:left="380"/>
              <w:spacing w:after="0"/>
              <w:rPr>
                <w:sz w:val="20"/>
                <w:szCs w:val="20"/>
                <w:color w:val="auto"/>
              </w:rPr>
            </w:pPr>
            <w:r>
              <w:rPr>
                <w:rFonts w:ascii="Arial" w:cs="Arial" w:eastAsia="Arial" w:hAnsi="Arial"/>
                <w:sz w:val="20"/>
                <w:szCs w:val="20"/>
                <w:color w:val="auto"/>
              </w:rPr>
              <w:t>6,398,250</w:t>
            </w:r>
          </w:p>
        </w:tc>
        <w:tc>
          <w:tcPr>
            <w:tcW w:w="1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7180" w:type="dxa"/>
            <w:vAlign w:val="bottom"/>
            <w:tcBorders>
              <w:bottom w:val="single" w:sz="8" w:color="auto"/>
            </w:tcBorders>
            <w:gridSpan w:val="2"/>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11</w:t>
            </w:r>
          </w:p>
        </w:tc>
        <w:tc>
          <w:tcPr>
            <w:tcW w:w="8400" w:type="dxa"/>
            <w:vAlign w:val="bottom"/>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2"/>
              </w:rPr>
              <w:t>6,398,250</w:t>
            </w:r>
          </w:p>
        </w:tc>
        <w:tc>
          <w:tcPr>
            <w:tcW w:w="714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180" w:type="dxa"/>
            <w:vAlign w:val="bottom"/>
            <w:tcBorders>
              <w:bottom w:val="single" w:sz="8" w:color="auto"/>
            </w:tcBorders>
            <w:gridSpan w:val="2"/>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12</w:t>
            </w:r>
          </w:p>
        </w:tc>
        <w:tc>
          <w:tcPr>
            <w:tcW w:w="8400" w:type="dxa"/>
            <w:vAlign w:val="bottom"/>
            <w:gridSpan w:val="3"/>
          </w:tcPr>
          <w:p>
            <w:pPr>
              <w:ind w:left="100"/>
              <w:spacing w:after="0"/>
              <w:rPr>
                <w:sz w:val="20"/>
                <w:szCs w:val="20"/>
                <w:color w:val="auto"/>
              </w:rPr>
            </w:pPr>
            <w:r>
              <w:rPr>
                <w:rFonts w:ascii="Arial" w:cs="Arial" w:eastAsia="Arial" w:hAnsi="Arial"/>
                <w:sz w:val="20"/>
                <w:szCs w:val="20"/>
                <w:color w:val="auto"/>
              </w:rPr>
              <w:t>CHECK IF THE AGGREGATE AMOUNT IN ROW (11) EXCLUDES CERTAIN SHARES</w:t>
            </w:r>
          </w:p>
        </w:tc>
        <w:tc>
          <w:tcPr>
            <w:tcW w:w="1180" w:type="dxa"/>
            <w:vAlign w:val="bottom"/>
            <w:tcBorders>
              <w:right w:val="single" w:sz="8" w:color="auto"/>
            </w:tcBorders>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74"/>
        </w:trPr>
        <w:tc>
          <w:tcPr>
            <w:tcW w:w="166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180" w:type="dxa"/>
            <w:vAlign w:val="bottom"/>
            <w:tcBorders>
              <w:bottom w:val="single" w:sz="8" w:color="auto"/>
            </w:tcBorders>
            <w:gridSpan w:val="2"/>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13</w:t>
            </w:r>
          </w:p>
        </w:tc>
        <w:tc>
          <w:tcPr>
            <w:tcW w:w="840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(11)</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5.78%</w:t>
            </w:r>
          </w:p>
        </w:tc>
        <w:tc>
          <w:tcPr>
            <w:tcW w:w="4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180" w:type="dxa"/>
            <w:vAlign w:val="bottom"/>
            <w:tcBorders>
              <w:bottom w:val="single" w:sz="8" w:color="auto"/>
            </w:tcBorders>
            <w:gridSpan w:val="2"/>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14</w:t>
            </w:r>
          </w:p>
        </w:tc>
        <w:tc>
          <w:tcPr>
            <w:tcW w:w="840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714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140" w:type="dxa"/>
            <w:vAlign w:val="bottom"/>
            <w:tcBorders>
              <w:bottom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00534A102</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4 of 9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SECURITY AND ISSUER</w:t>
      </w:r>
    </w:p>
    <w:p>
      <w:pPr>
        <w:spacing w:after="0" w:line="239" w:lineRule="exact"/>
        <w:rPr>
          <w:sz w:val="20"/>
          <w:szCs w:val="20"/>
          <w:color w:val="auto"/>
        </w:rPr>
      </w:pPr>
    </w:p>
    <w:p>
      <w:pPr>
        <w:jc w:val="both"/>
        <w:ind w:left="1360" w:right="100"/>
        <w:spacing w:after="0" w:line="297" w:lineRule="auto"/>
        <w:rPr>
          <w:sz w:val="20"/>
          <w:szCs w:val="20"/>
          <w:color w:val="auto"/>
        </w:rPr>
      </w:pPr>
      <w:r>
        <w:rPr>
          <w:rFonts w:ascii="Arial" w:cs="Arial" w:eastAsia="Arial" w:hAnsi="Arial"/>
          <w:sz w:val="19"/>
          <w:szCs w:val="19"/>
          <w:color w:val="auto"/>
        </w:rPr>
        <w:t>This statement on Schedule 13D (the "</w:t>
      </w:r>
      <w:r>
        <w:rPr>
          <w:rFonts w:ascii="Arial" w:cs="Arial" w:eastAsia="Arial" w:hAnsi="Arial"/>
          <w:sz w:val="19"/>
          <w:szCs w:val="19"/>
          <w:u w:val="single" w:color="auto"/>
          <w:color w:val="auto"/>
        </w:rPr>
        <w:t>Schedule 13D</w:t>
      </w:r>
      <w:r>
        <w:rPr>
          <w:rFonts w:ascii="Arial" w:cs="Arial" w:eastAsia="Arial" w:hAnsi="Arial"/>
          <w:sz w:val="19"/>
          <w:szCs w:val="19"/>
          <w:color w:val="auto"/>
        </w:rPr>
        <w:t>") relates to the shares of Common Stock, $0.0001 par value (the "</w:t>
      </w:r>
      <w:r>
        <w:rPr>
          <w:rFonts w:ascii="Arial" w:cs="Arial" w:eastAsia="Arial" w:hAnsi="Arial"/>
          <w:sz w:val="19"/>
          <w:szCs w:val="19"/>
          <w:u w:val="single" w:color="auto"/>
          <w:color w:val="auto"/>
        </w:rPr>
        <w:t>Common Stock</w:t>
      </w:r>
      <w:r>
        <w:rPr>
          <w:rFonts w:ascii="Arial" w:cs="Arial" w:eastAsia="Arial" w:hAnsi="Arial"/>
          <w:sz w:val="19"/>
          <w:szCs w:val="19"/>
          <w:color w:val="auto"/>
        </w:rPr>
        <w:t>"), of Adagio Therapeutics, Inc., a Delaware corporation (the "</w:t>
      </w:r>
      <w:r>
        <w:rPr>
          <w:rFonts w:ascii="Arial" w:cs="Arial" w:eastAsia="Arial" w:hAnsi="Arial"/>
          <w:sz w:val="19"/>
          <w:szCs w:val="19"/>
          <w:u w:val="single" w:color="auto"/>
          <w:color w:val="auto"/>
        </w:rPr>
        <w:t>Issuer</w:t>
      </w:r>
      <w:r>
        <w:rPr>
          <w:rFonts w:ascii="Arial" w:cs="Arial" w:eastAsia="Arial" w:hAnsi="Arial"/>
          <w:sz w:val="19"/>
          <w:szCs w:val="19"/>
          <w:color w:val="auto"/>
        </w:rPr>
        <w:t>"). The Issuer's principal executive offices are located at 1601 Trapelo Road, Suite 178, Waltham, Massachusetts 02451.</w:t>
      </w:r>
    </w:p>
    <w:p>
      <w:pPr>
        <w:spacing w:after="0" w:line="222"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2"/>
          <w:szCs w:val="22"/>
          <w:b w:val="1"/>
          <w:bCs w:val="1"/>
          <w:color w:val="auto"/>
        </w:rPr>
        <w:t>IDENTITY AND BACKGROUND</w:t>
      </w:r>
    </w:p>
    <w:p>
      <w:pPr>
        <w:spacing w:after="0" w:line="239" w:lineRule="exact"/>
        <w:rPr>
          <w:sz w:val="20"/>
          <w:szCs w:val="20"/>
          <w:color w:val="auto"/>
        </w:rPr>
      </w:pPr>
    </w:p>
    <w:p>
      <w:pPr>
        <w:ind w:left="1360" w:hanging="1249"/>
        <w:spacing w:after="0"/>
        <w:tabs>
          <w:tab w:leader="none" w:pos="13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Schedule 13D is being filed on behalf of:</w:t>
      </w:r>
    </w:p>
    <w:p>
      <w:pPr>
        <w:spacing w:after="0" w:line="233" w:lineRule="exact"/>
        <w:rPr>
          <w:rFonts w:ascii="Arial" w:cs="Arial" w:eastAsia="Arial" w:hAnsi="Arial"/>
          <w:sz w:val="22"/>
          <w:szCs w:val="22"/>
          <w:color w:val="auto"/>
        </w:rPr>
      </w:pPr>
    </w:p>
    <w:p>
      <w:pPr>
        <w:ind w:left="1360" w:right="120" w:hanging="7"/>
        <w:spacing w:after="0" w:line="274" w:lineRule="auto"/>
        <w:tabs>
          <w:tab w:leader="none" w:pos="1634" w:val="left"/>
        </w:tabs>
        <w:numPr>
          <w:ilvl w:val="1"/>
          <w:numId w:val="2"/>
        </w:numPr>
        <w:rPr>
          <w:rFonts w:ascii="Arial" w:cs="Arial" w:eastAsia="Arial" w:hAnsi="Arial"/>
          <w:sz w:val="21"/>
          <w:szCs w:val="21"/>
          <w:color w:val="auto"/>
        </w:rPr>
      </w:pPr>
      <w:r>
        <w:rPr>
          <w:rFonts w:ascii="Arial" w:cs="Arial" w:eastAsia="Arial" w:hAnsi="Arial"/>
          <w:sz w:val="21"/>
          <w:szCs w:val="21"/>
          <w:color w:val="auto"/>
        </w:rPr>
        <w:t>M28 Capital Management LP ("</w:t>
      </w:r>
      <w:r>
        <w:rPr>
          <w:rFonts w:ascii="Arial" w:cs="Arial" w:eastAsia="Arial" w:hAnsi="Arial"/>
          <w:sz w:val="21"/>
          <w:szCs w:val="21"/>
          <w:u w:val="single" w:color="auto"/>
          <w:color w:val="auto"/>
        </w:rPr>
        <w:t>M28 Capital</w:t>
      </w:r>
      <w:r>
        <w:rPr>
          <w:rFonts w:ascii="Arial" w:cs="Arial" w:eastAsia="Arial" w:hAnsi="Arial"/>
          <w:sz w:val="21"/>
          <w:szCs w:val="21"/>
          <w:color w:val="auto"/>
        </w:rPr>
        <w:t>") with respect to the shares of Common Stock held by certain funds and accounts (the "</w:t>
      </w:r>
      <w:r>
        <w:rPr>
          <w:rFonts w:ascii="Arial" w:cs="Arial" w:eastAsia="Arial" w:hAnsi="Arial"/>
          <w:sz w:val="21"/>
          <w:szCs w:val="21"/>
          <w:u w:val="single" w:color="auto"/>
          <w:color w:val="auto"/>
        </w:rPr>
        <w:t>M28 Funds and Accounts</w:t>
      </w:r>
      <w:r>
        <w:rPr>
          <w:rFonts w:ascii="Arial" w:cs="Arial" w:eastAsia="Arial" w:hAnsi="Arial"/>
          <w:sz w:val="21"/>
          <w:szCs w:val="21"/>
          <w:color w:val="auto"/>
        </w:rPr>
        <w:t>") to which it acts an investment manager; and</w:t>
      </w:r>
    </w:p>
    <w:p>
      <w:pPr>
        <w:spacing w:after="0" w:line="177" w:lineRule="exact"/>
        <w:rPr>
          <w:rFonts w:ascii="Arial" w:cs="Arial" w:eastAsia="Arial" w:hAnsi="Arial"/>
          <w:sz w:val="21"/>
          <w:szCs w:val="21"/>
          <w:color w:val="auto"/>
        </w:rPr>
      </w:pPr>
    </w:p>
    <w:p>
      <w:pPr>
        <w:jc w:val="both"/>
        <w:ind w:left="1360" w:right="100" w:hanging="7"/>
        <w:spacing w:after="0" w:line="238" w:lineRule="auto"/>
        <w:tabs>
          <w:tab w:leader="none" w:pos="1678" w:val="left"/>
        </w:tabs>
        <w:numPr>
          <w:ilvl w:val="1"/>
          <w:numId w:val="2"/>
        </w:numPr>
        <w:rPr>
          <w:rFonts w:ascii="Arial" w:cs="Arial" w:eastAsia="Arial" w:hAnsi="Arial"/>
          <w:sz w:val="22"/>
          <w:szCs w:val="22"/>
          <w:color w:val="auto"/>
        </w:rPr>
      </w:pPr>
      <w:r>
        <w:rPr>
          <w:rFonts w:ascii="Arial" w:cs="Arial" w:eastAsia="Arial" w:hAnsi="Arial"/>
          <w:sz w:val="22"/>
          <w:szCs w:val="22"/>
          <w:color w:val="auto"/>
        </w:rPr>
        <w:t>Marc Elia, the Chief Investment Officer of M28 Capital and Managing Member of M28 Capital Management GP LLC, the general partner of M28 Capital ("Mr. Elia", together with M28 Capital and M28 Capital Management GP, LLC, the "</w:t>
      </w:r>
      <w:r>
        <w:rPr>
          <w:rFonts w:ascii="Arial" w:cs="Arial" w:eastAsia="Arial" w:hAnsi="Arial"/>
          <w:sz w:val="22"/>
          <w:szCs w:val="22"/>
          <w:u w:val="single" w:color="auto"/>
          <w:color w:val="auto"/>
        </w:rPr>
        <w:t>M28 Parties</w:t>
      </w:r>
      <w:r>
        <w:rPr>
          <w:rFonts w:ascii="Arial" w:cs="Arial" w:eastAsia="Arial" w:hAnsi="Arial"/>
          <w:sz w:val="22"/>
          <w:szCs w:val="22"/>
          <w:color w:val="auto"/>
        </w:rPr>
        <w:t>"), with respect to the shares of Common Stock held by the M28 Funds and Accounts.</w:t>
      </w:r>
    </w:p>
    <w:p>
      <w:pPr>
        <w:spacing w:after="0" w:line="212"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Each of the foregoing is referred to as a "</w:t>
      </w:r>
      <w:r>
        <w:rPr>
          <w:rFonts w:ascii="Arial" w:cs="Arial" w:eastAsia="Arial" w:hAnsi="Arial"/>
          <w:sz w:val="21"/>
          <w:szCs w:val="21"/>
          <w:u w:val="single" w:color="auto"/>
          <w:color w:val="auto"/>
        </w:rPr>
        <w:t>Reporting Person</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Reporting Persons</w:t>
      </w:r>
      <w:r>
        <w:rPr>
          <w:rFonts w:ascii="Arial" w:cs="Arial" w:eastAsia="Arial" w:hAnsi="Arial"/>
          <w:sz w:val="21"/>
          <w:szCs w:val="21"/>
          <w:color w:val="auto"/>
        </w:rPr>
        <w:t>."</w:t>
      </w:r>
    </w:p>
    <w:p>
      <w:pPr>
        <w:spacing w:after="0" w:line="245" w:lineRule="exact"/>
        <w:rPr>
          <w:sz w:val="20"/>
          <w:szCs w:val="20"/>
          <w:color w:val="auto"/>
        </w:rPr>
      </w:pPr>
    </w:p>
    <w:p>
      <w:pPr>
        <w:ind w:left="1360" w:hanging="1249"/>
        <w:spacing w:after="0"/>
        <w:tabs>
          <w:tab w:leader="none" w:pos="13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principal business address of each of the M28 Parties is 700 Canal Street, 2nd Floor, Stamford, CT 06902.</w:t>
      </w:r>
    </w:p>
    <w:p>
      <w:pPr>
        <w:spacing w:after="0" w:line="267" w:lineRule="exact"/>
        <w:rPr>
          <w:rFonts w:ascii="Arial" w:cs="Arial" w:eastAsia="Arial" w:hAnsi="Arial"/>
          <w:sz w:val="19"/>
          <w:szCs w:val="19"/>
          <w:color w:val="auto"/>
        </w:rPr>
      </w:pPr>
    </w:p>
    <w:p>
      <w:pPr>
        <w:ind w:left="1360" w:hanging="1249"/>
        <w:spacing w:after="0"/>
        <w:tabs>
          <w:tab w:leader="none" w:pos="13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principal business of the M28 Parties is investment management.</w:t>
      </w:r>
    </w:p>
    <w:p>
      <w:pPr>
        <w:spacing w:after="0" w:line="233" w:lineRule="exact"/>
        <w:rPr>
          <w:sz w:val="20"/>
          <w:szCs w:val="20"/>
          <w:color w:val="auto"/>
        </w:rPr>
      </w:pPr>
    </w:p>
    <w:p>
      <w:pPr>
        <w:jc w:val="both"/>
        <w:ind w:left="1360" w:right="100" w:hanging="1241"/>
        <w:spacing w:after="0" w:line="249" w:lineRule="auto"/>
        <w:tabs>
          <w:tab w:leader="none" w:pos="1340" w:val="left"/>
        </w:tabs>
        <w:rPr>
          <w:sz w:val="20"/>
          <w:szCs w:val="20"/>
          <w:color w:val="auto"/>
        </w:rPr>
      </w:pPr>
      <w:r>
        <w:rPr>
          <w:rFonts w:ascii="Arial" w:cs="Arial" w:eastAsia="Arial" w:hAnsi="Arial"/>
          <w:sz w:val="22"/>
          <w:szCs w:val="22"/>
          <w:color w:val="auto"/>
        </w:rPr>
        <w:t>(d)-(e)</w:t>
      </w:r>
      <w:r>
        <w:rPr>
          <w:sz w:val="20"/>
          <w:szCs w:val="20"/>
          <w:color w:val="auto"/>
        </w:rPr>
        <w:tab/>
      </w:r>
      <w:r>
        <w:rPr>
          <w:rFonts w:ascii="Arial" w:cs="Arial" w:eastAsia="Arial" w:hAnsi="Arial"/>
          <w:sz w:val="21"/>
          <w:szCs w:val="21"/>
          <w:color w:val="auto"/>
        </w:rPr>
        <w:t>During the last five (5) years, none of the M28 Parties have: (1) been convicted in a criminal proceeding (excluding traffic violations or similar misdemeanors) or (2)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5" w:lineRule="exact"/>
        <w:rPr>
          <w:sz w:val="20"/>
          <w:szCs w:val="20"/>
          <w:color w:val="auto"/>
        </w:rPr>
      </w:pPr>
    </w:p>
    <w:p>
      <w:pPr>
        <w:ind w:left="1360" w:right="440" w:hanging="1249"/>
        <w:spacing w:after="0" w:line="250" w:lineRule="auto"/>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M28 Capital is a Delaware limited partnership. Mr. Elia is a United States citizen. M28 Capital Management GP, LLC is a Delaware limited liability company.</w:t>
      </w:r>
    </w:p>
    <w:p>
      <w:pPr>
        <w:spacing w:after="0" w:line="169"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SOURCE AND AMOUNT OF FUNDS OR OTHER CONSIDERATION</w:t>
      </w:r>
    </w:p>
    <w:p>
      <w:pPr>
        <w:spacing w:after="0" w:line="239" w:lineRule="exact"/>
        <w:rPr>
          <w:sz w:val="20"/>
          <w:szCs w:val="20"/>
          <w:color w:val="auto"/>
        </w:rPr>
      </w:pPr>
    </w:p>
    <w:p>
      <w:pPr>
        <w:jc w:val="both"/>
        <w:ind w:left="1340" w:right="100"/>
        <w:spacing w:after="0"/>
        <w:rPr>
          <w:sz w:val="20"/>
          <w:szCs w:val="20"/>
          <w:color w:val="auto"/>
        </w:rPr>
      </w:pPr>
      <w:r>
        <w:rPr>
          <w:rFonts w:ascii="Arial" w:cs="Arial" w:eastAsia="Arial" w:hAnsi="Arial"/>
          <w:sz w:val="22"/>
          <w:szCs w:val="22"/>
          <w:color w:val="auto"/>
        </w:rPr>
        <w:t>Funds for the purchase of the shares of Common Stock reported herein were derived from general working capital of the M28 Funds and Accounts. A total of $50,290,245, including brokerage commissions, was paid to acquire the Common Stock reported herein.</w:t>
      </w:r>
    </w:p>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00534A102</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5 of 9 Pages</w:t>
      </w:r>
    </w:p>
    <w:p>
      <w:pPr>
        <w:sectPr>
          <w:pgSz w:w="11900" w:h="16838" w:orient="portrait"/>
          <w:cols w:equalWidth="0" w:num="1">
            <w:col w:w="11240"/>
          </w:cols>
          <w:pgMar w:left="320" w:top="229" w:right="339" w:bottom="1440" w:gutter="0" w:footer="0" w:header="0"/>
        </w:sectPr>
      </w:pPr>
    </w:p>
    <w:p>
      <w:pPr>
        <w:spacing w:after="0" w:line="249" w:lineRule="exact"/>
        <w:rPr>
          <w:sz w:val="20"/>
          <w:szCs w:val="20"/>
          <w:color w:val="auto"/>
        </w:rPr>
      </w:pPr>
    </w:p>
    <w:p>
      <w:pPr>
        <w:jc w:val="both"/>
        <w:ind w:left="1340" w:right="100"/>
        <w:spacing w:after="0" w:line="249" w:lineRule="auto"/>
        <w:rPr>
          <w:sz w:val="20"/>
          <w:szCs w:val="20"/>
          <w:color w:val="auto"/>
        </w:rPr>
      </w:pPr>
      <w:r>
        <w:rPr>
          <w:rFonts w:ascii="Arial" w:cs="Arial" w:eastAsia="Arial" w:hAnsi="Arial"/>
          <w:sz w:val="21"/>
          <w:szCs w:val="21"/>
          <w:color w:val="auto"/>
        </w:rPr>
        <w:t>The Reporting Persons have and may effect purchases of shares of Common Stock through margin accounts maintained with prime brokers, which extend margin credit as and when required to open or carry positions in its margin accounts, subject to applicable federal margin regulations, stock exchange rules and such firms' credit policies. Positions in the Common Stock may be held in margin accounts and may be pledged as collateral security for the repayment of debit balances in such accounts.</w:t>
      </w:r>
    </w:p>
    <w:p>
      <w:pPr>
        <w:spacing w:after="0" w:line="226"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PURPOSE OF TRANSACTION</w:t>
      </w:r>
    </w:p>
    <w:p>
      <w:pPr>
        <w:spacing w:after="0" w:line="239" w:lineRule="exact"/>
        <w:rPr>
          <w:sz w:val="20"/>
          <w:szCs w:val="20"/>
          <w:color w:val="auto"/>
        </w:rPr>
      </w:pPr>
    </w:p>
    <w:p>
      <w:pPr>
        <w:jc w:val="both"/>
        <w:ind w:left="1360" w:right="100"/>
        <w:spacing w:after="0" w:line="271" w:lineRule="auto"/>
        <w:rPr>
          <w:sz w:val="20"/>
          <w:szCs w:val="20"/>
          <w:color w:val="auto"/>
        </w:rPr>
      </w:pPr>
      <w:r>
        <w:rPr>
          <w:rFonts w:ascii="Arial" w:cs="Arial" w:eastAsia="Arial" w:hAnsi="Arial"/>
          <w:sz w:val="19"/>
          <w:szCs w:val="19"/>
          <w:color w:val="auto"/>
        </w:rPr>
        <w:t>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on various factors, including, without limitation, the outcome of any discussions and director nominations referenced in this Item 4, the price and availability of shares of Common Stock or other securities of the Issuer, actions taken by the Board, subsequent developments affecting the Issuer, the Issuer’s financial position, strategic direction, business and prospects, other investment and business opportunities available to the Reporting Persons, general stock market and economic conditions, tax considerations and other factors considered relevant, may from time to time and at any time in the future take such actions with respect to the investment in the Issuer as they deem appropriate, including, without limitation, increasing or decreasing the size of their investment in the Issuer in the open market, in privately negotiated transactions, pursuant to 10b5-1 trading plans or otherwise, selling or obtaining financing on some or all of their beneficial or economic holdings, engaging in hedging or similar transactions with respect to securities that are based upon or relate to the value of the Common Stock and/or otherwise changing their intentions with respect to any and all matters referred to in Item 4 of Schedule 13D.</w:t>
      </w:r>
    </w:p>
    <w:p>
      <w:pPr>
        <w:spacing w:after="0" w:line="184" w:lineRule="exact"/>
        <w:rPr>
          <w:sz w:val="20"/>
          <w:szCs w:val="20"/>
          <w:color w:val="auto"/>
        </w:rPr>
      </w:pPr>
    </w:p>
    <w:p>
      <w:pPr>
        <w:jc w:val="both"/>
        <w:ind w:left="1360" w:right="100"/>
        <w:spacing w:after="0" w:line="236" w:lineRule="auto"/>
        <w:rPr>
          <w:sz w:val="20"/>
          <w:szCs w:val="20"/>
          <w:color w:val="auto"/>
        </w:rPr>
      </w:pPr>
      <w:r>
        <w:rPr>
          <w:rFonts w:ascii="Arial" w:cs="Arial" w:eastAsia="Arial" w:hAnsi="Arial"/>
          <w:sz w:val="22"/>
          <w:szCs w:val="22"/>
          <w:color w:val="auto"/>
        </w:rPr>
        <w:t>The Reporting Persons further expect to engage in discussions with the Issuer and the Issuer’s management and board of directors, other stockholders of the Issuer and other interested parties on issues that may relate to the business, management, operations, assets, capitalization, financial condition, strategic plans, governance and board composition and the future of the Issuer, including without limitation with respect to the matters set forth below.</w:t>
      </w:r>
    </w:p>
    <w:p>
      <w:pPr>
        <w:spacing w:after="0" w:line="214" w:lineRule="exact"/>
        <w:rPr>
          <w:sz w:val="20"/>
          <w:szCs w:val="20"/>
          <w:color w:val="auto"/>
        </w:rPr>
      </w:pPr>
    </w:p>
    <w:p>
      <w:pPr>
        <w:jc w:val="both"/>
        <w:ind w:left="1360" w:right="100"/>
        <w:spacing w:after="0" w:line="287" w:lineRule="auto"/>
        <w:rPr>
          <w:sz w:val="20"/>
          <w:szCs w:val="20"/>
          <w:color w:val="auto"/>
        </w:rPr>
      </w:pPr>
      <w:r>
        <w:rPr>
          <w:rFonts w:ascii="Arial" w:cs="Arial" w:eastAsia="Arial" w:hAnsi="Arial"/>
          <w:sz w:val="19"/>
          <w:szCs w:val="19"/>
          <w:color w:val="auto"/>
        </w:rPr>
        <w:t>On March 28, 2022, Mithril II LP submitted a notice to the Issuer of its intention to nominate Mr. Elia, Mr. Clive A. Meanwell M.B, Ch.B., M.D. ("</w:t>
      </w:r>
      <w:r>
        <w:rPr>
          <w:rFonts w:ascii="Arial" w:cs="Arial" w:eastAsia="Arial" w:hAnsi="Arial"/>
          <w:sz w:val="19"/>
          <w:szCs w:val="19"/>
          <w:u w:val="single" w:color="auto"/>
          <w:color w:val="auto"/>
        </w:rPr>
        <w:t>Mr. Meanwell</w:t>
      </w:r>
      <w:r>
        <w:rPr>
          <w:rFonts w:ascii="Arial" w:cs="Arial" w:eastAsia="Arial" w:hAnsi="Arial"/>
          <w:sz w:val="19"/>
          <w:szCs w:val="19"/>
          <w:color w:val="auto"/>
        </w:rPr>
        <w:t>") and Ms. Tamsin Berry (collectively, the "</w:t>
      </w:r>
      <w:r>
        <w:rPr>
          <w:rFonts w:ascii="Arial" w:cs="Arial" w:eastAsia="Arial" w:hAnsi="Arial"/>
          <w:sz w:val="19"/>
          <w:szCs w:val="19"/>
          <w:u w:val="single" w:color="auto"/>
          <w:color w:val="auto"/>
        </w:rPr>
        <w:t>Nominees</w:t>
      </w:r>
      <w:r>
        <w:rPr>
          <w:rFonts w:ascii="Arial" w:cs="Arial" w:eastAsia="Arial" w:hAnsi="Arial"/>
          <w:sz w:val="19"/>
          <w:szCs w:val="19"/>
          <w:color w:val="auto"/>
        </w:rPr>
        <w:t>"), to the board of directors of the Issuer at the 2022 annual meeting of stockholders of the Issuer (including any adjournment or postponement thereof or any special meeting held in lieu thereof, the "</w:t>
      </w:r>
      <w:r>
        <w:rPr>
          <w:rFonts w:ascii="Arial" w:cs="Arial" w:eastAsia="Arial" w:hAnsi="Arial"/>
          <w:sz w:val="19"/>
          <w:szCs w:val="19"/>
          <w:u w:val="single" w:color="auto"/>
          <w:color w:val="auto"/>
        </w:rPr>
        <w:t>2022 Annual Meeting</w:t>
      </w:r>
      <w:r>
        <w:rPr>
          <w:rFonts w:ascii="Arial" w:cs="Arial" w:eastAsia="Arial" w:hAnsi="Arial"/>
          <w:sz w:val="19"/>
          <w:szCs w:val="19"/>
          <w:color w:val="auto"/>
        </w:rPr>
        <w:t>").</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00534A102</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6 of 9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both"/>
        <w:ind w:left="1360" w:right="100"/>
        <w:spacing w:after="0" w:line="272" w:lineRule="auto"/>
        <w:rPr>
          <w:sz w:val="20"/>
          <w:szCs w:val="20"/>
          <w:color w:val="auto"/>
        </w:rPr>
      </w:pPr>
      <w:r>
        <w:rPr>
          <w:rFonts w:ascii="Arial" w:cs="Arial" w:eastAsia="Arial" w:hAnsi="Arial"/>
          <w:sz w:val="19"/>
          <w:szCs w:val="19"/>
          <w:color w:val="auto"/>
        </w:rPr>
        <w:t>In addition, on March 28, 2022, M28 Capital, Mithril II LP, Polaris Venture Partners V, L.P., Polaris Venture Partners Entrepreneurs' Fund V, L.P., Polaris Venture Partners Founders' Fund V, L.P., Polaris Venture Partners Special Founders' Fund V, L.P., Polaris Partners IX, L.P. and Polaris Healthcare Technology Opportunities Fund, L.P. Adimab, LLC and Population Health Equity Partners III, L.P., Population Health Equity Partners VII, L.P. and Mr. Meanwell (collectively, the "</w:t>
      </w:r>
      <w:r>
        <w:rPr>
          <w:rFonts w:ascii="Arial" w:cs="Arial" w:eastAsia="Arial" w:hAnsi="Arial"/>
          <w:sz w:val="19"/>
          <w:szCs w:val="19"/>
          <w:u w:val="single" w:color="auto"/>
          <w:color w:val="auto"/>
        </w:rPr>
        <w:t>Shareholder Group</w:t>
      </w:r>
      <w:r>
        <w:rPr>
          <w:rFonts w:ascii="Arial" w:cs="Arial" w:eastAsia="Arial" w:hAnsi="Arial"/>
          <w:sz w:val="19"/>
          <w:szCs w:val="19"/>
          <w:color w:val="auto"/>
        </w:rPr>
        <w:t>") orally agreed to coordinate and cooperate in certain of their activities with regard to the Issuer, which agreement was subsequently memorialized, also on March 28, 2022, in an email circulated among representatives of such persons (the "</w:t>
      </w:r>
      <w:r>
        <w:rPr>
          <w:rFonts w:ascii="Arial" w:cs="Arial" w:eastAsia="Arial" w:hAnsi="Arial"/>
          <w:sz w:val="19"/>
          <w:szCs w:val="19"/>
          <w:u w:val="single" w:color="auto"/>
          <w:color w:val="auto"/>
        </w:rPr>
        <w:t>Email Agreement</w:t>
      </w:r>
      <w:r>
        <w:rPr>
          <w:rFonts w:ascii="Arial" w:cs="Arial" w:eastAsia="Arial" w:hAnsi="Arial"/>
          <w:sz w:val="19"/>
          <w:szCs w:val="19"/>
          <w:color w:val="auto"/>
        </w:rPr>
        <w:t xml:space="preserve">"). Pursuant to the Email Agreement, each member of the Shareholder Group agreed to vote all of their respective shares of Common Stock in favor of the Nominees at the 2022 Annual Meeting. The foregoing summary of the Email Agreement is not complete and is qualified in its entirety by the full text of the Email Agreement, the form of which is included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by reference to Exhibit 6 to the Schedule 13D/A filed by Mithril II LP with the SEC on March 30, 2022 and is incorporated herein by reference.</w:t>
      </w:r>
    </w:p>
    <w:p>
      <w:pPr>
        <w:spacing w:after="0" w:line="155"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INTEREST IN SECURITIES OF THE ISSUER</w:t>
      </w:r>
    </w:p>
    <w:p>
      <w:pPr>
        <w:spacing w:after="0" w:line="239" w:lineRule="exact"/>
        <w:rPr>
          <w:sz w:val="20"/>
          <w:szCs w:val="20"/>
          <w:color w:val="auto"/>
        </w:rPr>
      </w:pPr>
    </w:p>
    <w:p>
      <w:pPr>
        <w:jc w:val="both"/>
        <w:ind w:left="1360" w:right="100" w:hanging="1249"/>
        <w:spacing w:after="0" w:line="282" w:lineRule="auto"/>
        <w:tabs>
          <w:tab w:leader="none" w:pos="1360" w:val="left"/>
        </w:tabs>
        <w:numPr>
          <w:ilvl w:val="0"/>
          <w:numId w:val="5"/>
        </w:numPr>
        <w:rPr>
          <w:rFonts w:ascii="Arial" w:cs="Arial" w:eastAsia="Arial" w:hAnsi="Arial"/>
          <w:sz w:val="19"/>
          <w:szCs w:val="19"/>
          <w:color w:val="auto"/>
        </w:rPr>
      </w:pPr>
      <w:r>
        <w:rPr>
          <w:rFonts w:ascii="Arial" w:cs="Arial" w:eastAsia="Arial" w:hAnsi="Arial"/>
          <w:sz w:val="19"/>
          <w:szCs w:val="19"/>
          <w:color w:val="auto"/>
        </w:rPr>
        <w:t>See rows (11) and (13) of the cover pages to this Schedule 13D for the aggregate number of shares of Common Stock and percentages of the Common Stock beneficially owned by the Reporting Person. The percentages used in this Schedule 13D are calculated based upon 110,782,909 shares of Common Stock outstanding as of December 31, 2021, as reported on Exhibit 99.1 of the Issuer's Current Report on Form 8-K, filed with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on March 30, 2022 (the "</w:t>
      </w:r>
      <w:r>
        <w:rPr>
          <w:rFonts w:ascii="Arial" w:cs="Arial" w:eastAsia="Arial" w:hAnsi="Arial"/>
          <w:sz w:val="19"/>
          <w:szCs w:val="19"/>
          <w:u w:val="single" w:color="auto"/>
          <w:color w:val="auto"/>
        </w:rPr>
        <w:t>March 30 8-K</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jc w:val="both"/>
        <w:ind w:left="1360" w:right="100"/>
        <w:spacing w:after="0" w:line="276" w:lineRule="auto"/>
        <w:rPr>
          <w:rFonts w:ascii="Arial" w:cs="Arial" w:eastAsia="Arial" w:hAnsi="Arial"/>
          <w:sz w:val="19"/>
          <w:szCs w:val="19"/>
          <w:color w:val="auto"/>
        </w:rPr>
      </w:pPr>
      <w:r>
        <w:rPr>
          <w:rFonts w:ascii="Arial" w:cs="Arial" w:eastAsia="Arial" w:hAnsi="Arial"/>
          <w:sz w:val="19"/>
          <w:szCs w:val="19"/>
          <w:color w:val="auto"/>
        </w:rPr>
        <w:t>By virtue of the Email Agreement, the Reporting Persons and the other members of the Shareholder Group holding shares of Common Stock may be deemed to be part of a "group" (within the meaning of Section 13(d)</w:t>
      </w:r>
    </w:p>
    <w:p>
      <w:pPr>
        <w:spacing w:after="0" w:line="1" w:lineRule="exact"/>
        <w:rPr>
          <w:rFonts w:ascii="Arial" w:cs="Arial" w:eastAsia="Arial" w:hAnsi="Arial"/>
          <w:sz w:val="19"/>
          <w:szCs w:val="19"/>
          <w:color w:val="auto"/>
        </w:rPr>
      </w:pPr>
    </w:p>
    <w:p>
      <w:pPr>
        <w:jc w:val="both"/>
        <w:ind w:left="1360" w:right="100" w:hanging="7"/>
        <w:spacing w:after="0" w:line="244" w:lineRule="auto"/>
        <w:tabs>
          <w:tab w:leader="none" w:pos="1692" w:val="left"/>
        </w:tabs>
        <w:numPr>
          <w:ilvl w:val="1"/>
          <w:numId w:val="5"/>
        </w:numPr>
        <w:rPr>
          <w:rFonts w:ascii="Arial" w:cs="Arial" w:eastAsia="Arial" w:hAnsi="Arial"/>
          <w:sz w:val="21"/>
          <w:szCs w:val="21"/>
          <w:color w:val="auto"/>
        </w:rPr>
      </w:pPr>
      <w:r>
        <w:rPr>
          <w:rFonts w:ascii="Arial" w:cs="Arial" w:eastAsia="Arial" w:hAnsi="Arial"/>
          <w:sz w:val="21"/>
          <w:szCs w:val="21"/>
          <w:color w:val="auto"/>
        </w:rPr>
        <w:t>of the Exchange Act) comprised of the Reporting Persons and such other persons. Each of the Reporting Persons and such other members of the Shareholder Group are filing a separate Schedule 13D (or as applicable, a Schedule 13D amendment) under the Exchange Act containing its required information, including reporting the interests in Common Stock that such persons may be deemed to beneficially own. None of the Reporting Persons assumes any responsibility for the information contained in the Schedule 13Ds or Schedule 13D amendments filed by such other persons.</w:t>
      </w:r>
    </w:p>
    <w:p>
      <w:pPr>
        <w:spacing w:after="0" w:line="210" w:lineRule="exact"/>
        <w:rPr>
          <w:sz w:val="20"/>
          <w:szCs w:val="20"/>
          <w:color w:val="auto"/>
        </w:rPr>
      </w:pPr>
    </w:p>
    <w:p>
      <w:pPr>
        <w:jc w:val="both"/>
        <w:ind w:left="1360" w:right="100"/>
        <w:spacing w:after="0" w:line="277" w:lineRule="auto"/>
        <w:rPr>
          <w:sz w:val="20"/>
          <w:szCs w:val="20"/>
          <w:color w:val="auto"/>
        </w:rPr>
      </w:pPr>
      <w:r>
        <w:rPr>
          <w:rFonts w:ascii="Arial" w:cs="Arial" w:eastAsia="Arial" w:hAnsi="Arial"/>
          <w:sz w:val="19"/>
          <w:szCs w:val="19"/>
          <w:color w:val="auto"/>
        </w:rPr>
        <w:t>Based in part on information provided by or behalf of such other persons and in relevant filings, the "group" may be deemed to beneficially own in the aggregate 54,061,113 shares of Common Stock, representing approximately 48.8% of the outstanding shares of Common Stock (based on 110,782,909 shares of Common Stock outstanding, as reported in the March 30 8-K). The Reporting Persons expressly disclaim beneficial ownership over any Common Stock that are beneficially owned by any other member of the Shareholder Group. The Reporting Persons refer to the filings of such other members of the Shareholder Group for details on beneficial ownership of such individual members of the Shareholder Group.</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00534A102</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7 of 9 Pages</w:t>
      </w:r>
    </w:p>
    <w:p>
      <w:pPr>
        <w:spacing w:after="0" w:line="200" w:lineRule="exact"/>
        <w:rPr>
          <w:sz w:val="20"/>
          <w:szCs w:val="20"/>
          <w:color w:val="auto"/>
        </w:rPr>
      </w:pPr>
    </w:p>
    <w:p>
      <w:pPr>
        <w:spacing w:after="0" w:line="400" w:lineRule="exact"/>
        <w:rPr>
          <w:sz w:val="20"/>
          <w:szCs w:val="20"/>
          <w:color w:val="auto"/>
        </w:rPr>
      </w:pPr>
    </w:p>
    <w:p>
      <w:pPr>
        <w:jc w:val="both"/>
        <w:ind w:left="1360" w:right="100" w:hanging="1249"/>
        <w:spacing w:after="0"/>
        <w:tabs>
          <w:tab w:leader="none" w:pos="1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See rows (7) through (10) of the cover pages to this Schedule 13D for the number of shares of Common Stock as to which the Reporting Persons have the sole or shared power to vote or direct the vote and sole or shared power to dispose or to direct the disposition.</w:t>
      </w:r>
    </w:p>
    <w:p>
      <w:pPr>
        <w:spacing w:after="0" w:line="213" w:lineRule="exact"/>
        <w:rPr>
          <w:rFonts w:ascii="Arial" w:cs="Arial" w:eastAsia="Arial" w:hAnsi="Arial"/>
          <w:sz w:val="22"/>
          <w:szCs w:val="22"/>
          <w:color w:val="auto"/>
        </w:rPr>
      </w:pPr>
    </w:p>
    <w:p>
      <w:pPr>
        <w:jc w:val="both"/>
        <w:ind w:left="1360" w:right="100" w:hanging="1249"/>
        <w:spacing w:after="0" w:line="238" w:lineRule="auto"/>
        <w:tabs>
          <w:tab w:leader="none" w:pos="1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Information concerning transactions in the shares of Common Stock reported herein effected during the past sixty (60) days is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which is attached hereto and is incorporated herein by reference. All of the transactions in the shares of Common Stock listed therein were effected in the open market through various brokerage entities.</w:t>
      </w:r>
    </w:p>
    <w:p>
      <w:pPr>
        <w:spacing w:after="0" w:line="211" w:lineRule="exact"/>
        <w:rPr>
          <w:rFonts w:ascii="Arial" w:cs="Arial" w:eastAsia="Arial" w:hAnsi="Arial"/>
          <w:sz w:val="22"/>
          <w:szCs w:val="22"/>
          <w:color w:val="auto"/>
        </w:rPr>
      </w:pPr>
    </w:p>
    <w:p>
      <w:pPr>
        <w:jc w:val="both"/>
        <w:ind w:left="1360" w:right="100" w:hanging="1249"/>
        <w:spacing w:after="0"/>
        <w:tabs>
          <w:tab w:leader="none" w:pos="1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No person other than the Reporting Persons and the M28 Funds and Accounts are known to have the right to receive, or the power to direct the receipt of dividends from, or proceeds from the sale of, the Common Stock held by the M28 Funds and Accounts.</w:t>
      </w:r>
    </w:p>
    <w:p>
      <w:pPr>
        <w:spacing w:after="0" w:line="213" w:lineRule="exact"/>
        <w:rPr>
          <w:rFonts w:ascii="Arial" w:cs="Arial" w:eastAsia="Arial" w:hAnsi="Arial"/>
          <w:sz w:val="22"/>
          <w:szCs w:val="22"/>
          <w:color w:val="auto"/>
        </w:rPr>
      </w:pPr>
    </w:p>
    <w:p>
      <w:pPr>
        <w:ind w:left="1360" w:hanging="1249"/>
        <w:spacing w:after="0"/>
        <w:tabs>
          <w:tab w:leader="none" w:pos="1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360" w:right="180" w:hanging="1241"/>
        <w:spacing w:after="0" w:line="256" w:lineRule="auto"/>
        <w:tabs>
          <w:tab w:leader="none" w:pos="13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2"/>
          <w:szCs w:val="22"/>
          <w:b w:val="1"/>
          <w:bCs w:val="1"/>
          <w:color w:val="auto"/>
        </w:rPr>
        <w:t>CONTRACTS, ARRANGEMENTS, UNDERSTANDINGS OR RELATIONSHIPS WITH RESPECT TO SECURITIES OF THE ISSUER</w:t>
      </w:r>
    </w:p>
    <w:p>
      <w:pPr>
        <w:spacing w:after="0" w:line="19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The Reporting Persons' response to Item 4 is hereby incorporated into this Item 6.</w:t>
      </w:r>
    </w:p>
    <w:p>
      <w:pPr>
        <w:spacing w:after="0" w:line="233" w:lineRule="exact"/>
        <w:rPr>
          <w:sz w:val="20"/>
          <w:szCs w:val="20"/>
          <w:color w:val="auto"/>
        </w:rPr>
      </w:pPr>
    </w:p>
    <w:p>
      <w:pPr>
        <w:jc w:val="both"/>
        <w:ind w:left="1360" w:right="100"/>
        <w:spacing w:after="0"/>
        <w:rPr>
          <w:sz w:val="20"/>
          <w:szCs w:val="20"/>
          <w:color w:val="auto"/>
        </w:rPr>
      </w:pPr>
      <w:r>
        <w:rPr>
          <w:rFonts w:ascii="Arial" w:cs="Arial" w:eastAsia="Arial" w:hAnsi="Arial"/>
          <w:sz w:val="22"/>
          <w:szCs w:val="22"/>
          <w:color w:val="auto"/>
        </w:rPr>
        <w:t xml:space="preserve">The Reporting Persons are parties to an agreement with respect to the joint filing of this Schedule 13D and any amendments thereto. A copy of such agreement is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this Schedule 13D and is incorporated by reference herein.</w:t>
      </w:r>
    </w:p>
    <w:p>
      <w:pPr>
        <w:spacing w:after="0" w:line="213" w:lineRule="exact"/>
        <w:rPr>
          <w:sz w:val="20"/>
          <w:szCs w:val="20"/>
          <w:color w:val="auto"/>
        </w:rPr>
      </w:pPr>
    </w:p>
    <w:p>
      <w:pPr>
        <w:jc w:val="both"/>
        <w:ind w:left="1360" w:right="100"/>
        <w:spacing w:after="0"/>
        <w:rPr>
          <w:sz w:val="20"/>
          <w:szCs w:val="20"/>
          <w:color w:val="auto"/>
        </w:rPr>
      </w:pPr>
      <w:r>
        <w:rPr>
          <w:rFonts w:ascii="Arial" w:cs="Arial" w:eastAsia="Arial" w:hAnsi="Arial"/>
          <w:sz w:val="22"/>
          <w:szCs w:val="22"/>
          <w:color w:val="auto"/>
        </w:rPr>
        <w:t>Except as otherwise described in this Schedule 13D, there are no contracts, arrangements, understandings or similar relationships with respect to the securities of the Issuer between the Reporting Person and any other person or entity.</w:t>
      </w:r>
    </w:p>
    <w:p>
      <w:pPr>
        <w:spacing w:after="0" w:line="180" w:lineRule="exact"/>
        <w:rPr>
          <w:sz w:val="20"/>
          <w:szCs w:val="20"/>
          <w:color w:val="auto"/>
        </w:rPr>
      </w:pPr>
    </w:p>
    <w:p>
      <w:pPr>
        <w:ind w:left="120"/>
        <w:spacing w:after="0"/>
        <w:tabs>
          <w:tab w:leader="none" w:pos="190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MATERIAL TO BE FILED AS EXHIBITS</w:t>
      </w:r>
    </w:p>
    <w:p>
      <w:pPr>
        <w:spacing w:after="0" w:line="239" w:lineRule="exact"/>
        <w:rPr>
          <w:sz w:val="20"/>
          <w:szCs w:val="20"/>
          <w:color w:val="auto"/>
        </w:rPr>
      </w:pPr>
    </w:p>
    <w:p>
      <w:pPr>
        <w:ind w:left="1920" w:right="100" w:hanging="1911"/>
        <w:spacing w:after="0" w:line="239" w:lineRule="auto"/>
        <w:tabs>
          <w:tab w:leader="none" w:pos="190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22"/>
          <w:szCs w:val="22"/>
          <w:color w:val="auto"/>
        </w:rPr>
        <w:t>Email Agreement (incorporated by reference to Exhibit 6 to the Schedule 13D/A filed by Mithril II LP with the SEC on March 30, 2022).</w:t>
      </w:r>
    </w:p>
    <w:p>
      <w:pPr>
        <w:spacing w:after="0"/>
        <w:tabs>
          <w:tab w:leader="none" w:pos="190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Joint Filing Agreement.</w:t>
      </w:r>
    </w:p>
    <w:p>
      <w:pPr>
        <w:sectPr>
          <w:pgSz w:w="11900" w:h="16838" w:orient="portrait"/>
          <w:cols w:equalWidth="0" w:num="1">
            <w:col w:w="11240"/>
          </w:cols>
          <w:pgMar w:left="320" w:top="229" w:right="339" w:bottom="1440" w:gutter="0" w:footer="0" w:header="0"/>
        </w:sectPr>
      </w:pPr>
    </w:p>
    <w:bookmarkStart w:id="7" w:name="page8"/>
    <w:bookmarkEnd w:id="7"/>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00534A102</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8 of 9 Pages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After reasonable inquiry and to the best of his or its knowledge and belief, the undersigned certifies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April 1, 2022</w:t>
      </w:r>
    </w:p>
    <w:p>
      <w:pPr>
        <w:spacing w:after="0" w:line="227"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M28 CAPITAL MANAGEMENT LP</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M28 Capital Management, GP LLC,</w:t>
      </w:r>
    </w:p>
    <w:p>
      <w:pPr>
        <w:spacing w:after="0" w:line="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22"/>
          <w:szCs w:val="22"/>
          <w:color w:val="auto"/>
        </w:rPr>
        <w:t>Name: Marc Elia</w:t>
      </w:r>
    </w:p>
    <w:p>
      <w:pPr>
        <w:ind w:left="5740"/>
        <w:spacing w:after="0"/>
        <w:tabs>
          <w:tab w:leader="none" w:pos="6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Member</w:t>
      </w:r>
    </w:p>
    <w:p>
      <w:pPr>
        <w:spacing w:after="0" w:line="200" w:lineRule="exact"/>
        <w:rPr>
          <w:sz w:val="20"/>
          <w:szCs w:val="20"/>
          <w:color w:val="auto"/>
        </w:rPr>
      </w:pPr>
    </w:p>
    <w:p>
      <w:pPr>
        <w:spacing w:after="0" w:line="25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MARC ELIA</w:t>
      </w:r>
    </w:p>
    <w:p>
      <w:pPr>
        <w:sectPr>
          <w:pgSz w:w="11900" w:h="16838" w:orient="portrait"/>
          <w:cols w:equalWidth="0" w:num="1">
            <w:col w:w="11240"/>
          </w:cols>
          <w:pgMar w:left="320" w:top="229" w:right="339" w:bottom="1440" w:gutter="0" w:footer="0" w:header="0"/>
        </w:sectPr>
      </w:pPr>
    </w:p>
    <w:bookmarkStart w:id="8" w:name="page9"/>
    <w:bookmarkEnd w:id="8"/>
    <w:p>
      <w:pPr>
        <w:spacing w:after="0"/>
        <w:tabs>
          <w:tab w:leader="none" w:pos="4940" w:val="left"/>
          <w:tab w:leader="none" w:pos="9900" w:val="left"/>
        </w:tabs>
        <w:rPr>
          <w:sz w:val="20"/>
          <w:szCs w:val="20"/>
          <w:color w:val="auto"/>
        </w:rPr>
      </w:pPr>
      <w:r>
        <w:rPr>
          <w:rFonts w:ascii="Arial" w:cs="Arial" w:eastAsia="Arial" w:hAnsi="Arial"/>
          <w:sz w:val="18"/>
          <w:szCs w:val="18"/>
          <w:b w:val="1"/>
          <w:bCs w:val="1"/>
          <w:color w:val="auto"/>
        </w:rPr>
        <w:t>CUSIP No. 00534A102</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9 of 9 Pages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Annex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Transactions in the Shares of Common Stock of the Issuer During the Past Sixty (60) Days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tables set forth all transactions in the shares of Common Stock reported herein effected in the past sixty</w:t>
      </w:r>
    </w:p>
    <w:p>
      <w:pPr>
        <w:spacing w:after="0" w:line="43" w:lineRule="exact"/>
        <w:rPr>
          <w:sz w:val="20"/>
          <w:szCs w:val="20"/>
          <w:color w:val="auto"/>
        </w:rPr>
      </w:pPr>
    </w:p>
    <w:p>
      <w:pPr>
        <w:ind w:firstLine="8"/>
        <w:spacing w:after="0" w:line="233" w:lineRule="auto"/>
        <w:tabs>
          <w:tab w:leader="none" w:pos="414" w:val="left"/>
        </w:tabs>
        <w:numPr>
          <w:ilvl w:val="0"/>
          <w:numId w:val="7"/>
        </w:numPr>
        <w:rPr>
          <w:rFonts w:ascii="Arial" w:cs="Arial" w:eastAsia="Arial" w:hAnsi="Arial"/>
          <w:sz w:val="22"/>
          <w:szCs w:val="22"/>
          <w:color w:val="auto"/>
        </w:rPr>
      </w:pPr>
      <w:r>
        <w:rPr>
          <w:rFonts w:ascii="Arial" w:cs="Arial" w:eastAsia="Arial" w:hAnsi="Arial"/>
          <w:sz w:val="22"/>
          <w:szCs w:val="22"/>
          <w:color w:val="auto"/>
        </w:rPr>
        <w:t>days. Except as noted below, all such transactions were effected by the Reporting Persons in the open market through brokers and the price per share excludes commissions. These shares of Common Stock were purchased/sold in multiple transactions at prices indicated in the Price Per Share ($) column below. The Reporting Persons will undertake to provide to the staff of the SEC, upon request, full information regarding the number of shares of Common Stock purchased/sold at each separate price.</w:t>
      </w:r>
    </w:p>
    <w:p>
      <w:pPr>
        <w:spacing w:after="0" w:line="200" w:lineRule="exact"/>
        <w:rPr>
          <w:sz w:val="20"/>
          <w:szCs w:val="20"/>
          <w:color w:val="auto"/>
        </w:rPr>
      </w:pP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235"/>
        </w:trPr>
        <w:tc>
          <w:tcPr>
            <w:tcW w:w="2040" w:type="dxa"/>
            <w:vAlign w:val="bottom"/>
          </w:tcPr>
          <w:p>
            <w:pPr>
              <w:spacing w:after="0"/>
              <w:rPr>
                <w:sz w:val="20"/>
                <w:szCs w:val="20"/>
                <w:color w:val="auto"/>
              </w:rPr>
            </w:pPr>
            <w:r>
              <w:rPr>
                <w:rFonts w:ascii="Arial" w:cs="Arial" w:eastAsia="Arial" w:hAnsi="Arial"/>
                <w:sz w:val="20"/>
                <w:szCs w:val="20"/>
                <w:b w:val="1"/>
                <w:bCs w:val="1"/>
                <w:color w:val="auto"/>
              </w:rPr>
              <w:t>Trade Date</w:t>
            </w:r>
          </w:p>
        </w:tc>
        <w:tc>
          <w:tcPr>
            <w:tcW w:w="4200" w:type="dxa"/>
            <w:vAlign w:val="bottom"/>
          </w:tcPr>
          <w:p>
            <w:pPr>
              <w:ind w:left="1120"/>
              <w:spacing w:after="0"/>
              <w:rPr>
                <w:sz w:val="20"/>
                <w:szCs w:val="20"/>
                <w:color w:val="auto"/>
              </w:rPr>
            </w:pPr>
            <w:r>
              <w:rPr>
                <w:rFonts w:ascii="Arial" w:cs="Arial" w:eastAsia="Arial" w:hAnsi="Arial"/>
                <w:sz w:val="20"/>
                <w:szCs w:val="20"/>
                <w:b w:val="1"/>
                <w:bCs w:val="1"/>
                <w:color w:val="auto"/>
              </w:rPr>
              <w:t>Shares Purchased (Sold)</w:t>
            </w:r>
          </w:p>
        </w:tc>
        <w:tc>
          <w:tcPr>
            <w:tcW w:w="2620" w:type="dxa"/>
            <w:vAlign w:val="bottom"/>
          </w:tcPr>
          <w:p>
            <w:pPr>
              <w:ind w:left="1020"/>
              <w:spacing w:after="0"/>
              <w:rPr>
                <w:sz w:val="20"/>
                <w:szCs w:val="20"/>
                <w:color w:val="auto"/>
              </w:rPr>
            </w:pPr>
            <w:r>
              <w:rPr>
                <w:rFonts w:ascii="Arial" w:cs="Arial" w:eastAsia="Arial" w:hAnsi="Arial"/>
                <w:sz w:val="20"/>
                <w:szCs w:val="20"/>
                <w:b w:val="1"/>
                <w:bCs w:val="1"/>
                <w:color w:val="auto"/>
                <w:w w:val="88"/>
              </w:rPr>
              <w:t>Price Per Share ($)</w:t>
            </w:r>
          </w:p>
        </w:tc>
      </w:tr>
      <w:tr>
        <w:trPr>
          <w:trHeight w:val="230"/>
        </w:trPr>
        <w:tc>
          <w:tcPr>
            <w:tcW w:w="2040" w:type="dxa"/>
            <w:vAlign w:val="bottom"/>
          </w:tcPr>
          <w:p>
            <w:pPr>
              <w:ind w:left="20"/>
              <w:spacing w:after="0"/>
              <w:rPr>
                <w:sz w:val="20"/>
                <w:szCs w:val="20"/>
                <w:color w:val="auto"/>
              </w:rPr>
            </w:pPr>
            <w:r>
              <w:rPr>
                <w:rFonts w:ascii="Arial" w:cs="Arial" w:eastAsia="Arial" w:hAnsi="Arial"/>
                <w:sz w:val="20"/>
                <w:szCs w:val="20"/>
                <w:color w:val="auto"/>
              </w:rPr>
              <w:t>02/09/2022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8"/>
              </w:rPr>
              <w:t>(200,000)</w:t>
            </w:r>
          </w:p>
        </w:tc>
        <w:tc>
          <w:tcPr>
            <w:tcW w:w="2620" w:type="dxa"/>
            <w:vAlign w:val="bottom"/>
          </w:tcPr>
          <w:p>
            <w:pPr>
              <w:jc w:val="center"/>
              <w:ind w:left="921"/>
              <w:spacing w:after="0"/>
              <w:rPr>
                <w:sz w:val="20"/>
                <w:szCs w:val="20"/>
                <w:color w:val="auto"/>
              </w:rPr>
            </w:pPr>
            <w:r>
              <w:rPr>
                <w:rFonts w:ascii="Arial" w:cs="Arial" w:eastAsia="Arial" w:hAnsi="Arial"/>
                <w:sz w:val="20"/>
                <w:szCs w:val="20"/>
                <w:color w:val="auto"/>
                <w:w w:val="87"/>
              </w:rPr>
              <w:t>11.11</w:t>
            </w:r>
          </w:p>
        </w:tc>
      </w:tr>
      <w:tr>
        <w:trPr>
          <w:trHeight w:val="229"/>
        </w:trPr>
        <w:tc>
          <w:tcPr>
            <w:tcW w:w="2040" w:type="dxa"/>
            <w:vAlign w:val="bottom"/>
          </w:tcPr>
          <w:p>
            <w:pPr>
              <w:ind w:left="20"/>
              <w:spacing w:after="0"/>
              <w:rPr>
                <w:sz w:val="20"/>
                <w:szCs w:val="20"/>
                <w:color w:val="auto"/>
              </w:rPr>
            </w:pPr>
            <w:r>
              <w:rPr>
                <w:rFonts w:ascii="Arial" w:cs="Arial" w:eastAsia="Arial" w:hAnsi="Arial"/>
                <w:sz w:val="20"/>
                <w:szCs w:val="20"/>
                <w:color w:val="auto"/>
              </w:rPr>
              <w:t>02/10/2022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9"/>
              </w:rPr>
              <w:t>(3,998,250)</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9.00</w:t>
            </w:r>
          </w:p>
        </w:tc>
      </w:tr>
      <w:tr>
        <w:trPr>
          <w:trHeight w:val="230"/>
        </w:trPr>
        <w:tc>
          <w:tcPr>
            <w:tcW w:w="2040" w:type="dxa"/>
            <w:vAlign w:val="bottom"/>
          </w:tcPr>
          <w:p>
            <w:pPr>
              <w:ind w:left="20"/>
              <w:spacing w:after="0"/>
              <w:rPr>
                <w:sz w:val="20"/>
                <w:szCs w:val="20"/>
                <w:color w:val="auto"/>
              </w:rPr>
            </w:pPr>
            <w:r>
              <w:rPr>
                <w:rFonts w:ascii="Arial" w:cs="Arial" w:eastAsia="Arial" w:hAnsi="Arial"/>
                <w:sz w:val="20"/>
                <w:szCs w:val="20"/>
                <w:color w:val="auto"/>
              </w:rPr>
              <w:t>02/23/2022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8"/>
              </w:rPr>
              <w:t>150,000</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6.19</w:t>
            </w:r>
          </w:p>
        </w:tc>
      </w:tr>
      <w:tr>
        <w:trPr>
          <w:trHeight w:val="229"/>
        </w:trPr>
        <w:tc>
          <w:tcPr>
            <w:tcW w:w="2040" w:type="dxa"/>
            <w:vAlign w:val="bottom"/>
          </w:tcPr>
          <w:p>
            <w:pPr>
              <w:ind w:left="20"/>
              <w:spacing w:after="0"/>
              <w:rPr>
                <w:sz w:val="20"/>
                <w:szCs w:val="20"/>
                <w:color w:val="auto"/>
              </w:rPr>
            </w:pPr>
            <w:r>
              <w:rPr>
                <w:rFonts w:ascii="Arial" w:cs="Arial" w:eastAsia="Arial" w:hAnsi="Arial"/>
                <w:sz w:val="20"/>
                <w:szCs w:val="20"/>
                <w:color w:val="auto"/>
              </w:rPr>
              <w:t>02/24/2022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9"/>
              </w:rPr>
              <w:t>1,000,000</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6.10</w:t>
            </w:r>
          </w:p>
        </w:tc>
      </w:tr>
      <w:tr>
        <w:trPr>
          <w:trHeight w:val="229"/>
        </w:trPr>
        <w:tc>
          <w:tcPr>
            <w:tcW w:w="2040" w:type="dxa"/>
            <w:vAlign w:val="bottom"/>
          </w:tcPr>
          <w:p>
            <w:pPr>
              <w:ind w:left="20"/>
              <w:spacing w:after="0"/>
              <w:rPr>
                <w:sz w:val="20"/>
                <w:szCs w:val="20"/>
                <w:color w:val="auto"/>
              </w:rPr>
            </w:pPr>
            <w:r>
              <w:rPr>
                <w:rFonts w:ascii="Arial" w:cs="Arial" w:eastAsia="Arial" w:hAnsi="Arial"/>
                <w:sz w:val="20"/>
                <w:szCs w:val="20"/>
                <w:color w:val="auto"/>
              </w:rPr>
              <w:t>02/25/2022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8"/>
              </w:rPr>
              <w:t>155,000</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6.33</w:t>
            </w:r>
          </w:p>
        </w:tc>
      </w:tr>
      <w:tr>
        <w:trPr>
          <w:trHeight w:val="230"/>
        </w:trPr>
        <w:tc>
          <w:tcPr>
            <w:tcW w:w="2040" w:type="dxa"/>
            <w:vAlign w:val="bottom"/>
          </w:tcPr>
          <w:p>
            <w:pPr>
              <w:ind w:left="20"/>
              <w:spacing w:after="0"/>
              <w:rPr>
                <w:sz w:val="20"/>
                <w:szCs w:val="20"/>
                <w:color w:val="auto"/>
              </w:rPr>
            </w:pPr>
            <w:r>
              <w:rPr>
                <w:rFonts w:ascii="Arial" w:cs="Arial" w:eastAsia="Arial" w:hAnsi="Arial"/>
                <w:sz w:val="20"/>
                <w:szCs w:val="20"/>
                <w:color w:val="auto"/>
              </w:rPr>
              <w:t>02/28/2022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7"/>
              </w:rPr>
              <w:t>1,600</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6.50</w:t>
            </w:r>
          </w:p>
        </w:tc>
      </w:tr>
      <w:tr>
        <w:trPr>
          <w:trHeight w:val="229"/>
        </w:trPr>
        <w:tc>
          <w:tcPr>
            <w:tcW w:w="2040" w:type="dxa"/>
            <w:vAlign w:val="bottom"/>
          </w:tcPr>
          <w:p>
            <w:pPr>
              <w:ind w:left="20"/>
              <w:spacing w:after="0"/>
              <w:rPr>
                <w:sz w:val="20"/>
                <w:szCs w:val="20"/>
                <w:color w:val="auto"/>
              </w:rPr>
            </w:pPr>
            <w:r>
              <w:rPr>
                <w:rFonts w:ascii="Arial" w:cs="Arial" w:eastAsia="Arial" w:hAnsi="Arial"/>
                <w:sz w:val="20"/>
                <w:szCs w:val="20"/>
                <w:color w:val="auto"/>
              </w:rPr>
              <w:t>03/01/2022</w:t>
            </w:r>
          </w:p>
        </w:tc>
        <w:tc>
          <w:tcPr>
            <w:tcW w:w="4200" w:type="dxa"/>
            <w:vAlign w:val="bottom"/>
          </w:tcPr>
          <w:p>
            <w:pPr>
              <w:jc w:val="center"/>
              <w:spacing w:after="0"/>
              <w:rPr>
                <w:sz w:val="20"/>
                <w:szCs w:val="20"/>
                <w:color w:val="auto"/>
              </w:rPr>
            </w:pPr>
            <w:r>
              <w:rPr>
                <w:rFonts w:ascii="Arial" w:cs="Arial" w:eastAsia="Arial" w:hAnsi="Arial"/>
                <w:sz w:val="20"/>
                <w:szCs w:val="20"/>
                <w:color w:val="auto"/>
                <w:w w:val="91"/>
              </w:rPr>
              <w:t>73,400</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6.49</w:t>
            </w:r>
          </w:p>
        </w:tc>
      </w:tr>
      <w:tr>
        <w:trPr>
          <w:trHeight w:val="230"/>
        </w:trPr>
        <w:tc>
          <w:tcPr>
            <w:tcW w:w="2040" w:type="dxa"/>
            <w:vAlign w:val="bottom"/>
          </w:tcPr>
          <w:p>
            <w:pPr>
              <w:ind w:left="20"/>
              <w:spacing w:after="0"/>
              <w:rPr>
                <w:sz w:val="20"/>
                <w:szCs w:val="20"/>
                <w:color w:val="auto"/>
              </w:rPr>
            </w:pPr>
            <w:r>
              <w:rPr>
                <w:rFonts w:ascii="Arial" w:cs="Arial" w:eastAsia="Arial" w:hAnsi="Arial"/>
                <w:sz w:val="20"/>
                <w:szCs w:val="20"/>
                <w:color w:val="auto"/>
              </w:rPr>
              <w:t>03/02/2022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8"/>
              </w:rPr>
              <w:t>620,000</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6.17</w:t>
            </w:r>
          </w:p>
        </w:tc>
      </w:tr>
      <w:tr>
        <w:trPr>
          <w:trHeight w:val="229"/>
        </w:trPr>
        <w:tc>
          <w:tcPr>
            <w:tcW w:w="2040" w:type="dxa"/>
            <w:vAlign w:val="bottom"/>
          </w:tcPr>
          <w:p>
            <w:pPr>
              <w:ind w:left="20"/>
              <w:spacing w:after="0"/>
              <w:rPr>
                <w:sz w:val="20"/>
                <w:szCs w:val="20"/>
                <w:color w:val="auto"/>
              </w:rPr>
            </w:pPr>
            <w:r>
              <w:rPr>
                <w:rFonts w:ascii="Arial" w:cs="Arial" w:eastAsia="Arial" w:hAnsi="Arial"/>
                <w:sz w:val="20"/>
                <w:szCs w:val="20"/>
                <w:color w:val="auto"/>
              </w:rPr>
              <w:t>03/03/2022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8"/>
              </w:rPr>
              <w:t>200,000</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5.34</w:t>
            </w:r>
          </w:p>
        </w:tc>
      </w:tr>
      <w:tr>
        <w:trPr>
          <w:trHeight w:val="229"/>
        </w:trPr>
        <w:tc>
          <w:tcPr>
            <w:tcW w:w="2040" w:type="dxa"/>
            <w:vAlign w:val="bottom"/>
          </w:tcPr>
          <w:p>
            <w:pPr>
              <w:ind w:left="20"/>
              <w:spacing w:after="0"/>
              <w:rPr>
                <w:sz w:val="20"/>
                <w:szCs w:val="20"/>
                <w:color w:val="auto"/>
              </w:rPr>
            </w:pPr>
            <w:r>
              <w:rPr>
                <w:rFonts w:ascii="Arial" w:cs="Arial" w:eastAsia="Arial" w:hAnsi="Arial"/>
                <w:sz w:val="20"/>
                <w:szCs w:val="20"/>
                <w:color w:val="auto"/>
              </w:rPr>
              <w:t>03/04/2022</w:t>
            </w:r>
          </w:p>
        </w:tc>
        <w:tc>
          <w:tcPr>
            <w:tcW w:w="4200" w:type="dxa"/>
            <w:vAlign w:val="bottom"/>
          </w:tcPr>
          <w:p>
            <w:pPr>
              <w:jc w:val="center"/>
              <w:spacing w:after="0"/>
              <w:rPr>
                <w:sz w:val="20"/>
                <w:szCs w:val="20"/>
                <w:color w:val="auto"/>
              </w:rPr>
            </w:pPr>
            <w:r>
              <w:rPr>
                <w:rFonts w:ascii="Arial" w:cs="Arial" w:eastAsia="Arial" w:hAnsi="Arial"/>
                <w:sz w:val="20"/>
                <w:szCs w:val="20"/>
                <w:color w:val="auto"/>
                <w:w w:val="87"/>
              </w:rPr>
              <w:t>1,942</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5.00</w:t>
            </w:r>
          </w:p>
        </w:tc>
      </w:tr>
      <w:tr>
        <w:trPr>
          <w:trHeight w:val="230"/>
        </w:trPr>
        <w:tc>
          <w:tcPr>
            <w:tcW w:w="2040" w:type="dxa"/>
            <w:vAlign w:val="bottom"/>
          </w:tcPr>
          <w:p>
            <w:pPr>
              <w:ind w:left="20"/>
              <w:spacing w:after="0"/>
              <w:rPr>
                <w:sz w:val="20"/>
                <w:szCs w:val="20"/>
                <w:color w:val="auto"/>
              </w:rPr>
            </w:pPr>
            <w:r>
              <w:rPr>
                <w:rFonts w:ascii="Arial" w:cs="Arial" w:eastAsia="Arial" w:hAnsi="Arial"/>
                <w:sz w:val="20"/>
                <w:szCs w:val="20"/>
                <w:color w:val="auto"/>
              </w:rPr>
              <w:t>03/07/2022</w:t>
            </w:r>
          </w:p>
        </w:tc>
        <w:tc>
          <w:tcPr>
            <w:tcW w:w="4200" w:type="dxa"/>
            <w:vAlign w:val="bottom"/>
          </w:tcPr>
          <w:p>
            <w:pPr>
              <w:jc w:val="center"/>
              <w:spacing w:after="0"/>
              <w:rPr>
                <w:sz w:val="20"/>
                <w:szCs w:val="20"/>
                <w:color w:val="auto"/>
              </w:rPr>
            </w:pPr>
            <w:r>
              <w:rPr>
                <w:rFonts w:ascii="Arial" w:cs="Arial" w:eastAsia="Arial" w:hAnsi="Arial"/>
                <w:sz w:val="20"/>
                <w:szCs w:val="20"/>
                <w:color w:val="auto"/>
                <w:w w:val="91"/>
              </w:rPr>
              <w:t>16,842</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5.00</w:t>
            </w:r>
          </w:p>
        </w:tc>
      </w:tr>
      <w:tr>
        <w:trPr>
          <w:trHeight w:val="229"/>
        </w:trPr>
        <w:tc>
          <w:tcPr>
            <w:tcW w:w="2040" w:type="dxa"/>
            <w:vAlign w:val="bottom"/>
          </w:tcPr>
          <w:p>
            <w:pPr>
              <w:ind w:left="20"/>
              <w:spacing w:after="0"/>
              <w:rPr>
                <w:sz w:val="20"/>
                <w:szCs w:val="20"/>
                <w:color w:val="auto"/>
              </w:rPr>
            </w:pPr>
            <w:r>
              <w:rPr>
                <w:rFonts w:ascii="Arial" w:cs="Arial" w:eastAsia="Arial" w:hAnsi="Arial"/>
                <w:sz w:val="20"/>
                <w:szCs w:val="20"/>
                <w:color w:val="auto"/>
              </w:rPr>
              <w:t>03/08/2022</w:t>
            </w:r>
          </w:p>
        </w:tc>
        <w:tc>
          <w:tcPr>
            <w:tcW w:w="4200" w:type="dxa"/>
            <w:vAlign w:val="bottom"/>
          </w:tcPr>
          <w:p>
            <w:pPr>
              <w:jc w:val="center"/>
              <w:spacing w:after="0"/>
              <w:rPr>
                <w:sz w:val="20"/>
                <w:szCs w:val="20"/>
                <w:color w:val="auto"/>
              </w:rPr>
            </w:pPr>
            <w:r>
              <w:rPr>
                <w:rFonts w:ascii="Arial" w:cs="Arial" w:eastAsia="Arial" w:hAnsi="Arial"/>
                <w:sz w:val="20"/>
                <w:szCs w:val="20"/>
                <w:color w:val="auto"/>
                <w:w w:val="91"/>
              </w:rPr>
              <w:t>91,724</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4.96</w:t>
            </w:r>
          </w:p>
        </w:tc>
      </w:tr>
      <w:tr>
        <w:trPr>
          <w:trHeight w:val="250"/>
        </w:trPr>
        <w:tc>
          <w:tcPr>
            <w:tcW w:w="2040" w:type="dxa"/>
            <w:vAlign w:val="bottom"/>
          </w:tcPr>
          <w:p>
            <w:pPr>
              <w:ind w:left="20"/>
              <w:spacing w:after="0"/>
              <w:rPr>
                <w:sz w:val="20"/>
                <w:szCs w:val="20"/>
                <w:color w:val="auto"/>
              </w:rPr>
            </w:pPr>
            <w:r>
              <w:rPr>
                <w:rFonts w:ascii="Arial" w:cs="Arial" w:eastAsia="Arial" w:hAnsi="Arial"/>
                <w:sz w:val="20"/>
                <w:szCs w:val="20"/>
                <w:color w:val="auto"/>
              </w:rPr>
              <w:t>03/14/2022</w:t>
            </w:r>
          </w:p>
        </w:tc>
        <w:tc>
          <w:tcPr>
            <w:tcW w:w="4200" w:type="dxa"/>
            <w:vAlign w:val="bottom"/>
          </w:tcPr>
          <w:p>
            <w:pPr>
              <w:jc w:val="center"/>
              <w:spacing w:after="0"/>
              <w:rPr>
                <w:sz w:val="20"/>
                <w:szCs w:val="20"/>
                <w:color w:val="auto"/>
              </w:rPr>
            </w:pPr>
            <w:r>
              <w:rPr>
                <w:rFonts w:ascii="Arial" w:cs="Arial" w:eastAsia="Arial" w:hAnsi="Arial"/>
                <w:sz w:val="20"/>
                <w:szCs w:val="20"/>
                <w:color w:val="auto"/>
                <w:w w:val="91"/>
              </w:rPr>
              <w:t>89,492</w:t>
            </w:r>
          </w:p>
        </w:tc>
        <w:tc>
          <w:tcPr>
            <w:tcW w:w="2620" w:type="dxa"/>
            <w:vAlign w:val="bottom"/>
          </w:tcPr>
          <w:p>
            <w:pPr>
              <w:jc w:val="center"/>
              <w:ind w:left="901"/>
              <w:spacing w:after="0"/>
              <w:rPr>
                <w:sz w:val="20"/>
                <w:szCs w:val="20"/>
                <w:color w:val="auto"/>
              </w:rPr>
            </w:pPr>
            <w:r>
              <w:rPr>
                <w:rFonts w:ascii="Arial" w:cs="Arial" w:eastAsia="Arial" w:hAnsi="Arial"/>
                <w:sz w:val="20"/>
                <w:szCs w:val="20"/>
                <w:color w:val="auto"/>
                <w:w w:val="87"/>
              </w:rPr>
              <w:t>4.91</w:t>
            </w:r>
          </w:p>
        </w:tc>
      </w:tr>
    </w:tbl>
    <w:p>
      <w:pPr>
        <w:sectPr>
          <w:pgSz w:w="11900" w:h="16838" w:orient="portrait"/>
          <w:cols w:equalWidth="0" w:num="1">
            <w:col w:w="11240"/>
          </w:cols>
          <w:pgMar w:left="320" w:top="229"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RULE 13d-1(k)</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undersigned acknowledge and agree that the foregoing statement on Schedule 13D is filed on behalf of each of the undersigned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her or it contained herein and therein, but shall not be responsible for the completeness and accuracy of the information concerning the others, except to the extent that he, she or it knows that such information is inaccurate.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Dated: April 1, 2022</w:t>
      </w:r>
    </w:p>
    <w:p>
      <w:pPr>
        <w:spacing w:after="0" w:line="227"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M28 CAPITAL MANAGEMENT LP</w:t>
      </w:r>
    </w:p>
    <w:p>
      <w:pPr>
        <w:spacing w:after="0" w:line="239"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22"/>
          <w:szCs w:val="22"/>
          <w:color w:val="auto"/>
        </w:rPr>
        <w:t>By:</w:t>
        <w:tab/>
        <w:t>M28 Capital Management, GP LLC,</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22"/>
          <w:szCs w:val="22"/>
          <w:color w:val="auto"/>
        </w:rPr>
        <w:t>Name: Marc Elia</w:t>
      </w:r>
    </w:p>
    <w:p>
      <w:pPr>
        <w:ind w:left="5740"/>
        <w:spacing w:after="0"/>
        <w:tabs>
          <w:tab w:leader="none" w:pos="6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Member</w:t>
      </w:r>
    </w:p>
    <w:p>
      <w:pPr>
        <w:spacing w:after="0" w:line="200" w:lineRule="exact"/>
        <w:rPr>
          <w:sz w:val="20"/>
          <w:szCs w:val="20"/>
          <w:color w:val="auto"/>
        </w:rPr>
      </w:pPr>
    </w:p>
    <w:p>
      <w:pPr>
        <w:spacing w:after="0" w:line="25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MARC ELIA</w:t>
      </w:r>
    </w:p>
    <w:sectPr>
      <w:pgSz w:w="11900" w:h="16838" w:orient="portrait"/>
      <w:cols w:equalWidth="0" w:num="1">
        <w:col w:w="11240"/>
      </w:cols>
      <w:pgMar w:left="320" w:top="5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lvl w:ilvl="1">
      <w:lvlJc w:val="left"/>
      <w:lvlText w:val="(%2)"/>
      <w:numFmt w:val="lowerRoman"/>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
    </w:lvl>
    <w:lvl w:ilvl="1">
      <w:lvlJc w:val="left"/>
      <w:lvlText w:val="(%2)"/>
      <w:numFmt w:val="decimal"/>
      <w:start w:val="3"/>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2022-04-01T05:57:31Z</dcterms:created>
  <dcterms:modified xsi:type="dcterms:W3CDTF">2022-04-01T05:57:31Z</dcterms:modified>
</cp:coreProperties>
</file>