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85-1403134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1601 Trapelo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0"/>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178</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1040" w:hanging="492"/>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040" w:hanging="492"/>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40" w:hanging="492"/>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40" w:hanging="492"/>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IVVD</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517"/>
        <w:spacing w:after="0" w:line="282" w:lineRule="auto"/>
        <w:tabs>
          <w:tab w:leader="none" w:pos="7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5, 2024, Tomas Heyman, a member of the Board of Directors of Invivyd, Inc. (the “Company”), informed the Company of his decision not to stand for re-election when his term expires at the Company’s 2024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consent by the Company’s independent registered public accounting firm as part of the Company’s filing of a registration statement on Form S-3, the Company is refiling herewith as Exhibit 99.1 its consolidated financial statements that were previously included in its Annual Report on Form 10-K for the year ended December 31, 2022, filed with the Securities and Exchange Commission (the “SEC”) on March 23, 2023 (the “Form 10-K”), and the related report of the Company’s independent registered public accounting firm.</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filed herewith as Exhibit 99.1 are identical to those included in the Form 10-K, other than an update to Note 1 to the consolidated financial statements to disclose that, due to circumstances arising after the filing of the Form 10-K, there is now substantial doubt about the Company’s ability to continue as a going concern. The report of the Company’s independent registered public accounting firm included in Exhibit 99.1 also includes an explanatory paragraph noting the conclusion regarding substantial doubt about the Company’s ability to continue as a going concern. Other than as described in the preceding sentences, Exhibit 99.1 does not revise, modify, update or otherwise affect the Form 10-K, including the consolidated financial statements.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in the update to Note 1 to the consolidated financial statements included in Exhibit 99.1, subsequent to the original issuance of the consolidated financial statements for the year ended December 31, 2022 in the Form 10-K, the Company continued to spend according to its operating plan in 2023. Based on current operating plans and excluding any contribution from revenues or external financing, the Company believes that its existing cash and cash equivalents will be sufficient to fund its operating expenses and capital expenditure requirements into the fourth quarter of 2024. As such, excluding any contribution from revenues or external financing, the Company will not have sufficient cash and cash equivalents to fund its operating expenses and capital requirements beyond one year from the reissuance of the consolidated financial statements filed herewith as Exhibit 99.1, in connection with the Company’s filing of a registration statement on Form S-3 on February 9, 2024, and therefore, the Company has concluded that there is substantial doubt about its ability to continue as a going concern.</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This Current Report on Form 8-K (this “Form 8-K”) is being filed only for the purposes described above, and all other information in the Form 10-K remains unchanged. In order to preserve the nature and character of the disclosures set forth in the Form 10-K, the items included in Exhibit 99.1 of this Form 8-K have been updated solely for the matters described above. No attempt has been made in this Form 8-K to reflect events or occurrences after the date of the filing of the Form 10-K, and it should not be read to modify or update other disclosures as presented in the Form 10-K. As a result, this Form 8-K should be read in conjunction with the Form 10-K and the Company’s filings made with the SEC subsequent to the filing of the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2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-12700</wp:posOffset>
            </wp:positionV>
            <wp:extent cx="4153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53535" cy="8890"/>
                    </a:xfrm>
                    <a:prstGeom prst="rect">
                      <a:avLst/>
                    </a:prstGeom>
                    <a:noFill/>
                  </pic:spPr>
                </pic:pic>
              </a:graphicData>
            </a:graphic>
          </wp:anchor>
        </w:drawing>
      </w: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wp:posOffset>
            </wp:positionV>
            <wp:extent cx="2113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3280"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7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-125095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333-267643) and Form S-8 (Nos. 333-259008 and 333-264920) of Invivyd, Inc. of our report dated March 23, 2023, except with respect to the matters that raise substantial doubt about the Company’s ability to continue as a going concern discussed in Note 1, as to which the date is February 9, 2024, relating to the financial statements, which appears in this Current Report on Form 8-K.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432"/>
        </w:trPr>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80" w:type="dxa"/>
            <w:vAlign w:val="bottom"/>
            <w:gridSpan w:val="4"/>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24"/>
                <w:szCs w:val="24"/>
                <w:color w:val="auto"/>
              </w:rPr>
            </w:pPr>
          </w:p>
        </w:tc>
      </w:tr>
      <w:tr>
        <w:trPr>
          <w:trHeight w:val="196"/>
        </w:trPr>
        <w:tc>
          <w:tcPr>
            <w:tcW w:w="556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580" w:type="dxa"/>
            <w:vAlign w:val="bottom"/>
            <w:gridSpan w:val="2"/>
          </w:tcPr>
          <w:p>
            <w:pPr>
              <w:spacing w:after="0"/>
              <w:rPr>
                <w:sz w:val="17"/>
                <w:szCs w:val="17"/>
                <w:color w:val="auto"/>
              </w:rPr>
            </w:pPr>
          </w:p>
        </w:tc>
        <w:tc>
          <w:tcPr>
            <w:tcW w:w="110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color w:val="auto"/>
                <w:w w:val="95"/>
              </w:rPr>
              <w:t>F-2</w:t>
            </w:r>
          </w:p>
        </w:tc>
      </w:tr>
      <w:tr>
        <w:trPr>
          <w:trHeight w:val="237"/>
        </w:trPr>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47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440" w:type="dxa"/>
            <w:vAlign w:val="bottom"/>
            <w:gridSpan w:val="3"/>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F-4</w:t>
            </w:r>
          </w:p>
        </w:tc>
      </w:tr>
      <w:tr>
        <w:trPr>
          <w:trHeight w:val="237"/>
        </w:trPr>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Convertible Preferred Stock and Stockholders’ Equity (Deficit)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F-5</w:t>
            </w:r>
          </w:p>
        </w:tc>
      </w:tr>
      <w:tr>
        <w:trPr>
          <w:trHeight w:val="237"/>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700" w:type="dxa"/>
            <w:vAlign w:val="bottom"/>
            <w:tcBorders>
              <w:top w:val="single" w:sz="8" w:color="0000FF"/>
            </w:tcBorders>
            <w:gridSpan w:val="4"/>
          </w:tcPr>
          <w:p>
            <w:pPr>
              <w:spacing w:after="0"/>
              <w:rPr>
                <w:sz w:val="20"/>
                <w:szCs w:val="20"/>
                <w:color w:val="auto"/>
              </w:rPr>
            </w:pPr>
          </w:p>
        </w:tc>
        <w:tc>
          <w:tcPr>
            <w:tcW w:w="354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F-7</w:t>
            </w:r>
          </w:p>
        </w:tc>
      </w:tr>
      <w:tr>
        <w:trPr>
          <w:trHeight w:val="236"/>
        </w:trPr>
        <w:tc>
          <w:tcPr>
            <w:tcW w:w="101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F-8</w:t>
            </w:r>
          </w:p>
        </w:tc>
      </w:tr>
      <w:tr>
        <w:trPr>
          <w:trHeight w:val="696"/>
        </w:trPr>
        <w:tc>
          <w:tcPr>
            <w:tcW w:w="21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544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color w:val="auto"/>
                <w:w w:val="95"/>
              </w:rPr>
              <w:t>F-1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5"/>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Invivyd,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Invivyd, Inc. and its subsidiaries (the “Company”) as of December 31, 2022 and 2021, and the related consolidated statements of operations and comprehensive loss, of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and will require additional funding to finance its future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March 23, 2023, except with respect to the matters that raise substantial doubt about the Company’s ability to continue as a going concern discussed in Note 1, as to which the date is February 9,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Pr>
          <w:p>
            <w:pPr>
              <w:spacing w:after="0"/>
              <w:rPr>
                <w:sz w:val="20"/>
                <w:szCs w:val="20"/>
                <w:color w:val="auto"/>
              </w:rPr>
            </w:pPr>
          </w:p>
        </w:tc>
      </w:tr>
      <w:tr>
        <w:trPr>
          <w:trHeight w:val="243"/>
        </w:trPr>
        <w:tc>
          <w:tcPr>
            <w:tcW w:w="7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376,917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616,711</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383,167</w:t>
            </w:r>
          </w:p>
        </w:tc>
        <w:tc>
          <w:tcPr>
            <w:tcW w:w="24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24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Early-exercise liability</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3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36"/>
        </w:trPr>
        <w:tc>
          <w:tcPr>
            <w:tcW w:w="7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and no shares issued and outstanding at December 31, 2022</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December 31, 2021</w:t>
            </w:r>
          </w:p>
        </w:tc>
        <w:tc>
          <w:tcPr>
            <w:tcW w:w="3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109,044,046 shares issued and outstanding at December 31, 2022;</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1,000,000,000 shares authorized, 111,251,660 shares issued and</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110,782,909 shares outstanding at December 31, 2021</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11"/>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0 shares and 468,751 shares at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3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889,657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850,125</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(272 )</w:t>
            </w:r>
          </w:p>
        </w:tc>
        <w:tc>
          <w:tcPr>
            <w:tcW w:w="4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(533,426 )</w:t>
            </w: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(292,109 )</w:t>
            </w:r>
          </w:p>
        </w:tc>
      </w:tr>
      <w:tr>
        <w:trPr>
          <w:trHeight w:val="236"/>
        </w:trPr>
        <w:tc>
          <w:tcPr>
            <w:tcW w:w="79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355,970</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558,019</w:t>
            </w:r>
          </w:p>
        </w:tc>
        <w:tc>
          <w:tcPr>
            <w:tcW w:w="100" w:type="dxa"/>
            <w:vAlign w:val="bottom"/>
            <w:tcBorders>
              <w:top w:val="single" w:sz="8" w:color="CFF0FC"/>
            </w:tcBorders>
          </w:tcPr>
          <w:p>
            <w:pPr>
              <w:spacing w:after="0"/>
              <w:rPr>
                <w:sz w:val="20"/>
                <w:szCs w:val="20"/>
                <w:color w:val="auto"/>
              </w:rPr>
            </w:pPr>
          </w:p>
        </w:tc>
      </w:tr>
      <w:tr>
        <w:trPr>
          <w:trHeight w:val="277"/>
        </w:trPr>
        <w:tc>
          <w:tcPr>
            <w:tcW w:w="7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383,167</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-4945380</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-4945380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-4319905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-4319905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-2416810</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-350520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37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7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179,214</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182,891</w:t>
            </w: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24"/>
                <w:szCs w:val="24"/>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FF0FC"/>
          </w:tcPr>
          <w:p>
            <w:pPr>
              <w:spacing w:after="0"/>
              <w:rPr>
                <w:sz w:val="21"/>
                <w:szCs w:val="21"/>
                <w:color w:val="auto"/>
              </w:rPr>
            </w:pPr>
          </w:p>
        </w:tc>
      </w:tr>
      <w:tr>
        <w:trPr>
          <w:trHeight w:val="239"/>
        </w:trPr>
        <w:tc>
          <w:tcPr>
            <w:tcW w:w="7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36,517</w:t>
            </w:r>
          </w:p>
        </w:tc>
        <w:tc>
          <w:tcPr>
            <w:tcW w:w="100" w:type="dxa"/>
            <w:vAlign w:val="bottom"/>
          </w:tcPr>
          <w:p>
            <w:pPr>
              <w:spacing w:after="0"/>
              <w:rPr>
                <w:sz w:val="20"/>
                <w:szCs w:val="20"/>
                <w:color w:val="auto"/>
              </w:rPr>
            </w:pPr>
          </w:p>
        </w:tc>
      </w:tr>
      <w:tr>
        <w:trPr>
          <w:trHeight w:val="247"/>
        </w:trPr>
        <w:tc>
          <w:tcPr>
            <w:tcW w:w="7780" w:type="dxa"/>
            <w:vAlign w:val="bottom"/>
            <w:gridSpan w:val="2"/>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Warrant expense</w:t>
            </w:r>
            <w:r>
              <w:rPr>
                <w:rFonts w:ascii="Times New Roman" w:cs="Times New Roman" w:eastAsia="Times New Roman" w:hAnsi="Times New Roman"/>
                <w:sz w:val="24"/>
                <w:szCs w:val="24"/>
                <w:color w:val="auto"/>
                <w:vertAlign w:val="superscript"/>
              </w:rPr>
              <w:t>(3)</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8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248,031</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226,908</w:t>
            </w:r>
          </w:p>
        </w:tc>
        <w:tc>
          <w:tcPr>
            <w:tcW w:w="100" w:type="dxa"/>
            <w:vAlign w:val="bottom"/>
            <w:tcBorders>
              <w:top w:val="single" w:sz="8" w:color="CFF0FC"/>
            </w:tcBorders>
          </w:tcPr>
          <w:p>
            <w:pPr>
              <w:spacing w:after="0"/>
              <w:rPr>
                <w:sz w:val="20"/>
                <w:szCs w:val="20"/>
                <w:color w:val="auto"/>
              </w:rPr>
            </w:pPr>
          </w:p>
        </w:tc>
      </w:tr>
      <w:tr>
        <w:trPr>
          <w:trHeight w:val="236"/>
        </w:trPr>
        <w:tc>
          <w:tcPr>
            <w:tcW w:w="7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(248,031 )</w:t>
            </w: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(226,908 )</w:t>
            </w:r>
          </w:p>
        </w:tc>
      </w:tr>
      <w:tr>
        <w:trPr>
          <w:trHeight w:val="237"/>
        </w:trPr>
        <w:tc>
          <w:tcPr>
            <w:tcW w:w="77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7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37"/>
        </w:trPr>
        <w:tc>
          <w:tcPr>
            <w:tcW w:w="7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(241,317 )</w:t>
            </w: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(226,790 )</w:t>
            </w:r>
          </w:p>
        </w:tc>
      </w:tr>
      <w:tr>
        <w:trPr>
          <w:trHeight w:val="237"/>
        </w:trPr>
        <w:tc>
          <w:tcPr>
            <w:tcW w:w="77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7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(264 )</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3740" w:type="dxa"/>
            <w:vAlign w:val="bottom"/>
            <w:shd w:val="clear" w:color="auto" w:fill="CFF0FC"/>
          </w:tcPr>
          <w:p>
            <w:pPr>
              <w:spacing w:after="0" w:line="20" w:lineRule="exact"/>
              <w:rPr>
                <w:sz w:val="1"/>
                <w:szCs w:val="1"/>
                <w:color w:val="auto"/>
              </w:rPr>
            </w:pPr>
          </w:p>
        </w:tc>
        <w:tc>
          <w:tcPr>
            <w:tcW w:w="40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(241,581 )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(226,798 )</w:t>
            </w:r>
          </w:p>
        </w:tc>
      </w:tr>
      <w:tr>
        <w:trPr>
          <w:trHeight w:val="20"/>
        </w:trPr>
        <w:tc>
          <w:tcPr>
            <w:tcW w:w="37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(5.32 )</w:t>
            </w:r>
          </w:p>
        </w:tc>
      </w:tr>
      <w:tr>
        <w:trPr>
          <w:trHeight w:val="223"/>
        </w:trPr>
        <w:tc>
          <w:tcPr>
            <w:tcW w:w="77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108,268,289</w:t>
            </w:r>
          </w:p>
        </w:tc>
        <w:tc>
          <w:tcPr>
            <w:tcW w:w="24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42,621,265</w:t>
            </w:r>
          </w:p>
        </w:tc>
        <w:tc>
          <w:tcPr>
            <w:tcW w:w="100" w:type="dxa"/>
            <w:vAlign w:val="bottom"/>
            <w:tcBorders>
              <w:top w:val="single" w:sz="8" w:color="CFF0FC"/>
            </w:tcBorders>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3740" w:type="dxa"/>
            <w:vAlign w:val="bottom"/>
            <w:tcBorders>
              <w:bottom w:val="single" w:sz="8" w:color="auto"/>
            </w:tcBorders>
          </w:tcPr>
          <w:p>
            <w:pPr>
              <w:spacing w:after="0"/>
              <w:rPr>
                <w:sz w:val="10"/>
                <w:szCs w:val="10"/>
                <w:color w:val="auto"/>
              </w:rPr>
            </w:pPr>
          </w:p>
        </w:tc>
        <w:tc>
          <w:tcPr>
            <w:tcW w:w="4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-1928495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-1602105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-1285240</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-959485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-642620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$8,154 and $4,150 for the years ended December 31, 2022 and 2021, respectively (see Notes 7 and 8).</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$4,400 and $7,500 for the years ended December 31, 2022 and 2021, respectively (see Note 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$17,373 and $0 for the years ended December 31, 2022 and 2021, respectively (see Note 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30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al</w:t>
            </w:r>
          </w:p>
        </w:tc>
        <w:tc>
          <w:tcPr>
            <w:tcW w:w="220" w:type="dxa"/>
            <w:vAlign w:val="bottom"/>
          </w:tcPr>
          <w:p>
            <w:pPr>
              <w:spacing w:after="0"/>
              <w:rPr>
                <w:sz w:val="11"/>
                <w:szCs w:val="11"/>
                <w:color w:val="auto"/>
              </w:rPr>
            </w:pPr>
          </w:p>
        </w:tc>
        <w:tc>
          <w:tcPr>
            <w:tcW w:w="1000" w:type="dxa"/>
            <w:vAlign w:val="bottom"/>
            <w:gridSpan w:val="3"/>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8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Accumulat</w:t>
            </w:r>
          </w:p>
        </w:tc>
        <w:tc>
          <w:tcPr>
            <w:tcW w:w="76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Stockholde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20" w:type="dxa"/>
            <w:vAlign w:val="bottom"/>
            <w:tcBorders>
              <w:bottom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1"/>
              </w:rPr>
              <w:t>ed</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rs’</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7"/>
        </w:trPr>
        <w:tc>
          <w:tcPr>
            <w:tcW w:w="2620" w:type="dxa"/>
            <w:vAlign w:val="bottom"/>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110,782,909</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468,751</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850,125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(8 )</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(292,109 )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558,019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warrants for common stock</w:t>
            </w: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298,353</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Repurchase of unvested restricted common</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w:t>
            </w: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(2,150,737 )</w:t>
            </w:r>
          </w:p>
        </w:tc>
        <w:tc>
          <w:tcPr>
            <w:tcW w:w="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2,150,737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6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(2,619,48</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spacing w:after="0"/>
              <w:rPr>
                <w:sz w:val="14"/>
                <w:szCs w:val="14"/>
                <w:color w:val="auto"/>
              </w:rPr>
            </w:pP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8 )</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21,648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 under the employee</w:t>
            </w: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w:t>
            </w: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purchase plan</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shd w:val="clear" w:color="auto" w:fill="CFF0FC"/>
          </w:tcPr>
          <w:p>
            <w:pPr>
              <w:spacing w:after="0"/>
              <w:rPr>
                <w:sz w:val="14"/>
                <w:szCs w:val="14"/>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113,521</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Vesting of restricted common stock from early-</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exercised options</w:t>
            </w: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6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net of</w:t>
            </w: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tax</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(264 )</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(264 )</w:t>
            </w:r>
          </w:p>
        </w:tc>
        <w:tc>
          <w:tcPr>
            <w:tcW w:w="0" w:type="dxa"/>
            <w:vAlign w:val="bottom"/>
          </w:tcPr>
          <w:p>
            <w:pPr>
              <w:spacing w:after="0"/>
              <w:rPr>
                <w:sz w:val="1"/>
                <w:szCs w:val="1"/>
                <w:color w:val="auto"/>
              </w:rPr>
            </w:pPr>
          </w:p>
        </w:tc>
      </w:tr>
      <w:tr>
        <w:trPr>
          <w:trHeight w:val="130"/>
        </w:trPr>
        <w:tc>
          <w:tcPr>
            <w:tcW w:w="26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Net loss</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(241,31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(241,317 )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109,044,046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$ 889,657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(272 )</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  (533,426 )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355,970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-25400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-25400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720" w:type="dxa"/>
            <w:vAlign w:val="bottom"/>
            <w:tcBorders>
              <w:right w:val="single" w:sz="8" w:color="auto"/>
            </w:tcBorders>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 Other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720" w:type="dxa"/>
            <w:vAlign w:val="bottom"/>
            <w:tcBorders>
              <w:right w:val="single" w:sz="8" w:color="auto"/>
            </w:tcBorders>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80" w:type="dxa"/>
            <w:vAlign w:val="bottom"/>
            <w:gridSpan w:val="3"/>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w:t>
            </w:r>
          </w:p>
        </w:tc>
        <w:tc>
          <w:tcPr>
            <w:tcW w:w="820" w:type="dxa"/>
            <w:vAlign w:val="bottom"/>
            <w:gridSpan w:val="3"/>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Accumula</w:t>
            </w:r>
          </w:p>
        </w:tc>
        <w:tc>
          <w:tcPr>
            <w:tcW w:w="8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Stockholder</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9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20" w:type="dxa"/>
            <w:vAlign w:val="bottom"/>
            <w:tcBorders>
              <w:bottom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w w:val="93"/>
              </w:rPr>
              <w:t>Treasury Stock</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ive</w:t>
            </w:r>
          </w:p>
        </w:tc>
        <w:tc>
          <w:tcPr>
            <w:tcW w:w="10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ted</w:t>
            </w: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4"/>
              </w:rPr>
              <w:t>s’</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Amou</w:t>
            </w: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Amou</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7"/>
        </w:trPr>
        <w:tc>
          <w:tcPr>
            <w:tcW w:w="278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86"/>
              </w:rPr>
              <w:t>nt</w:t>
            </w:r>
          </w:p>
        </w:tc>
        <w:tc>
          <w:tcPr>
            <w:tcW w:w="2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86"/>
              </w:rPr>
              <w:t>nt</w:t>
            </w:r>
          </w:p>
        </w:tc>
        <w:tc>
          <w:tcPr>
            <w:tcW w:w="8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25"/>
        </w:trPr>
        <w:tc>
          <w:tcPr>
            <w:tcW w:w="27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620" w:type="dxa"/>
            <w:vAlign w:val="bottom"/>
            <w:tcBorders>
              <w:top w:val="single" w:sz="8" w:color="auto"/>
            </w:tcBorders>
            <w:shd w:val="clear" w:color="auto" w:fill="CFF0FC"/>
          </w:tcPr>
          <w:p>
            <w:pPr>
              <w:jc w:val="right"/>
              <w:spacing w:after="0" w:line="125" w:lineRule="exact"/>
              <w:rPr>
                <w:sz w:val="20"/>
                <w:szCs w:val="20"/>
                <w:color w:val="auto"/>
              </w:rPr>
            </w:pPr>
            <w:r>
              <w:rPr>
                <w:rFonts w:ascii="Times New Roman" w:cs="Times New Roman" w:eastAsia="Times New Roman" w:hAnsi="Times New Roman"/>
                <w:sz w:val="13"/>
                <w:szCs w:val="13"/>
                <w:color w:val="auto"/>
              </w:rPr>
              <w:t>12,647,9</w:t>
            </w: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169,548</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5,593,240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22,600,000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(65,319 )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(65,249 )</w:t>
            </w:r>
          </w:p>
        </w:tc>
        <w:tc>
          <w:tcPr>
            <w:tcW w:w="0" w:type="dxa"/>
            <w:vAlign w:val="bottom"/>
          </w:tcPr>
          <w:p>
            <w:pPr>
              <w:spacing w:after="0"/>
              <w:rPr>
                <w:sz w:val="1"/>
                <w:szCs w:val="1"/>
                <w:color w:val="auto"/>
              </w:rPr>
            </w:pPr>
          </w:p>
        </w:tc>
      </w:tr>
      <w:tr>
        <w:trPr>
          <w:trHeight w:val="130"/>
        </w:trPr>
        <w:tc>
          <w:tcPr>
            <w:tcW w:w="27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Series C convertible preferred stock, net</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of</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4,296,55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costs of $337</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335,163</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common stock upon completion of</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initial</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public offering, net of commissions, underwriting</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discounts and offering costs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20,930,000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7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Conversion of convertible preferred stock to</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w:t>
            </w: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(16,944,</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484 )</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(504,711 )</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84,722,420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504,703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504,711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(22,600,00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0 )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7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Vesting of restricted common stock from early-</w:t>
            </w: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exercised options</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unvested restricted common stock</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(468,751 )</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468,751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17,764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Unrealized loss on available-for-sale securities, net</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of</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9"/>
              </w:rPr>
              <w:t>(226,790 )</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(226,790 )</w:t>
            </w:r>
          </w:p>
        </w:tc>
        <w:tc>
          <w:tcPr>
            <w:tcW w:w="0" w:type="dxa"/>
            <w:vAlign w:val="bottom"/>
          </w:tcPr>
          <w:p>
            <w:pPr>
              <w:spacing w:after="0"/>
              <w:rPr>
                <w:sz w:val="1"/>
                <w:szCs w:val="1"/>
                <w:color w:val="auto"/>
              </w:rPr>
            </w:pPr>
          </w:p>
        </w:tc>
      </w:tr>
      <w:tr>
        <w:trPr>
          <w:trHeight w:val="124"/>
        </w:trPr>
        <w:tc>
          <w:tcPr>
            <w:tcW w:w="2780" w:type="dxa"/>
            <w:vAlign w:val="bottom"/>
            <w:tcBorders>
              <w:top w:val="single" w:sz="8" w:color="CFF0FC"/>
            </w:tcBorders>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110,782,90</w:t>
            </w: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468,751</w:t>
            </w:r>
          </w:p>
        </w:tc>
        <w:tc>
          <w:tcPr>
            <w:tcW w:w="2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850,125</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9"/>
              </w:rPr>
              <w:t>(292,109 )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-222250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-222250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-222250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-222250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-222250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-222250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-222250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-222250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-222250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8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(241,317 )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(226,790 )</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expense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(2,023 )</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payments</w:t>
            </w:r>
          </w:p>
        </w:tc>
        <w:tc>
          <w:tcPr>
            <w:tcW w:w="3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(22,899 )</w:t>
            </w: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(3,297 )</w:t>
            </w: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(4,300 )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(2,370 )</w:t>
            </w: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(34,867 )</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51,358</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(475 )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(219,987 )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(184,736 )</w:t>
            </w:r>
          </w:p>
        </w:tc>
      </w:tr>
      <w:tr>
        <w:trPr>
          <w:trHeight w:val="241"/>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(297,962 )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(188,627 )</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(1,705 )</w:t>
            </w:r>
          </w:p>
        </w:tc>
        <w:tc>
          <w:tcPr>
            <w:tcW w:w="3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r>
        <w:trPr>
          <w:trHeight w:val="20"/>
        </w:trPr>
        <w:tc>
          <w:tcPr>
            <w:tcW w:w="7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(230,667 )</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(50,711 )</w:t>
            </w:r>
          </w:p>
        </w:tc>
      </w:tr>
      <w:tr>
        <w:trPr>
          <w:trHeight w:val="239"/>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convertible preferred stock, net of issuance costs</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335,163</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commissions and underwriting discounts</w:t>
            </w:r>
          </w:p>
        </w:tc>
        <w:tc>
          <w:tcPr>
            <w:tcW w:w="36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330,905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initial public offering costs</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(3,385 )</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repurchases of unvested restricted common stock</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(450,148 )</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427,236</w:t>
            </w:r>
          </w:p>
        </w:tc>
        <w:tc>
          <w:tcPr>
            <w:tcW w:w="100" w:type="dxa"/>
            <w:vAlign w:val="bottom"/>
          </w:tcPr>
          <w:p>
            <w:pPr>
              <w:spacing w:after="0"/>
              <w:rPr>
                <w:sz w:val="20"/>
                <w:szCs w:val="20"/>
                <w:color w:val="auto"/>
              </w:rPr>
            </w:pPr>
          </w:p>
        </w:tc>
      </w:tr>
      <w:tr>
        <w:trPr>
          <w:trHeight w:val="241"/>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upon adoption of ASC 842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under ASC 842</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-3479800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-2527935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-1276350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-959485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Invivyd, Inc., (formerly Adagio Therapeutics, Inc.) together with its consolidated subsidiaries (the “Company”), is a biopharmaceutical company on a mission to rapidly and perpetually deliver antibody-based therapies that protect vulnerable people from the devastating consequences of circulating viral threats, beginning with SARS-CoV-2 (“COVID-19”). The Company's technology works at the intersection of evolutionary virology, predictive modeling, and antibody engineering, and is designed to identify high-quality, long-lasting antibodies with a high barrier to viral escape. The Company is generating a robust pipeline of product candidates which could be used in prevention or treatment of serious viral diseases, starting with COVID-19 and expanding into influenza and other high-need indications.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2023, the Company announced the election of VYD222 to advance into the clinic as a monoclonal antibody (“mAb”) therapeutic option for COVID-19 with a focus on serving vulnerable populations. The Company aims to leverage evolving COVID-19 regulatory paradigms and maximize efficiency to deliver this much-needed product for immunocompromised individuals and other vulnerable populations.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VYD222 is one of two mAb components of NVD200, a combination mAb product candidate that the Company previously selected for clinical advancement prior to evolution in the current global COVID-19 regulatory paradigm. The Company is prioritizing the clinical development of VYD222 instead of NVD200 with the aim of providing patients with a therapeutic option for COVID-19 as quickly and efficiently as possible. VYD222 was engineered from adintrevimab, the Company's investigational mAb that has a robust safety data package and demonstrated clinically meaningful results in global Phase 3 clinical trials for both the prevention and treatment of COVID-19.</w:t>
      </w:r>
    </w:p>
    <w:p>
      <w:pPr>
        <w:spacing w:after="0" w:line="7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Beyond VYD222, the Company continues to leverage its expanded lab capabilities and integrated discovery platform to produce additional candidates that will be optimized to stay ahead of the evolving SARS-CoV-2 virus. In addition, the Company continues to work with regulatory agencies to streamline the development and commercialization plans for novel antibodies to protect immunocompromised and other high-risk populations against the evolving SARS-CoV-2 virus.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virtual company and maintains a corporate headquarters for general and administrative purposes only. In June 2022, and subsequently amended in September 2022, the Company entered into a lease for dedicated laboratory and office space in Newton, MA for research and development purposes. The Company performs research and development activities internally and engages third parties, including Adimab, LLC (“Adimab”), to perform ongoing research and development and other services on its behalf.</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10).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August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shares of the Company’s convertible preferred stock then outstanding converted into 84,722,420 shares of common stock (see Note 11).</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not generated any revenue since inception. The Company’s product candidates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 of common stock. The Company has incurred losses and negative cash flows from operations since its inception, including a net loss of $241.3 million for the year ended December 31, 2022. As of December 31, 2022, the Company had an accumulated deficit of $533.4 million. The Company expects to continue to generate operating losses for the foreseeable future.</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Subsequent to the original issuance of the consolidated financial statements for the year ended December 31, 2022, the Company continued to spend according to its operating plan in 2023. Based on current operating plans and excluding any contribution from revenues or external financing, the Company believes that its existing cash and cash equivalents will be sufficient to fund its operating expenses and capital expenditure requirements into the fourth quarter of 2024. As such, excluding any contribution from revenues or external financing, the Company will not have sufficient cash and cash equivalents to fund its operating expenses and capital requirements beyond one year from the reissuance of these consolidated financial statements on February 9, 2024, and therefore, the Company has concluded that there is substantial doubt about its ability to continue as a going concern.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including collaborations with other companies, strategic alliances and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full impact of the COVID-19 pandemic and the disease continues to evolve and change as of the date of this Annual Report on Form 10-K, and such impact will directly affect the potential commercial prospects of VYD222 and other product candidates for the prevention and treatment of COVID-</w:t>
      </w:r>
    </w:p>
    <w:p>
      <w:pPr>
        <w:jc w:val="both"/>
        <w:ind w:firstLine="8"/>
        <w:spacing w:after="0" w:line="253" w:lineRule="auto"/>
        <w:tabs>
          <w:tab w:leader="none" w:pos="2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COVID-19 pandemic, the evolution of the disease and the continued emergence of variants of concern (“VoCs”),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Similarly, it is not possible to determine the scale and rate of economic recovery from the pandemic, supply chain disruptions, and labor availability and costs, or the impact of other indirect factors that may be attributable to the pandemic. The ultimate extent of the impact of the COVID-19 pandemic on the Company's business, financial condition, operations and product development timelines and plans remains uncertain and will depend on future developments, including the duration and spread of outbreaks and the continued emergence of variants, its impact on the Company's clinical trial design and enrollment, trial sites, contract research organizations (“CROs”), contract development and manufacturing organizations (“CDMOs”),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it addresses the disruptions, delays and uncertainties relating to the COVID-19 pandemic. If the financial markets and/or the overall economy are impacted for an extended period, the Company's results and operations may be materially adversely affected and may affect the Company's ability to raise capital.</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3" w:name="page14"/>
    <w:bookmarkEnd w:id="1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284" w:lineRule="exact"/>
        <w:rPr>
          <w:sz w:val="20"/>
          <w:szCs w:val="20"/>
          <w:color w:val="auto"/>
        </w:rPr>
      </w:pPr>
    </w:p>
    <w:p>
      <w:pPr>
        <w:ind w:left="520" w:right="7680" w:hanging="512"/>
        <w:spacing w:after="0" w:line="377" w:lineRule="auto"/>
        <w:tabs>
          <w:tab w:leader="none" w:pos="19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spacing w:after="0" w:line="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stock-based compensation expense and warrant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the issuance date of these consolidated financial statements. These estimates may change as new events occur and additional information is obtained.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Significant Suppliers and License Rights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marketable securities. The Company invests its excess cash in money market funds and marketable securities that are subject to minimal credit and market risks. The Company maintains its cash, cash equivalents and marketable securities at two accredited financial institutions that it believes are creditworthy. From time to time, these deposits may exceed federally insured limits. The Company has not experienced any losses historically in these accounts. Accordingly, the Company does not believe it is exposed to unusual credit risk related to its cash, cash equivalents and marketable securities beyond the normal credit risk associated with commercial banking relationships.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third-party organizations to manufacture and process its product candidates for its development programs. In particular, the Company relies on a single third-party contract manufacturer to produce and process its product candidates and to manufacture supply of its product candidates for preclinical and clinical activities (see Note 9). The Company also currently relies on this same third-party contract manufacturer for any anticipated requirements of commercial supply, including both drug substance and drug product.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a limited number of third parties that provide license rights used by the Company in the development and potential commercialization of its product candidates and programs. Through December 31, 2022, the Company’s research and development programs primarily relate to rights conveyed by Adimab (see Note 7). The Company could experience delays in the development and potential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acquisition date to be cash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at December 31, 2022 as “available-for-sale” pursuant to ASC320,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and federal agency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for the year ended December 31, 2022.</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statements of operations and comprehensive loss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duration of the impairment and changes in value subsequent to the end of the period. There were no other-than-temporary impairments of investments recognized for the years ended December 31, 2022 or 2021.</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140" w:hanging="50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580" w:type="dxa"/>
            <w:vAlign w:val="bottom"/>
            <w:shd w:val="clear" w:color="auto" w:fill="CFF0FC"/>
          </w:tcPr>
          <w:p>
            <w:pPr>
              <w:spacing w:after="0"/>
              <w:rPr>
                <w:sz w:val="20"/>
                <w:szCs w:val="20"/>
                <w:color w:val="auto"/>
              </w:rPr>
            </w:pPr>
          </w:p>
        </w:tc>
        <w:tc>
          <w:tcPr>
            <w:tcW w:w="4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3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58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to 5 years</w:t>
            </w:r>
          </w:p>
        </w:tc>
      </w:tr>
      <w:tr>
        <w:trPr>
          <w:trHeight w:val="247"/>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580" w:type="dxa"/>
            <w:vAlign w:val="bottom"/>
            <w:shd w:val="clear" w:color="auto" w:fill="CFF0FC"/>
          </w:tcPr>
          <w:p>
            <w:pPr>
              <w:spacing w:after="0"/>
              <w:rPr>
                <w:sz w:val="21"/>
                <w:szCs w:val="21"/>
                <w:color w:val="auto"/>
              </w:rPr>
            </w:pPr>
          </w:p>
        </w:tc>
        <w:tc>
          <w:tcPr>
            <w:tcW w:w="4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lease term of useful life</w:t>
            </w:r>
          </w:p>
        </w:tc>
      </w:tr>
      <w:tr>
        <w:trPr>
          <w:trHeight w:val="648"/>
        </w:trPr>
        <w:tc>
          <w:tcPr>
            <w:tcW w:w="3680" w:type="dxa"/>
            <w:vAlign w:val="bottom"/>
          </w:tcPr>
          <w:p>
            <w:pPr>
              <w:spacing w:after="0"/>
              <w:rPr>
                <w:sz w:val="24"/>
                <w:szCs w:val="24"/>
                <w:color w:val="auto"/>
              </w:rPr>
            </w:pPr>
          </w:p>
        </w:tc>
        <w:tc>
          <w:tcPr>
            <w:tcW w:w="75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F-11</w:t>
            </w:r>
          </w:p>
        </w:tc>
      </w:tr>
      <w:tr>
        <w:trPr>
          <w:trHeight w:val="655"/>
        </w:trPr>
        <w:tc>
          <w:tcPr>
            <w:tcW w:w="36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2022 and 2021.</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Effective January 1, 2022, the Company adopted ASU No. 2016-02, Leases (Topic 842) (“ASC 842”) using the required modified retrospective approach and utilizing the effective date as its date of initial application. As a result, prior periods are presented in accordance with the previous guidance in ASC 840, Leases (“ASC 840”).</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 development materials for use in such studies and trials; salaries and related personnel costs; stock-based compensation; consultant fees; and third-party license fees.</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9),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2022.</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for warrants granted to non-employee service providers based upon the awards’ estimated grant date fair value. The warrants vest subject to the satisfaction of service-based conditions. Warrant expense is measured based on the fair value of the award on the date of grant and expense is recognized on a straight-line basis over the requisite service period, which varies for each non-employee service provider on a grant-by-grant basis.</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as they occur. The Company classifies stock-based compensation for non-employee service providers as warrant expense in its statements of operations and comprehensive loss.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warrants using the Geometric Brownian Motion model. The assumptions used in estimating the fair value of these awards, such as expected term, expected dividend yield, volatility, and risk-free interest rate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warrant expense, which could be material to the Company’s consolidated results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2022 and 2021.</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years ended December 31, 2022 and 2021, the Company's only element of other comprehensive loss was unrealized losses on marketable securities.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convertible preferred stock, outstanding stock options, unvested restricted common stock and outstanding warrants are considered potential dilutive common shares.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initial public offering.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ASC 842, as subsequently amended. ASC 842 sets forth the principles for the recognition, measurement, presentation and disclosure of leases for both parties to a contract (i.e., lessees and lessors). ASC 842 replaces the existing guidance in ASC 840. ASC 842 requires lessees to apply a dual approach, classifying leases as either finance or operating leases based on the principle of whether or not the lease is effectively a financed purchase by the lessee.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The Company adopted the new standard and used the modified retrospective approach with January 1, 2022 as the initial date of application. The Company elected the available package of practical expedients which allowed the Company to not reassess previous accounting conclusions around whether arrangements are or contain leases, the classification of leases, and the treatment of initial direct costs. As a result of the adoption of ASC 842, the Company recorded (i) an operating lease liability, current of $0.3 million, (ii) an operating lease liability, non-current of $1.4 million and (iii) an operating lease right-of-use asset of $1.7 million, net of the unamortized balance of deferred rent liability as of the transition date. There was no impact from the adoption of ASC 842 to the Company’s results of operations and cash flows from operations. A summary of the impact of the adoption is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Impact of Adoption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00" w:type="dxa"/>
            <w:vAlign w:val="bottom"/>
          </w:tcPr>
          <w:p>
            <w:pPr>
              <w:spacing w:after="0"/>
              <w:rPr>
                <w:sz w:val="16"/>
                <w:szCs w:val="16"/>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FF0FC"/>
          </w:tcPr>
          <w:p>
            <w:pPr>
              <w:spacing w:after="0"/>
              <w:rPr>
                <w:sz w:val="20"/>
                <w:szCs w:val="20"/>
                <w:color w:val="auto"/>
              </w:rPr>
            </w:pP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40" w:type="dxa"/>
            <w:vAlign w:val="bottom"/>
          </w:tcPr>
          <w:p>
            <w:pPr>
              <w:spacing w:after="0"/>
              <w:rPr>
                <w:sz w:val="20"/>
                <w:szCs w:val="20"/>
                <w:color w:val="auto"/>
              </w:rPr>
            </w:pPr>
          </w:p>
        </w:tc>
        <w:tc>
          <w:tcPr>
            <w:tcW w:w="1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 w:type="dxa"/>
            <w:vAlign w:val="bottom"/>
          </w:tcPr>
          <w:p>
            <w:pPr>
              <w:spacing w:after="0"/>
              <w:rPr>
                <w:sz w:val="20"/>
                <w:szCs w:val="20"/>
                <w:color w:val="auto"/>
              </w:rPr>
            </w:pPr>
          </w:p>
        </w:tc>
        <w:tc>
          <w:tcPr>
            <w:tcW w:w="1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0"/>
                <w:szCs w:val="20"/>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Marketable securities held by the Company are classified as available-for-sale debt securities pursuant to ASC 320, Investments – Debt and Equity Securities, and carried at fair value in the accompanying consolidated balance sheets on a settlement date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gross unrealized gains and losses of the Company’s marketable securities as of December 31, 2022 and 2021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107,973</w:t>
            </w:r>
          </w:p>
        </w:tc>
        <w:tc>
          <w:tcPr>
            <w:tcW w:w="78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107,871</w:t>
            </w:r>
          </w:p>
        </w:tc>
        <w:tc>
          <w:tcPr>
            <w:tcW w:w="100" w:type="dxa"/>
            <w:vAlign w:val="bottom"/>
            <w:shd w:val="clear" w:color="auto" w:fill="CFF0FC"/>
          </w:tcPr>
          <w:p>
            <w:pPr>
              <w:spacing w:after="0"/>
              <w:rPr>
                <w:sz w:val="20"/>
                <w:szCs w:val="20"/>
                <w:color w:val="auto"/>
              </w:rPr>
            </w:pPr>
          </w:p>
        </w:tc>
      </w:tr>
      <w:tr>
        <w:trPr>
          <w:trHeight w:val="23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172,214</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100" w:type="dxa"/>
            <w:vAlign w:val="bottom"/>
          </w:tcPr>
          <w:p>
            <w:pPr>
              <w:spacing w:after="0"/>
              <w:rPr>
                <w:sz w:val="20"/>
                <w:szCs w:val="20"/>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280,187</w:t>
            </w:r>
          </w:p>
        </w:tc>
        <w:tc>
          <w:tcPr>
            <w:tcW w:w="26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24"/>
                <w:szCs w:val="24"/>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279,915</w:t>
            </w:r>
          </w:p>
        </w:tc>
        <w:tc>
          <w:tcPr>
            <w:tcW w:w="100" w:type="dxa"/>
            <w:vAlign w:val="bottom"/>
            <w:shd w:val="clear" w:color="auto" w:fill="CFF0FC"/>
          </w:tcPr>
          <w:p>
            <w:pPr>
              <w:spacing w:after="0"/>
              <w:rPr>
                <w:sz w:val="24"/>
                <w:szCs w:val="24"/>
                <w:color w:val="auto"/>
              </w:rPr>
            </w:pPr>
          </w:p>
        </w:tc>
      </w:tr>
      <w:tr>
        <w:trPr>
          <w:trHeight w:val="403"/>
        </w:trPr>
        <w:tc>
          <w:tcPr>
            <w:tcW w:w="5740" w:type="dxa"/>
            <w:vAlign w:val="bottom"/>
            <w:tcBorders>
              <w:top w:val="single" w:sz="8" w:color="CFF0FC"/>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top w:val="single" w:sz="8" w:color="CFF0FC"/>
            </w:tcBorders>
          </w:tcPr>
          <w:p>
            <w:pPr>
              <w:spacing w:after="0"/>
              <w:rPr>
                <w:sz w:val="24"/>
                <w:szCs w:val="24"/>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Borders>
              <w:top w:val="single" w:sz="8" w:color="CFF0FC"/>
            </w:tcBorders>
          </w:tcPr>
          <w:p>
            <w:pPr>
              <w:spacing w:after="0"/>
              <w:rPr>
                <w:sz w:val="24"/>
                <w:szCs w:val="24"/>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Borders>
              <w:top w:val="single" w:sz="8" w:color="CFF0FC"/>
            </w:tcBorders>
          </w:tcPr>
          <w:p>
            <w:pPr>
              <w:spacing w:after="0"/>
              <w:rPr>
                <w:sz w:val="24"/>
                <w:szCs w:val="24"/>
                <w:color w:val="auto"/>
              </w:rPr>
            </w:pPr>
          </w:p>
        </w:tc>
        <w:tc>
          <w:tcPr>
            <w:tcW w:w="1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CFF0FC"/>
            </w:tcBorders>
          </w:tcPr>
          <w:p>
            <w:pPr>
              <w:spacing w:after="0"/>
              <w:rPr>
                <w:sz w:val="24"/>
                <w:szCs w:val="24"/>
                <w:color w:val="auto"/>
              </w:rPr>
            </w:pPr>
          </w:p>
        </w:tc>
      </w:tr>
      <w:tr>
        <w:trPr>
          <w:trHeight w:val="252"/>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49,202</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shd w:val="clear" w:color="auto" w:fill="CFF0FC"/>
          </w:tcPr>
          <w:p>
            <w:pPr>
              <w:spacing w:after="0"/>
              <w:rPr>
                <w:sz w:val="21"/>
                <w:szCs w:val="2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-479425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-462280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-479425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-462280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-479425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-462280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available-for-sale marketable securities held as of December 31, 2022 or 2021 had remaining maturities greater than twelve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107,871</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2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100" w:type="dxa"/>
            <w:vAlign w:val="bottom"/>
          </w:tcPr>
          <w:p>
            <w:pPr>
              <w:spacing w:after="0"/>
              <w:rPr>
                <w:sz w:val="20"/>
                <w:szCs w:val="20"/>
                <w:color w:val="auto"/>
              </w:rPr>
            </w:pPr>
          </w:p>
        </w:tc>
      </w:tr>
      <w:tr>
        <w:trPr>
          <w:trHeight w:val="276"/>
        </w:trPr>
        <w:tc>
          <w:tcPr>
            <w:tcW w:w="58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198,921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5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541,220</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541,220</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590,414</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590,414</w:t>
            </w:r>
          </w:p>
        </w:tc>
        <w:tc>
          <w:tcPr>
            <w:tcW w:w="10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-1473835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-1456690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-1473835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-1456690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-1473835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-1456690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money market funds and U.S. Treasury securities were valued by the Company based on quoted market prices, which represent a Level 1 measurement within the fair value hierarchy.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marketable securities also consisted of federal agency securities, which were valued based on Level 2 inputs. In determining the fair value of its federal agency securities, the Company relied on quoted prices for similar securities in active markets or other inputs that are observable or can be corroborated by observable market data. Since Federal agency securities typically do not trade as U.S. government agency securities and no exchange exists to price such investments, they are recognized as Level 2 assets.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years ended December 31, 2022 or 2021.</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years ended December 31, 2022 or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r>
      <w:tr>
        <w:trPr>
          <w:trHeight w:val="277"/>
        </w:trPr>
        <w:tc>
          <w:tcPr>
            <w:tcW w:w="78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6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shd w:val="clear" w:color="auto" w:fill="CFF0FC"/>
          </w:tcPr>
          <w:p>
            <w:pPr>
              <w:spacing w:after="0"/>
              <w:rPr>
                <w:sz w:val="24"/>
                <w:szCs w:val="24"/>
                <w:color w:val="auto"/>
              </w:rPr>
            </w:pPr>
          </w:p>
        </w:tc>
      </w:tr>
      <w:tr>
        <w:trPr>
          <w:trHeight w:val="795"/>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8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8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6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48,590</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r>
      <w:tr>
        <w:trPr>
          <w:trHeight w:val="276"/>
        </w:trPr>
        <w:tc>
          <w:tcPr>
            <w:tcW w:w="78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2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-1945005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-1928495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For the years ended December 31, 2022 and 2021, the Company recognized $0.6 million and $1.3 million, respectively, of research and development expense in connection with services performed by Adimab on the Company's behalf. Please refer to Note 16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2021, the Company achieved the first specified milestone under the agreement upon dosing of the first patient in a Phase 1 global clinical trial evaluating adintrevimab, which obligated the Company to make a $1.0 million milestone payment to Adimab. In April 2021, the Company achieved the second specified milestone under the agreement upon dosing of the first patient in a Phase 2 global clinical trial evaluating adintrevimab for the prevention of COVID-19, which obligated the Company to make a $2.5 million milestone payment to Adimab. In August 2021, the Company achieved the third specified milestone under the agreement upon dosing of the first patient in a Phase 3 global clinical trial evaluating adintrevimab for the prevention of COVID-19, which obligated the Company to make a $4.0 million milestone payment to Adimab. The Company recognized each expense when achievement of each of the first, second and third milestones became probable of achievement in February, April and August 2021, respectively. The next potential milestone under the Adimab Assignment Agreement is a low six-digit dollar milestone related to dosing of the first subject in a Phase 1 trial, which was not considered probable as of December 31, 2022.</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did not recognize any IPR&amp;D expense in connection with contingent consideration payable under the Adimab Assignment Agreement. For the year ended December 31, 2021, the Company recognized $7.5 million as IPR&amp;D expense in connection with contingent consideration payable under the Adimab Assignment Agreement.</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the second milestone payment of $2.5 million and the third milestone payment of $4.0 million, which were paid by the Company to Adimab in March, May and September 2021, respectively, no other milestone, royalty or other contingent payments had become due to Adimab through December 31, 2022.</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the years ended December 31, 2022 and 2021, the Company recognized $5.2 million and $2.6 million, respectively, of research and development expense related to the quarterly fee.</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For the years ended December 31, 2022 and 2021, the Company recognized $1.7 million and $0.3 million, respectively, of research and development expense in connection with services performed by Adimab on the Company's behalf. Through December 31, 2022, the Company recognized $0.4 million and $1.0 million of IPR&amp;D expense related to drug delivery fees and an option exercise, respectively. Additionally, through December 31, 2022, the Company has not paid an optimization completion fee to Adimab. Please refer to Note 16 for additional information.</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 dollar milestone related to dosing of the first subject in a Phase 1 trial, which was not considered probable as of December 31, 2022.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2022, the Company had not paid any royalties to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16 for additional information.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will be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Effective Date, which will allow the Company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which was not considered probable as of December 31, 2022.</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2022, the Company had not paid any royalties to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16 for additional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paid an upfront fee of $0.2 million to WuXi Biologics upon completion of cell bank generation for the first Licensed Cell Line created under the Cell Line License Agreement. 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December 31, 2022, no royalties had become due to WuXi Biologics.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Scripps Research Institute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In August 2021, the Company paid TSRI $1.5 million in funding, which was credited against research funding payable by the Company under the Research Agreement.</w:t>
      </w:r>
    </w:p>
    <w:p>
      <w:pPr>
        <w:spacing w:after="0" w:line="7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In April 2022, the Company provided written notice to TSRI to terminate the Research Agreement. Following early termination in the second quarter of 2022, all licenses were terminated and reverted to TSRI.</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Amounts incurred for services performed by TSRI under the Research Agreement were expensed to research and development expense as the services were rendered. During the years ended December 31, 2022 and December 31, 2021, the Company recognized $1.7 million and $2.3 million, respectively, of research and development expense associated with services performed under the Research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and will continue for a period of one year, unless terminated earlier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is effective for six months from the Effective Date and may be extended by written agreement of the Company and PHP. The PHP MSA contains customary confidentiality provisions and representations and warranties of the parties, as well as mutual non-solicitation of certain employees during the term of the PHP MSA and for a period of one year thereafter.</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shall pay PHP a cash fee of $0.5 million per month during the term of the PHP Work Order for an aggregate fee of $3.0 million (the “Aggregate Fee”).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$0.8 million of research and development expense related to the cash compensation paid to PHP.</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Common Stock, which is equal to the Nasdaq Official Closing Price of a share of Common Stock on the trading day immediately prior to the PHP Effective Date. The PHP Warrant is exercisable for up to an aggregate of 6,824,712 shares of Common Stock, and vests in three separate tranches as follows:</w:t>
      </w:r>
    </w:p>
    <w:p>
      <w:pPr>
        <w:spacing w:after="0" w:line="180" w:lineRule="exact"/>
        <w:rPr>
          <w:sz w:val="20"/>
          <w:szCs w:val="20"/>
          <w:color w:val="auto"/>
        </w:rPr>
      </w:pPr>
    </w:p>
    <w:p>
      <w:pPr>
        <w:ind w:left="940" w:right="440" w:hanging="338"/>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175" w:lineRule="exact"/>
        <w:rPr>
          <w:rFonts w:ascii="Times New Roman" w:cs="Times New Roman" w:eastAsia="Times New Roman" w:hAnsi="Times New Roman"/>
          <w:sz w:val="18"/>
          <w:szCs w:val="18"/>
          <w:color w:val="auto"/>
        </w:rPr>
      </w:pPr>
    </w:p>
    <w:p>
      <w:pPr>
        <w:ind w:left="940" w:right="580" w:hanging="338"/>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175" w:lineRule="exact"/>
        <w:rPr>
          <w:rFonts w:ascii="Times New Roman" w:cs="Times New Roman" w:eastAsia="Times New Roman" w:hAnsi="Times New Roman"/>
          <w:sz w:val="18"/>
          <w:szCs w:val="18"/>
          <w:color w:val="auto"/>
        </w:rPr>
      </w:pPr>
    </w:p>
    <w:p>
      <w:pPr>
        <w:ind w:left="940" w:right="580" w:hanging="338"/>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Common Stock on such date, calculated by multiplying the Company’s volume weighted average price for the ten (10) trading days immediately preceding such date by the Company’s total number of outstanding shares of Common Stock as reflected in (i) the Company’s most recent periodic or annual report filed with the U.S. Securities and Exchange Commission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has also granted PHP certain “piggyback” registration rights requiring the Company to register any shares of the Company's common stock underlying the Warrant for resale with the SEC, subject to the Company’s existing obligations under that certain Second Amended and Restated Investors’ Rights Agreement, dated April 16, 2021, by and among the Company and the investors party thereto.</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change of control of the Company (as defined in the PHP Warrant) on or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12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Clive Meanwell, M.D. and Tamsin Berry, members of the Company’s board of directors, are Managing Partner and Partner of PHP, respectively.</w:t>
      </w:r>
    </w:p>
    <w:p>
      <w:pPr>
        <w:spacing w:after="0" w:line="329" w:lineRule="exact"/>
        <w:rPr>
          <w:sz w:val="20"/>
          <w:szCs w:val="20"/>
          <w:color w:val="auto"/>
        </w:rPr>
      </w:pPr>
    </w:p>
    <w:p>
      <w:pPr>
        <w:ind w:left="520" w:right="8420" w:hanging="512"/>
        <w:spacing w:after="0" w:line="400" w:lineRule="auto"/>
        <w:tabs>
          <w:tab w:leader="none" w:pos="191"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2021, the Company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7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2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2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0"/>
                <w:szCs w:val="20"/>
                <w:color w:val="auto"/>
              </w:rPr>
            </w:pPr>
          </w:p>
        </w:tc>
      </w:tr>
      <w:tr>
        <w:trPr>
          <w:trHeight w:val="243"/>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26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28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2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FF0FC"/>
          </w:tcPr>
          <w:p>
            <w:pPr>
              <w:spacing w:after="0"/>
              <w:rPr>
                <w:sz w:val="21"/>
                <w:szCs w:val="21"/>
                <w:color w:val="auto"/>
              </w:rPr>
            </w:pPr>
          </w:p>
        </w:tc>
      </w:tr>
      <w:tr>
        <w:trPr>
          <w:trHeight w:val="432"/>
        </w:trPr>
        <w:tc>
          <w:tcPr>
            <w:tcW w:w="10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2022 was as follows (in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28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8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shd w:val="clear" w:color="auto" w:fill="CFF0FC"/>
          </w:tcPr>
          <w:p>
            <w:pPr>
              <w:jc w:val="right"/>
              <w:ind w:right="241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r>
      <w:tr>
        <w:trPr>
          <w:trHeight w:val="241"/>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(286 )</w:t>
            </w:r>
          </w:p>
        </w:tc>
      </w:tr>
      <w:tr>
        <w:trPr>
          <w:trHeight w:val="276"/>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2600" w:type="dxa"/>
            <w:vAlign w:val="bottom"/>
            <w:tcBorders>
              <w:top w:val="single" w:sz="8" w:color="auto"/>
              <w:bottom w:val="single" w:sz="8" w:color="auto"/>
            </w:tcBorders>
            <w:shd w:val="clear" w:color="auto" w:fill="CFF0FC"/>
          </w:tcPr>
          <w:p>
            <w:pPr>
              <w:jc w:val="right"/>
              <w:ind w:right="241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Company’s operating lease was measured using a weighted-average incremental borrowing rate of 6.0% over a weighted-average remaining lease term of 2.6 years.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operating liability is presented on the Company’s condensed consolidated balance sheet based on maturity dates. $1.5 million of the total operating liability is classified under "operating lease liability, current” for the portion due within twelve months, and $2.2 million is classified under "operating lease liability, non-current”.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is effective for six months from November 2022 and may be extended by written agreement of the Company and PHP. As compensation for the services and deliverables under the PHP Work Order, the Company is obligated to pay PHP a cash fee of $0.5 million per month during the term of the PHP Work Order for an Aggregate Fee of $3.0 million.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and Manufacturing Agreements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2020, the Company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the Company.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(as amended and restated, the “Commercial Manufacturing Agreement”). The Commercial Manufacturing Agreement outlines the terms and conditions under which WuXi Biologics manufactures drug substance and drug product for commercial use.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committed to minimum noncancelable purchase obligations related to batches of adintrevimab drug substance and certain services with respect to the product requirements for 2022 and 2023 and batches of adintrevimab drug product and certain services with respect to the product requirements for 2022, the payments for which will extend into 2023.</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Biologics agreed to provide the Company with a credit in the low eight-figures to offset future services rendered by WuXi.</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July 2022, the Company provided notice to WuXi Biologics to cancel the contractually binding adintrevimab drug product batches.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2022, WuXi Biologics reassigned the remaining contractually binding adintrevimab drug substance batches under the Commercial Manufacturing Agreement to contractually binding NVD200 drug substance batches under its Clinical Master Services Agreement. As of December 31, 2022, the total remaining cost of contractually binding NVD200 drug substance batches to be manufactured under the Clinical Master Services Agreement is $18.1 million, which is expected to be incurred and paid in 2023.</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remaining contractually binding batches were repurposed, and the related services now relate to manufacturing of VYD222.</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majority of the low eight-figure credit was applied to WuXi Biologics services as a reduction of research and development expenses and a reduction of accounts payable and accrued expenses. The remaining portion of the credit is expected to be utilized during the first quarter of 2023.</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2022 and 2021, the Company was not a party to any material legal proceedings.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the Company received a request from the SEC, dated March 22, 2023, for documents and information concerning, among other matters, the Company’s testing and analysis of the efficacy of ADG20 against Omicron and other COVID-19 variants, its public statements regarding the potential use of ADG20 against the Omicron variant, and related communications with investors and the media. The Company intends to cooperate fully with this fact-finding inquiry.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Preferred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7).</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terms of the Series C Preferred Stock were substantially the same as the terms of the Series A Preferred Stock and Series B Preferred Stock, except that the original issue price per share and the conversion price per share of the Series C Preferred Stock is $78.08578.</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July 2021, the Company filed an amended and restated certificate of incorporation, which increased the Company’s authority to issue (i) 150,000,000 shares of common stock and (ii) 16,944,484 shares of Preferred Stock. In August 2021, in connection with the closing of the IPO, the Company filed an amended and restated certificate of incorporation to, among other things: (i) increase the number of authorized shares of common stock from 150,000,000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Upon the closing of the Company’s IPO in August 2021, all shares of the Company’s convertible preferred stock then outstanding converted into 84,722,420 shares of common stock (see Note 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shares of the Company’s common stock were subject to and qualified by the rights, powers and preferences of the holders of the Preferred Stock set forth above and described in the Company’s final prospectus related to the IPO filed with the SEC pursuant to Rule 424(b)(4) under the Securities Act of 1933, as amended (the “Securities Act”) on August 6, 2021.</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2022 and 2021 the 21,250,000 shares of common stock repurchased from Adimab were retired and redesignated as authorized but unissued shares of the Company’s common stock. The fair value of the repurchased common stock was $0.004 per share, or $85,000 in the aggregate, as determined based on a third-party valuation (see Note 7).</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described in Note 10 above, in July 2021, the Company filed an amended and restated certificate of incorporation, which increased the Company’s authority to issue 150,000,000 shares of common stock. In August 2021, in connection with the closing of the IPO, the Company filed an amended and restated certificate of incorporation to, among other things, increase the number of authorized shares of common stock from 150,000,000 shares to 1,000,000,000 shares.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reserved 44,164,654 shares of common stock for the exercise of outstanding stock options and the issuance of awards available for grant under the Company’s 2020 Equity Incentive Plan, 2021 Equity Incentive Plan and 2021 Employee Stock Purchase Plan (see Note 12).</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(File No. 333-267643) and accompanying base prospectus, which was declared effective by the SEC on October 5, 2022, for the offer and sale of up to $400 million of the Company’s securities.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April and May 2021, the Company retired an aggregate of 22,600,000 shares of common stock held in treasury. Upon retirement, the shares were redesignated as authorized but unissued shares of the Company’s common stock.</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2021, the Company repurchased 468,751 shares of unvested restricted common stock at the original purchase price upon a termination of service during the vesting period. As of December 31, 2021, the shares of common stock repurchased were recorded as treasury stock in the accompanying consolidated balance sheets and consolidated statements of convertible preferred stock and stockholders’ equity (deficit) as such shares were not retired. The fair value of the repurchased common stock was insignificant.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condensed consolidated balance sheets and consolidated statements of convertible preferred stock and stockholders’ equity (deficit) as such shares were not retired. The fair value of the repurchased common stock was insignificant.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and September 2022, the Company retired an aggregate of 1,626,840 and 992,648 shares of common stock, respectively, held in treasury.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retirement, the shares were redesignated as authorized but unissued shares of the Company’s common stock.</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March 2023, the Company repurchased 206,802 shares of unvested restricted common stock at the original purchase price upon a termination of service during the vesting period.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10).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August 2021, the Company completed its IPO, pursuant to which it issued and sold 20,930,000 shares of its common stock at an initial public offering price of $17.00 per share, including 2,730,000 shares of its common stock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of the shares of the Company’s convertible preferred stock then outstanding converted into 84,722,420 shares of common stock. Upon the conversion of the convertible preferred stock, the Company reclassified the carrying value of the convertible preferred stock to common stock (at par value) and additional paid-in capital.</w:t>
      </w:r>
    </w:p>
    <w:p>
      <w:pPr>
        <w:spacing w:after="0" w:line="291" w:lineRule="exact"/>
        <w:rPr>
          <w:sz w:val="20"/>
          <w:szCs w:val="20"/>
          <w:color w:val="auto"/>
        </w:rPr>
      </w:pPr>
    </w:p>
    <w:p>
      <w:pPr>
        <w:ind w:left="520" w:right="8700" w:hanging="512"/>
        <w:spacing w:after="0" w:line="400" w:lineRule="auto"/>
        <w:tabs>
          <w:tab w:leader="none" w:pos="28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10,362,687 shares authorized to be issued upon the exercise of outstanding stock option grants and no shares reserved for future issuance under the 2020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right="60"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The number of shares to be issued under the 2021 Plan did not increase on January 1, 2023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an aggregate of 42,935,402 shares authorized to be issued under the 2020 Plan and the 2021 Plan, which includes 10,362,687 and 12,876,704 shares authorized to be issued upon the exercise of outstanding stock option grants from the 2020 Plan and 2021 Plan, respectively, and 0 and 19,696,011 shares reserved for future issuance under the 2020 Plan and 2021 Plan,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4"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grant-date fair value of stock 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118745</wp:posOffset>
            </wp:positionV>
            <wp:extent cx="10287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8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71.8 %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238"/>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661"/>
        </w:trPr>
        <w:tc>
          <w:tcPr>
            <w:tcW w:w="892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5"/>
        </w:trPr>
        <w:tc>
          <w:tcPr>
            <w:tcW w:w="7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92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9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18,871,592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12,625,109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(298,353 )</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(7,958,957 )</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23,239,391</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23,239,391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6,845,330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-333375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-316230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 ended December 31, 2022 and 2021 was $2.79 and $7.56, respectively, per share.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December 31, 2022 and December 31, 2021.</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was $1.0 million for the year ended December 31, 2022. There were no options exercised during the year ended December 31, 2021.</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July 2022, David Hering, M.B.A. was appointed as the Company's Chief Executive Officer. In conjunction with this appointment, Mr. Hering was granted a stock option to purchase 2,000,000 shares of common stock, which vest monthly in equal installments over 48 months.</w:t>
      </w:r>
    </w:p>
    <w:p>
      <w:pPr>
        <w:spacing w:after="0" w:line="5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Mr. Hering was also eligible to receive an additional stock option to purchase up to 1,000,000 shares of common stock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Additional Option Grant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certain goals approved by the Company’s board of directors, on the recommendation of the Compensation Committee, were achieved on or prior to December 31, 2022, with such achievement to be determined by the Company’s board of directors, upon the recommendation of the Compensation Committee. If such performance goals were partially achieved on or prior to December 31, 2022, then Mr. Hering was entitled to receive a partial amount of the Additional Option Grant, with such partial amount to be determined by the Company’s board of directors, in its sole and absolute discretion. In December 2022, Mr. Hering received a partial amount of the Additional Option Grant and was granted a stock option to purchase 700,000 shares of common stock, which vests in monthly equal installments over a 48-month period commencing on the grant date.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restricted stock activity during the year ended December 31, 2022 was solely due to shares of restricted common stock issued pursuant to the permitted early exercise of stock options as permitted under the 2020 Plan prior to amendments.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0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7"/>
        </w:trPr>
        <w:tc>
          <w:tcPr>
            <w:tcW w:w="44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9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r>
      <w:tr>
        <w:trPr>
          <w:trHeight w:val="23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December 31, 2021</w:t>
            </w:r>
          </w:p>
        </w:tc>
        <w:tc>
          <w:tcPr>
            <w:tcW w:w="6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3,082,175</w:t>
            </w:r>
          </w:p>
        </w:tc>
        <w:tc>
          <w:tcPr>
            <w:tcW w:w="100" w:type="dxa"/>
            <w:vAlign w:val="bottom"/>
            <w:shd w:val="clear" w:color="auto" w:fill="CFF0FC"/>
          </w:tcPr>
          <w:p>
            <w:pPr>
              <w:spacing w:after="0"/>
              <w:rPr>
                <w:sz w:val="20"/>
                <w:szCs w:val="20"/>
                <w:color w:val="auto"/>
              </w:rPr>
            </w:pPr>
          </w:p>
        </w:tc>
      </w:tr>
      <w:tr>
        <w:trPr>
          <w:trHeight w:val="239"/>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4760" w:type="dxa"/>
            <w:vAlign w:val="bottom"/>
          </w:tcPr>
          <w:p>
            <w:pPr>
              <w:spacing w:after="0"/>
              <w:rPr>
                <w:sz w:val="20"/>
                <w:szCs w:val="20"/>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6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(571,105 )</w:t>
            </w:r>
          </w:p>
        </w:tc>
      </w:tr>
      <w:tr>
        <w:trPr>
          <w:trHeight w:val="239"/>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Repurchased</w:t>
            </w:r>
          </w:p>
        </w:tc>
        <w:tc>
          <w:tcPr>
            <w:tcW w:w="4760" w:type="dxa"/>
            <w:vAlign w:val="bottom"/>
          </w:tcPr>
          <w:p>
            <w:pPr>
              <w:spacing w:after="0"/>
              <w:rPr>
                <w:sz w:val="20"/>
                <w:szCs w:val="20"/>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(2,150,737 )</w:t>
            </w:r>
          </w:p>
        </w:tc>
      </w:tr>
      <w:tr>
        <w:trPr>
          <w:trHeight w:val="277"/>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December 31, 2022</w:t>
            </w:r>
          </w:p>
        </w:tc>
        <w:tc>
          <w:tcPr>
            <w:tcW w:w="476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360,333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4460" w:type="dxa"/>
            <w:vAlign w:val="bottom"/>
          </w:tcPr>
          <w:p>
            <w:pPr>
              <w:spacing w:after="0"/>
              <w:rPr>
                <w:sz w:val="24"/>
                <w:szCs w:val="24"/>
                <w:color w:val="auto"/>
              </w:rPr>
            </w:pPr>
          </w:p>
        </w:tc>
        <w:tc>
          <w:tcPr>
            <w:tcW w:w="6780" w:type="dxa"/>
            <w:vAlign w:val="bottom"/>
            <w:gridSpan w:val="3"/>
          </w:tcPr>
          <w:p>
            <w:pPr>
              <w:jc w:val="right"/>
              <w:ind w:right="5440"/>
              <w:spacing w:after="0"/>
              <w:rPr>
                <w:sz w:val="20"/>
                <w:szCs w:val="20"/>
                <w:color w:val="auto"/>
              </w:rPr>
            </w:pPr>
            <w:r>
              <w:rPr>
                <w:rFonts w:ascii="Times New Roman" w:cs="Times New Roman" w:eastAsia="Times New Roman" w:hAnsi="Times New Roman"/>
                <w:sz w:val="18"/>
                <w:szCs w:val="18"/>
                <w:color w:val="auto"/>
              </w:rPr>
              <w:t>F-29</w:t>
            </w:r>
          </w:p>
        </w:tc>
      </w:tr>
      <w:tr>
        <w:trPr>
          <w:trHeight w:val="655"/>
        </w:trPr>
        <w:tc>
          <w:tcPr>
            <w:tcW w:w="446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each of December 31, 2022 and 2021, the liability related to the payments for unvested shares from early-exercised options was less than $0.1 million.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consolidated statements of operations and comprehensive loss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5821680</wp:posOffset>
            </wp:positionH>
            <wp:positionV relativeFrom="paragraph">
              <wp:posOffset>118745</wp:posOffset>
            </wp:positionV>
            <wp:extent cx="10287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64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00" w:type="dxa"/>
            <w:vAlign w:val="bottom"/>
          </w:tcPr>
          <w:p>
            <w:pPr>
              <w:spacing w:after="0"/>
              <w:rPr>
                <w:sz w:val="20"/>
                <w:szCs w:val="20"/>
                <w:color w:val="auto"/>
              </w:rPr>
            </w:pPr>
          </w:p>
        </w:tc>
      </w:tr>
      <w:tr>
        <w:trPr>
          <w:trHeight w:val="277"/>
        </w:trPr>
        <w:tc>
          <w:tcPr>
            <w:tcW w:w="76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2022, Tillman U. Gerngross, Ph.D., resigned as Chief Executive Officer and President and as a member of the Company's board of directors. In accordance with his resignation, Dr. Gerngross's outstanding stock options were forfeited, resulting in a reversal of selling, general and administrative related stock-based compensation expense of approximately $4.6 million.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stock-based compensation cost related to unvested awards was $62.0 million and the weighted-average period over which such expense is expected to be recognized was 2.8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113,521 shares issued under the 2021 ESPP as of December 31, 2022.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2023 as determined by the Company's board of directors. The first offering under the 2021 ESPP was June 6, 2022. As of December 31, 2022, 1,229,252 shares remained available for issuance under the 2021 ESPP. During the year ended December 31, 2022, the Company recognized $0.1 million in related stock-based compensation expense.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activity relating to the PHP Warrant outstanding for the year ended December 31, 2022 (aggregate value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1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920" w:type="dxa"/>
            <w:vAlign w:val="bottom"/>
          </w:tcPr>
          <w:p>
            <w:pPr>
              <w:spacing w:after="0"/>
              <w:rPr>
                <w:sz w:val="16"/>
                <w:szCs w:val="16"/>
                <w:color w:val="auto"/>
              </w:rPr>
            </w:pPr>
          </w:p>
        </w:tc>
        <w:tc>
          <w:tcPr>
            <w:tcW w:w="11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9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exercisable at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-173990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-156845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6"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Assumptions used to determine the fair value of PHP Warrant using the simulation model based on Geometric Brownian Motion in a risk-neutral framework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7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160" w:type="dxa"/>
            <w:vAlign w:val="bottom"/>
            <w:tcBorders>
              <w:top w:val="single" w:sz="8" w:color="auto"/>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warrant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Pr>
          <w:p>
            <w:pPr>
              <w:spacing w:after="0"/>
              <w:rPr>
                <w:sz w:val="20"/>
                <w:szCs w:val="20"/>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4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108,982,401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did not record income tax benefits for the net operating losses (“NOLs”) incurred or for the research and development tax credits generated in each period, due to its uncertainty of realizing a benefit from those items. All of the Company’s operating losses since inception have been generated in the U.S.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5881370</wp:posOffset>
            </wp:positionH>
            <wp:positionV relativeFrom="paragraph">
              <wp:posOffset>158750</wp:posOffset>
            </wp:positionV>
            <wp:extent cx="17145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154305"/>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158750</wp:posOffset>
            </wp:positionV>
            <wp:extent cx="17081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0815" cy="15430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r>
      <w:tr>
        <w:trPr>
          <w:trHeight w:val="205"/>
        </w:trPr>
        <w:tc>
          <w:tcPr>
            <w:tcW w:w="46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Federal statutory income tax rate</w:t>
            </w:r>
          </w:p>
        </w:tc>
        <w:tc>
          <w:tcPr>
            <w:tcW w:w="4920" w:type="dxa"/>
            <w:vAlign w:val="bottom"/>
            <w:gridSpan w:val="3"/>
            <w:shd w:val="clear" w:color="auto" w:fill="CFF0FC"/>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4600" w:type="dxa"/>
            <w:vAlign w:val="bottom"/>
            <w:shd w:val="clear" w:color="auto" w:fill="CFF0FC"/>
          </w:tcPr>
          <w:p>
            <w:pPr>
              <w:spacing w:after="0"/>
              <w:rPr>
                <w:sz w:val="21"/>
                <w:szCs w:val="21"/>
                <w:color w:val="auto"/>
              </w:rPr>
            </w:pPr>
          </w:p>
        </w:tc>
        <w:tc>
          <w:tcPr>
            <w:tcW w:w="49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(21.0 %</w:t>
            </w:r>
          </w:p>
        </w:tc>
        <w:tc>
          <w:tcPr>
            <w:tcW w:w="1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r>
      <w:tr>
        <w:trPr>
          <w:trHeight w:val="247"/>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49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2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3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6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33"/>
        </w:trPr>
        <w:tc>
          <w:tcPr>
            <w:tcW w:w="4600" w:type="dxa"/>
            <w:vAlign w:val="bottom"/>
          </w:tcPr>
          <w:p>
            <w:pPr>
              <w:spacing w:after="0"/>
              <w:rPr>
                <w:sz w:val="24"/>
                <w:szCs w:val="24"/>
                <w:color w:val="auto"/>
              </w:rPr>
            </w:pPr>
          </w:p>
        </w:tc>
        <w:tc>
          <w:tcPr>
            <w:tcW w:w="4920" w:type="dxa"/>
            <w:vAlign w:val="bottom"/>
            <w:gridSpan w:val="3"/>
          </w:tcPr>
          <w:p>
            <w:pPr>
              <w:jc w:val="right"/>
              <w:ind w:right="3720"/>
              <w:spacing w:after="0"/>
              <w:rPr>
                <w:sz w:val="20"/>
                <w:szCs w:val="20"/>
                <w:color w:val="auto"/>
              </w:rPr>
            </w:pPr>
            <w:r>
              <w:rPr>
                <w:rFonts w:ascii="Times New Roman" w:cs="Times New Roman" w:eastAsia="Times New Roman" w:hAnsi="Times New Roman"/>
                <w:sz w:val="18"/>
                <w:szCs w:val="18"/>
                <w:color w:val="auto"/>
              </w:rPr>
              <w:t>F-31</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55"/>
        </w:trPr>
        <w:tc>
          <w:tcPr>
            <w:tcW w:w="4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-1028065</wp:posOffset>
            </wp:positionV>
            <wp:extent cx="1460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-1028065</wp:posOffset>
            </wp:positionV>
            <wp:extent cx="1454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consisted of the following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61,653</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51,635</w:t>
            </w:r>
          </w:p>
        </w:tc>
        <w:tc>
          <w:tcPr>
            <w:tcW w:w="100" w:type="dxa"/>
            <w:vAlign w:val="bottom"/>
          </w:tcPr>
          <w:p>
            <w:pPr>
              <w:spacing w:after="0"/>
              <w:rPr>
                <w:sz w:val="20"/>
                <w:szCs w:val="20"/>
                <w:color w:val="auto"/>
              </w:rPr>
            </w:pPr>
          </w:p>
        </w:tc>
      </w:tr>
      <w:tr>
        <w:trPr>
          <w:trHeight w:val="247"/>
        </w:trPr>
        <w:tc>
          <w:tcPr>
            <w:tcW w:w="7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Pr>
          <w:p>
            <w:pPr>
              <w:spacing w:after="0"/>
              <w:rPr>
                <w:sz w:val="20"/>
                <w:szCs w:val="20"/>
                <w:color w:val="auto"/>
              </w:rPr>
            </w:pPr>
          </w:p>
        </w:tc>
      </w:tr>
      <w:tr>
        <w:trPr>
          <w:trHeight w:val="247"/>
        </w:trPr>
        <w:tc>
          <w:tcPr>
            <w:tcW w:w="7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Warrant expense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100" w:type="dxa"/>
            <w:vAlign w:val="bottom"/>
          </w:tcPr>
          <w:p>
            <w:pPr>
              <w:spacing w:after="0"/>
              <w:rPr>
                <w:sz w:val="20"/>
                <w:szCs w:val="20"/>
                <w:color w:val="auto"/>
              </w:rPr>
            </w:pPr>
          </w:p>
        </w:tc>
      </w:tr>
      <w:tr>
        <w:trPr>
          <w:trHeight w:val="237"/>
        </w:trPr>
        <w:tc>
          <w:tcPr>
            <w:tcW w:w="7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(131,325 )</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(62,968 )</w:t>
            </w:r>
          </w:p>
        </w:tc>
      </w:tr>
      <w:tr>
        <w:trPr>
          <w:trHeight w:val="236"/>
        </w:trPr>
        <w:tc>
          <w:tcPr>
            <w:tcW w:w="786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8"/>
        </w:trPr>
        <w:tc>
          <w:tcPr>
            <w:tcW w:w="7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(895 )</w:t>
            </w:r>
          </w:p>
        </w:tc>
        <w:tc>
          <w:tcPr>
            <w:tcW w:w="3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-1336675</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-1010920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-359410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 Company had U.S. federal NOL carryforwards of $263.7 million and $221.9 million, respectively, which may be available to reduce future taxable income. All of the U.S. federal NOL carryforwards have an indefinite carryforward period but are limited in their usage to 80% of annual taxable income. In addition, as of December 31, 2022, the Company had state NOL carryforwards of $103.3 million, which may be available to reduce future taxable income, of which $7.0 million have an indefinite carryforward period while the remaining $96.3 million begin to expire in 2032. As of December 31, 2022, the Company also had U.S. federal and state research and development tax credit carryforwards of $13.2 million and $3.6 million, respectively, which may be available to reduce future tax liabilities and expire at various dates beginning in 2041 and 2036, respectively.</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U.S. federal and state NOL carryforwards and research and development tax credit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2022 and 2021. Management reevaluates the positive and negative evidence at each reporting period. During the years ended December 31, 2022 and 2021, the Company increased its valuation allowance by $68.3 million and $57.3 million, respectively, with such increase recognized as income tax expense, in order to maintain a full valuation allowance against its deferred tax assets, and there were no changes recorded to the allowance during the period.</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tax positions meeting the “more likely than not" threshold, the Company measures and records the highest probable benefit, and establishes appropriate reserves for benefits that exceed the amount likely to be sustained upon examination. As of December 31, 2022 and 2021, the Company has not recorded any uncertain tax positions or related interest and penalties.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years ended December 31, 2022 and 2021, the Company contributed $0.8 million and $0.6 million, respectively, to the 401(k)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118745</wp:posOffset>
            </wp:positionV>
            <wp:extent cx="10287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(241,317 )</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(226,790 )</w:t>
            </w:r>
          </w:p>
        </w:tc>
      </w:tr>
      <w:tr>
        <w:trPr>
          <w:trHeight w:val="20"/>
        </w:trPr>
        <w:tc>
          <w:tcPr>
            <w:tcW w:w="7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108,268,289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42,621,265</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(2.23 )</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(5.32 )</w:t>
            </w: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115570</wp:posOffset>
            </wp:positionV>
            <wp:extent cx="9398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115570</wp:posOffset>
            </wp:positionV>
            <wp:extent cx="9398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23,239,391</w:t>
            </w:r>
          </w:p>
        </w:tc>
        <w:tc>
          <w:tcPr>
            <w:tcW w:w="1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18,871,592</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360,333</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3,082,175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30,424,436</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21,953,767</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Adimab participated in the Series B Preferred Stock financing and the Series C Preferred Stock financing by purchasing 44,076 and 128,064 shares of Series B Preferred Stock and Series C Preferred Stock, respectively, for an aggregate purchase price of $2.5 million and $10.0 million, respectively (see Note 10).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IPR&amp;D expense in connection with milestones payable during the year ended December 31, 2022. During the year ended December 31, 2021, the Company recognized $7.5 million as IPR&amp;D expense in connection with milestones payable.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$0.6 million and $1.3 million, respectively, of research and development expense with respect to services performed by Adimab on the Company’s behalf.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$5.2 million and $2.6 million, respectively, of research and development expense related to the quarterly fee.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$1.7 million and $0.3 million, respectively, of research and development expense with respect to services performed by Adimab on the Company’s behalf.</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$1.0 million of IPR&amp;D expense related to an option exercise fee. The Company did not recognize any IPR&amp;D expense related to an option exercise fee during the year ended December 31, 2021.</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$0.4 million of IPR&amp;D expense related to drug delivery fees. The Company did not recognize any IPR&amp;D expense related to drug delivery fees during the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 and royalty payments (see Note 7).</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$3.0 million of IPR&amp;D expense in connection with the upfront consideration payable for the rights assigned pursuant to the Adimab Platform Transfer Agreement. The Adimab Platform Transfer Agreement was not in effect during the year ended December 31, 2021.</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and 2021, $0.3 million and $0.6 million, respectively, was due to Adimab under the Adimab Assignment Agreement, the Adimab Collaboration Agreement and the Adimab Platform Transfer Agreement by the Company. As of December 31, 2022 and 2021, no amounts were due from Adimab under the Adimab Assignment Agreement, the Adimab Collaboration Agreement or the Adimab Platform Transfer Agreement to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Mithril Group</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Subsequently, during the year ended December 31, 2022, Mithril II LP requested that the Company reimburse it for costs associated with legal expenses, corporate governance matters and stockholder proposals incurred as a result of the aforementioned matters in connection with the Company’s 2022 annual meeting of stockholders. The Company made such reimbursement payment to Mithril II LP in the amount of $1.4 million, which the Company recognized as a selling, general and administrative expense.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no amounts were due to any member of the Mithril Group by the Company, and no amounts were due from any member of the Mithril Group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 L.P.</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Under the PHP MSA and PHP Work Order, the Company is obligated to pay cash compensation for services and deliverables (see Note 8). Clive Meanwell, M.D. and Tamsin Berry, members of the Company’s board of directors, are Managing Partner and Partner of PHP, respectively.</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$0.8 million of research and development expense related to services performed by PHP in connection with the PHP Work Order.</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$17.4 million of warrant expense related to warrants issued to PHP in connection with the PHP Warrant.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$0.8 million was due to PHP by the Company, and no amounts were due from PHP to the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agreements with PHP were not in effect during the year ended December 31,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9"/>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2024-02-09T15:09:56Z</dcterms:created>
  <dcterms:modified xsi:type="dcterms:W3CDTF">2024-02-09T15:09:56Z</dcterms:modified>
</cp:coreProperties>
</file>