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600" w:right="1600" w:hanging="257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6"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8"/>
          <w:szCs w:val="18"/>
          <w:b w:val="1"/>
          <w:bCs w:val="1"/>
          <w:color w:val="auto"/>
        </w:rPr>
        <w:t>209 Church Street</w:t>
      </w:r>
    </w:p>
    <w:p>
      <w:pPr>
        <w:spacing w:after="0" w:line="31" w:lineRule="exact"/>
        <w:rPr>
          <w:sz w:val="24"/>
          <w:szCs w:val="24"/>
          <w:color w:val="auto"/>
        </w:rPr>
      </w:pPr>
    </w:p>
    <w:p>
      <w:pPr>
        <w:ind w:left="22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New Haven, CT</w:t>
      </w:r>
      <w:r>
        <w:rPr>
          <w:sz w:val="20"/>
          <w:szCs w:val="20"/>
          <w:color w:val="auto"/>
        </w:rPr>
        <w:tab/>
      </w:r>
      <w:r>
        <w:rPr>
          <w:rFonts w:ascii="Times New Roman" w:cs="Times New Roman" w:eastAsia="Times New Roman" w:hAnsi="Times New Roman"/>
          <w:sz w:val="18"/>
          <w:szCs w:val="18"/>
          <w:b w:val="1"/>
          <w:bCs w:val="1"/>
          <w:color w:val="auto"/>
        </w:rPr>
        <w:t>06510</w:t>
      </w:r>
    </w:p>
    <w:p>
      <w:pPr>
        <w:spacing w:after="0" w:line="18"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IVVD</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30, 2026, the registrant had 294,607,452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7"/>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184,153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226,689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4"/>
                <w:szCs w:val="24"/>
                <w:color w:val="auto"/>
                <w:vertAlign w:val="superscript"/>
              </w:rPr>
              <w:t>(1)</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247,467</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49"/>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241,742</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276,883</w:t>
            </w:r>
          </w:p>
        </w:tc>
        <w:tc>
          <w:tcPr>
            <w:tcW w:w="100" w:type="dxa"/>
            <w:vAlign w:val="bottom"/>
            <w:shd w:val="clear" w:color="auto" w:fill="CFF0FC"/>
          </w:tcPr>
          <w:p>
            <w:pPr>
              <w:spacing w:after="0"/>
              <w:rPr>
                <w:sz w:val="21"/>
                <w:szCs w:val="21"/>
                <w:color w:val="auto"/>
              </w:rPr>
            </w:pPr>
          </w:p>
        </w:tc>
      </w:tr>
      <w:tr>
        <w:trPr>
          <w:trHeight w:val="197"/>
        </w:trPr>
        <w:tc>
          <w:tcPr>
            <w:tcW w:w="6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4"/>
                <w:szCs w:val="24"/>
                <w:color w:val="auto"/>
                <w:vertAlign w:val="superscript"/>
              </w:rPr>
              <w:t>(2)</w:t>
            </w: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4"/>
                <w:szCs w:val="24"/>
                <w:color w:val="auto"/>
                <w:vertAlign w:val="superscript"/>
              </w:rPr>
              <w:t>(3)</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liability</w:t>
            </w:r>
          </w:p>
        </w:tc>
        <w:tc>
          <w:tcPr>
            <w:tcW w:w="1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34,163</w:t>
            </w:r>
          </w:p>
        </w:tc>
        <w:tc>
          <w:tcPr>
            <w:tcW w:w="100" w:type="dxa"/>
            <w:vAlign w:val="bottom"/>
          </w:tcPr>
          <w:p>
            <w:pPr>
              <w:spacing w:after="0"/>
              <w:rPr>
                <w:sz w:val="18"/>
                <w:szCs w:val="18"/>
                <w:color w:val="auto"/>
              </w:rPr>
            </w:pPr>
          </w:p>
        </w:tc>
      </w:tr>
      <w:tr>
        <w:trPr>
          <w:trHeight w:val="210"/>
        </w:trPr>
        <w:tc>
          <w:tcPr>
            <w:tcW w:w="6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35,343</w:t>
            </w:r>
          </w:p>
        </w:tc>
        <w:tc>
          <w:tcPr>
            <w:tcW w:w="100" w:type="dxa"/>
            <w:vAlign w:val="bottom"/>
          </w:tcPr>
          <w:p>
            <w:pPr>
              <w:spacing w:after="0"/>
              <w:rPr>
                <w:sz w:val="18"/>
                <w:szCs w:val="18"/>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560" w:type="dxa"/>
            <w:vAlign w:val="bottom"/>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authorized and no shares issued and outstanding at March 31, 2026</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and December 31, 2025</w:t>
            </w: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282,803,863 shares issued and outstanding at March 31, 2026;</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281,987,033 shares issued and outstanding at December 31, 2025</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1,198,942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1,196,036</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(995,883)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(954,483)</w:t>
            </w:r>
          </w:p>
        </w:tc>
      </w:tr>
      <w:tr>
        <w:trPr>
          <w:trHeight w:val="210"/>
        </w:trPr>
        <w:tc>
          <w:tcPr>
            <w:tcW w:w="65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203,050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241,540</w:t>
            </w:r>
          </w:p>
        </w:tc>
        <w:tc>
          <w:tcPr>
            <w:tcW w:w="100" w:type="dxa"/>
            <w:vAlign w:val="bottom"/>
            <w:tcBorders>
              <w:top w:val="single" w:sz="8" w:color="CFF0FC"/>
            </w:tcBorders>
          </w:tcPr>
          <w:p>
            <w:pPr>
              <w:spacing w:after="0"/>
              <w:rPr>
                <w:sz w:val="18"/>
                <w:szCs w:val="18"/>
                <w:color w:val="auto"/>
              </w:rPr>
            </w:pPr>
          </w:p>
        </w:tc>
      </w:tr>
      <w:tr>
        <w:trPr>
          <w:trHeight w:val="230"/>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241,742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276,883</w:t>
            </w:r>
          </w:p>
        </w:tc>
        <w:tc>
          <w:tcPr>
            <w:tcW w:w="100" w:type="dxa"/>
            <w:vAlign w:val="bottom"/>
            <w:shd w:val="clear" w:color="auto" w:fill="CFF0FC"/>
          </w:tcPr>
          <w:p>
            <w:pPr>
              <w:spacing w:after="0"/>
              <w:rPr>
                <w:sz w:val="19"/>
                <w:szCs w:val="19"/>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-3119755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-2270760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-1979295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allowance for doubtful accounts of $274 and $323 as of March 31, 2026 and December 31, 2025, respectively.</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$625 and $0 as of March 31, 2026 and December 31, 2025, respectively (see Note 15).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$551 and $703 as of March 31, 2026 and December 31, 2025, respectively (see Note 15).</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6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20" w:type="dxa"/>
            <w:vAlign w:val="bottom"/>
          </w:tcPr>
          <w:p>
            <w:pPr>
              <w:spacing w:after="0"/>
              <w:rPr>
                <w:sz w:val="18"/>
                <w:szCs w:val="18"/>
                <w:color w:val="auto"/>
              </w:rPr>
            </w:pPr>
          </w:p>
        </w:tc>
      </w:tr>
      <w:tr>
        <w:trPr>
          <w:trHeight w:val="209"/>
        </w:trPr>
        <w:tc>
          <w:tcPr>
            <w:tcW w:w="6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Cost of product revenue</w:t>
            </w:r>
            <w:r>
              <w:rPr>
                <w:rFonts w:ascii="Times New Roman" w:cs="Times New Roman" w:eastAsia="Times New Roman" w:hAnsi="Times New Roman"/>
                <w:sz w:val="24"/>
                <w:szCs w:val="24"/>
                <w:color w:val="auto"/>
                <w:vertAlign w:val="superscript"/>
              </w:rPr>
              <w:t>(1)</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(2)</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12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20" w:type="dxa"/>
            <w:vAlign w:val="bottom"/>
          </w:tcPr>
          <w:p>
            <w:pPr>
              <w:spacing w:after="0"/>
              <w:rPr>
                <w:sz w:val="18"/>
                <w:szCs w:val="18"/>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(43,136)</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(16,922)</w:t>
            </w:r>
          </w:p>
        </w:tc>
      </w:tr>
      <w:tr>
        <w:trPr>
          <w:trHeight w:val="209"/>
        </w:trPr>
        <w:tc>
          <w:tcPr>
            <w:tcW w:w="6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8"/>
                <w:szCs w:val="18"/>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(16,289)</w:t>
            </w:r>
          </w:p>
        </w:tc>
      </w:tr>
      <w:tr>
        <w:trPr>
          <w:trHeight w:val="209"/>
        </w:trPr>
        <w:tc>
          <w:tcPr>
            <w:tcW w:w="6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(loss), net of tax</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65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(16,297)</w:t>
            </w: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3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(0.14)</w:t>
            </w:r>
          </w:p>
        </w:tc>
      </w:tr>
      <w:tr>
        <w:trPr>
          <w:trHeight w:val="196"/>
        </w:trPr>
        <w:tc>
          <w:tcPr>
            <w:tcW w:w="6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309,670,101</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119,883,479</w:t>
            </w:r>
          </w:p>
        </w:tc>
        <w:tc>
          <w:tcPr>
            <w:tcW w:w="120" w:type="dxa"/>
            <w:vAlign w:val="bottom"/>
            <w:tcBorders>
              <w:top w:val="single" w:sz="8" w:color="CFF0FC"/>
            </w:tcBorders>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-2202180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-2202180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-1645285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-1353820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$550 and $452 for the three months ended March 31, 2026 and 2025, respectively (see Note 15).</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$1,127 and $1,128 for the three months ended March 31, 2026 and 2025, respectively (see Note 15).</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500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5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880" w:type="dxa"/>
            <w:vAlign w:val="bottom"/>
            <w:gridSpan w:val="4"/>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13"/>
                <w:szCs w:val="13"/>
                <w:color w:val="auto"/>
              </w:rPr>
            </w:pPr>
          </w:p>
        </w:tc>
        <w:tc>
          <w:tcPr>
            <w:tcW w:w="188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4"/>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sive</w:t>
            </w: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8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8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281,987,</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1,196,03</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 (954,483)</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tcBorders>
              <w:right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660,999</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840" w:type="dxa"/>
            <w:vAlign w:val="bottom"/>
            <w:tcBorders>
              <w:right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net of tax</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right w:val="single" w:sz="8" w:color="CFF0FC"/>
            </w:tcBorders>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(41,400)</w:t>
            </w:r>
          </w:p>
        </w:tc>
        <w:tc>
          <w:tcPr>
            <w:tcW w:w="0" w:type="dxa"/>
            <w:vAlign w:val="bottom"/>
          </w:tcPr>
          <w:p>
            <w:pPr>
              <w:spacing w:after="0"/>
              <w:rPr>
                <w:sz w:val="1"/>
                <w:szCs w:val="1"/>
                <w:color w:val="auto"/>
              </w:rPr>
            </w:pPr>
          </w:p>
        </w:tc>
      </w:tr>
      <w:tr>
        <w:trPr>
          <w:trHeight w:val="191"/>
        </w:trPr>
        <w:tc>
          <w:tcPr>
            <w:tcW w:w="3180" w:type="dxa"/>
            <w:vAlign w:val="bottom"/>
            <w:tcBorders>
              <w:right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86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282,803,</w:t>
            </w: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84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1,198,94</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180" w:type="dxa"/>
            <w:vAlign w:val="bottom"/>
            <w:tcBorders>
              <w:right w:val="single" w:sz="8" w:color="CFF0FC"/>
            </w:tcBorders>
            <w:shd w:val="clear" w:color="auto" w:fill="CFF0FC"/>
          </w:tcPr>
          <w:p>
            <w:pPr>
              <w:spacing w:after="0"/>
              <w:rPr>
                <w:sz w:val="23"/>
                <w:szCs w:val="23"/>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40" w:type="dxa"/>
            <w:vAlign w:val="bottom"/>
            <w:tcBorders>
              <w:right w:val="single" w:sz="8" w:color="CFF0FC"/>
            </w:tcBorders>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right w:val="single" w:sz="8" w:color="CFF0FC"/>
            </w:tcBorders>
            <w:shd w:val="clear" w:color="auto" w:fill="CFF0FC"/>
          </w:tcPr>
          <w:p>
            <w:pPr>
              <w:spacing w:after="0"/>
              <w:rPr>
                <w:sz w:val="23"/>
                <w:szCs w:val="23"/>
                <w:color w:val="auto"/>
              </w:rPr>
            </w:pPr>
          </w:p>
        </w:tc>
        <w:tc>
          <w:tcPr>
            <w:tcW w:w="840" w:type="dxa"/>
            <w:vAlign w:val="bottom"/>
            <w:tcBorders>
              <w:right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(995,883)</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203,050</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318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20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CFF0FC"/>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880" w:type="dxa"/>
            <w:vAlign w:val="bottom"/>
            <w:gridSpan w:val="4"/>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13"/>
                <w:szCs w:val="13"/>
                <w:color w:val="auto"/>
              </w:rPr>
            </w:pPr>
          </w:p>
        </w:tc>
        <w:tc>
          <w:tcPr>
            <w:tcW w:w="188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4"/>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sive</w:t>
            </w: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8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80" w:type="dxa"/>
            <w:vAlign w:val="bottom"/>
            <w:tcBorders>
              <w:right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860" w:type="dxa"/>
            <w:vAlign w:val="bottom"/>
            <w:tcBorders>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119,835,</w:t>
            </w: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84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Borders>
              <w:right w:val="single" w:sz="8" w:color="CFF0FC"/>
            </w:tcBorders>
            <w:shd w:val="clear" w:color="auto" w:fill="CFF0FC"/>
          </w:tcPr>
          <w:p>
            <w:pPr>
              <w:spacing w:after="0"/>
              <w:rPr>
                <w:sz w:val="20"/>
                <w:szCs w:val="20"/>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right w:val="single" w:sz="8" w:color="CFF0FC"/>
            </w:tcBorders>
            <w:shd w:val="clear" w:color="auto" w:fill="CFF0FC"/>
          </w:tcPr>
          <w:p>
            <w:pPr>
              <w:spacing w:after="0"/>
              <w:rPr>
                <w:sz w:val="20"/>
                <w:szCs w:val="20"/>
                <w:color w:val="auto"/>
              </w:rPr>
            </w:pPr>
          </w:p>
        </w:tc>
        <w:tc>
          <w:tcPr>
            <w:tcW w:w="840" w:type="dxa"/>
            <w:vAlign w:val="bottom"/>
            <w:tcBorders>
              <w:right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$ 969,526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7"/>
              </w:rPr>
              <w:t>$ (901,994)</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(16,289)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(16,289)</w:t>
            </w:r>
          </w:p>
        </w:tc>
        <w:tc>
          <w:tcPr>
            <w:tcW w:w="0" w:type="dxa"/>
            <w:vAlign w:val="bottom"/>
          </w:tcPr>
          <w:p>
            <w:pPr>
              <w:spacing w:after="0"/>
              <w:rPr>
                <w:sz w:val="1"/>
                <w:szCs w:val="1"/>
                <w:color w:val="auto"/>
              </w:rPr>
            </w:pPr>
          </w:p>
        </w:tc>
      </w:tr>
      <w:tr>
        <w:trPr>
          <w:trHeight w:val="191"/>
        </w:trPr>
        <w:tc>
          <w:tcPr>
            <w:tcW w:w="3180" w:type="dxa"/>
            <w:vAlign w:val="bottom"/>
            <w:tcBorders>
              <w:right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86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119,961,</w:t>
            </w: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84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180" w:type="dxa"/>
            <w:vAlign w:val="bottom"/>
            <w:tcBorders>
              <w:right w:val="single" w:sz="8" w:color="CFF0FC"/>
            </w:tcBorders>
            <w:shd w:val="clear" w:color="auto" w:fill="CFF0FC"/>
          </w:tcPr>
          <w:p>
            <w:pPr>
              <w:spacing w:after="0"/>
              <w:rPr>
                <w:sz w:val="22"/>
                <w:szCs w:val="22"/>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right w:val="single" w:sz="8" w:color="CFF0FC"/>
            </w:tcBorders>
            <w:shd w:val="clear" w:color="auto" w:fill="CFF0FC"/>
          </w:tcPr>
          <w:p>
            <w:pPr>
              <w:spacing w:after="0"/>
              <w:rPr>
                <w:sz w:val="22"/>
                <w:szCs w:val="22"/>
                <w:color w:val="auto"/>
              </w:rPr>
            </w:pPr>
          </w:p>
        </w:tc>
        <w:tc>
          <w:tcPr>
            <w:tcW w:w="840" w:type="dxa"/>
            <w:vAlign w:val="bottom"/>
            <w:tcBorders>
              <w:right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$ 972,433</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(918,283)</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-2133600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-2117090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-2133600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-2117090</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-2133600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-2117090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-2133600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-2117090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-2133600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-2117090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-2133600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-2117090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-2133600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-2117090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-8255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-8255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-8255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7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4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7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(16,289)</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(11,566)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(10,009)</w:t>
            </w:r>
          </w:p>
        </w:tc>
      </w:tr>
      <w:tr>
        <w:trPr>
          <w:trHeight w:val="216"/>
        </w:trPr>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10"/>
        </w:trPr>
        <w:tc>
          <w:tcPr>
            <w:tcW w:w="72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(41,712)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(21,129)</w:t>
            </w:r>
          </w:p>
        </w:tc>
      </w:tr>
      <w:tr>
        <w:trPr>
          <w:trHeight w:val="209"/>
        </w:trPr>
        <w:tc>
          <w:tcPr>
            <w:tcW w:w="7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72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for at-the-market offering costs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for underwritten public offering costs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2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(21,271)</w:t>
            </w:r>
          </w:p>
        </w:tc>
      </w:tr>
      <w:tr>
        <w:trPr>
          <w:trHeight w:val="216"/>
        </w:trPr>
        <w:tc>
          <w:tcPr>
            <w:tcW w:w="7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226,689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184,153</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10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 accrued expenses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-2153920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-2153920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-1871345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-1871345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-1031240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-1031240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-739775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-456565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29"/>
        <w:spacing w:after="0" w:line="266" w:lineRule="auto"/>
        <w:rPr>
          <w:sz w:val="20"/>
          <w:szCs w:val="20"/>
          <w:color w:val="auto"/>
        </w:rPr>
      </w:pPr>
      <w:r>
        <w:rPr>
          <w:rFonts w:ascii="Times New Roman" w:cs="Times New Roman" w:eastAsia="Times New Roman" w:hAnsi="Times New Roman"/>
          <w:sz w:val="18"/>
          <w:szCs w:val="18"/>
          <w:color w:val="auto"/>
        </w:rPr>
        <w:t>Invivyd, Inc. (the “Company”) is a biopharmaceutical company focused on the discovery, development and commercialization of monoclonal antibody (“mAb”) therapies for the prevention and treatment of serious viral infectious diseases, beginning with SARS-CoV-2, the virus that causes COVID-19, and expanding into other high-need indications, such as respiratory syncytial virus (“RSV”) and measles.</w:t>
      </w:r>
    </w:p>
    <w:p>
      <w:pPr>
        <w:spacing w:after="0" w:line="176" w:lineRule="exact"/>
        <w:rPr>
          <w:sz w:val="20"/>
          <w:szCs w:val="20"/>
          <w:color w:val="auto"/>
        </w:rPr>
      </w:pPr>
    </w:p>
    <w:p>
      <w:pPr>
        <w:jc w:val="both"/>
        <w:ind w:firstLine="529"/>
        <w:spacing w:after="0" w:line="258" w:lineRule="auto"/>
        <w:rPr>
          <w:sz w:val="20"/>
          <w:szCs w:val="20"/>
          <w:color w:val="auto"/>
        </w:rPr>
      </w:pPr>
      <w:r>
        <w:rPr>
          <w:rFonts w:ascii="Times New Roman" w:cs="Times New Roman" w:eastAsia="Times New Roman" w:hAnsi="Times New Roman"/>
          <w:sz w:val="18"/>
          <w:szCs w:val="18"/>
          <w:color w:val="auto"/>
        </w:rPr>
        <w:t>On March 22, 2024, the Company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w:t>
      </w:r>
    </w:p>
    <w:p>
      <w:pPr>
        <w:spacing w:after="0" w:line="183" w:lineRule="exact"/>
        <w:rPr>
          <w:sz w:val="20"/>
          <w:szCs w:val="20"/>
          <w:color w:val="auto"/>
        </w:rPr>
      </w:pPr>
    </w:p>
    <w:p>
      <w:pPr>
        <w:jc w:val="both"/>
        <w:ind w:firstLine="529"/>
        <w:spacing w:after="0" w:line="252" w:lineRule="auto"/>
        <w:rPr>
          <w:sz w:val="20"/>
          <w:szCs w:val="20"/>
          <w:color w:val="auto"/>
        </w:rPr>
      </w:pPr>
      <w:r>
        <w:rPr>
          <w:rFonts w:ascii="Times New Roman" w:cs="Times New Roman" w:eastAsia="Times New Roman" w:hAnsi="Times New Roman"/>
          <w:sz w:val="18"/>
          <w:szCs w:val="18"/>
          <w:color w:val="auto"/>
        </w:rPr>
        <w:t>In January 2024, the Company nominated VYD2311, a next generation mAb candidate for COVID-19, as a drug candidate. VYD2311 is a mAb with high in vitro neutralization potency shown against prominent SARS-CoV-2 variants tested to date. In October 2025, the Company announced that the FDA cleared the Company’s Investigational New Drug (“IND”) application for VYD2311 and provided feedback to advance the Company’s REVOLUTION clinical program, Invivyd’s development program for VYD2311. The REVOLUTION clinical program includes three clinical trials, DECLARATION, LIBERTY, and DRUMMER. In December 2025, the Company initiated DECLARATION, which is a Phase 3 randomized, triple-blind, placebo-controlled clinical trial to evaluate VYD2311 safety and efficacy in prevention of symptomatic, RT-PCR-confirmed COVID-19 at three months, with either a single dose or monthly doses of VYD2311, each administered via intramuscular injection, compared to placebo. DECLARATION is designed to support potential Biologics License Application (“BLA”) submission, with top-line data anticipated in the third quarter of 2026. In February 2026, the Company announced alignment with the FDA on LIBERTY, which is designed as a Phase 3, randomized, double-blind clinical trial to evaluate the safety, serum virus neutralizing antibody responses, and pharmacokinetics of (1) VYD2311, (2) an mRNA COVID vaccine, and (3) co-administered VYD2311 with an mRNA COVID vaccine. Additionally, the Company has agreed with the FDA on an initial Pediatric Study Plan for an efficient safety and immunobridging clinical trial to support potential BLA for VYD2311 in children aged 0-11 years. This DRUMMER pediatric clinical trial will be actioned only if the pivotal DECLARATION clinical trial is successful. The FDA has granted “Fast Track” designation for VYD2311 for the prevention of COVID-19 in individuals with underlying risk factors for progression to severe disease. Fast Track designation is a process designed to facilitate the development and expedite the regulatory review of drugs to treat serious conditions and fill an unmet medical need, including eligibility for priority review and rolling review of BLA submissions, if specified criteria are met.</w:t>
      </w:r>
    </w:p>
    <w:p>
      <w:pPr>
        <w:spacing w:after="0" w:line="87" w:lineRule="exact"/>
        <w:rPr>
          <w:sz w:val="20"/>
          <w:szCs w:val="20"/>
          <w:color w:val="auto"/>
        </w:rPr>
      </w:pPr>
    </w:p>
    <w:p>
      <w:pPr>
        <w:jc w:val="both"/>
        <w:ind w:firstLine="529"/>
        <w:spacing w:after="0" w:line="256" w:lineRule="auto"/>
        <w:rPr>
          <w:sz w:val="20"/>
          <w:szCs w:val="20"/>
          <w:color w:val="auto"/>
        </w:rPr>
      </w:pPr>
      <w:r>
        <w:rPr>
          <w:rFonts w:ascii="Times New Roman" w:cs="Times New Roman" w:eastAsia="Times New Roman" w:hAnsi="Times New Roman"/>
          <w:sz w:val="18"/>
          <w:szCs w:val="18"/>
          <w:color w:val="auto"/>
        </w:rPr>
        <w:t>In addition to the Company’s COVID-19 programs, in November 2025, the Company announced the selection of VBY329, a potential best-in-class mAb candidate being developed for the prevention of RSV infections in neonates, infants and children. The Company expects to advance VBY329 toward IND readiness in the second half of 2026. Also, in April 2026, the Company announced the discovery and advancement of VMS063, a novel, highly potent, half-life-extended, high resistance barrier measles mAb candidate. The Company has begun IND-enablement and regulatory outreach to support rapid VMS063 development, with the goal of expedited development with target IND readiness in late 2026. Through the Company’s proprietary technology platform, the Company continues to investigate additional mAbs for protection and treatment of other important infectious diseases.</w:t>
      </w:r>
    </w:p>
    <w:p>
      <w:pPr>
        <w:spacing w:after="0" w:line="295" w:lineRule="exact"/>
        <w:rPr>
          <w:sz w:val="20"/>
          <w:szCs w:val="20"/>
          <w:color w:val="auto"/>
        </w:rPr>
      </w:pPr>
    </w:p>
    <w:p>
      <w:pPr>
        <w:jc w:val="both"/>
        <w:ind w:firstLine="529"/>
        <w:spacing w:after="0" w:line="266"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hybrid company with employees working at its corporate headquarters in New Haven, Connecticut, and remotely. The Company leases dedicated laboratory and office space in Newton, Massachusetts for research and development purposes.</w:t>
      </w:r>
    </w:p>
    <w:p>
      <w:pPr>
        <w:spacing w:after="0" w:line="176" w:lineRule="exact"/>
        <w:rPr>
          <w:sz w:val="20"/>
          <w:szCs w:val="20"/>
          <w:color w:val="auto"/>
        </w:rPr>
      </w:pPr>
    </w:p>
    <w:p>
      <w:pPr>
        <w:jc w:val="both"/>
        <w:ind w:firstLine="529"/>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risks associated with market acceptance and commercialization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Substantial Doubt about Ability to Continue as a Going Concern</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 public offering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(“IPO”), net proceeds received from shares of common stock sold under the Sales Agreement (as defined below) and net proceeds received from shares of common stock and pre-funded warrants sold under the Underwriting Agreements (as defined below). After receiving EUA in March 2024, the Company has also funded its operations from sales of PEMGARDA.</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its inception, including a net loss of $41.4 million for the three months ended March 31, 2026. As of March 31, 2026, the Company had an accumulated deficit of $995.9 million. The Company may continue to generate operating losses for the foreseeable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current operating plans and excluding future external financing, the Company will not have sufficient cash and cash equivalents to fund its operating expenses and capital requirements beyond one year from the issuance of these condensed consolidated financial statements, and therefore, the Company has concluded that there is substantial doubt about its ability to continue as a going concern.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 The accompanying condensed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Invivyd, Inc. and its wholly owned subsidiaries, Invivyd Security Corporation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March 31, 2026, the condensed consolidated statements of operations and comprehensive loss for the three months ended March 31, 2026 and 2025, the condensed consolidated statements of cash flows for the three months ended March 31, 2026 and 2025 and the condensed consolidated statements of stockholders’ equity for the three months ended March 31, 2026 and 2025 are unaudited.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March 31, 2026 and for the three months ended March 31, 2026 and 2025 have been prepared by the Company pursuant to the rules and regulations of the U.S. Securities and Exchange Commission (“SEC”) for interim financial statements. The accompanying condensed consolidated balance sheet as of December 31, 2025 was derived from audited financial statements, but does not include all disclosures required by U.S. GAAP. Certain information and footnote disclosures 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2025, which are included in the Company’s Annual Report on Form 10-K for the year ended December 31, 2025, as filed with the SEC on March 5, 2026 (the “2025 Form 10-K”).</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March 31, 2026 and December 31, 2025, the condensed consolidated results of operations for the three months ended March 31, 2026 and 2025, the condensed consolidated cash flows for the three months ended March 31, 2026 and 2025, and changes in stockholders’ equity for the three months ended March 31, 2026 and 2025 have been made. The Company’s condensed consolidated results of operations for the three months ended March 31, 2026 are not necessarily indicative of the results of operations that may be expected for the year ending December 31, 2026.</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significant accounting policies and estimates, which are detailed in the Company’s 2025 Form 10-K, have not materially changed.</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periods. Significant estimates and assumptions reflected in these condensed consolidated financial statements include, but are not limited to, research and development expenses and related prepaid or accrued costs, stock-based compensation expense, revenue, including discounts and allowances, and inventory obsolescence. The Company bases its estimates on historical experience, known trends, expected future internal sales forecasts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 If actual market conditions are less favorable than those projected by management or in the event of an adverse FDA action, inventory write-downs may be required.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of cash, cash equivalents and accounts receivable. As of March 31, 2026, the Company invested its excess cash in money market funds that are subject to minimal credit and market risks. The Company maintains its existing cash and cash equivalents at two accredited financial institutions. From time to time, these deposits may exceed federally insured limits. The Company has not experienced any losses historically in these accounts. Accordingly, the Company does not believe it is exposed to unusual credit risk related to its existing cash and cash equivalents beyond the normal credit risk associated with commercial banking relationships.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customer concentration of accounts receivable from those detailed in the Company’s 2025 Form 10-K. As of March 31, 2026, the Company recorded an allowance for doubtful accounts of $0.3 million related to one direct customer.</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and will remain an emerging growth company until December 31, 2026.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potential impact of ASU 2024-03 on its consolidated financial statement disclosures.</w:t>
      </w:r>
    </w:p>
    <w:p>
      <w:pPr>
        <w:spacing w:after="0" w:line="71" w:lineRule="exact"/>
        <w:rPr>
          <w:sz w:val="20"/>
          <w:szCs w:val="20"/>
          <w:color w:val="auto"/>
        </w:rPr>
      </w:pPr>
    </w:p>
    <w:p>
      <w:pPr>
        <w:ind w:left="520" w:right="878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b w:val="1"/>
          <w:bCs w:val="1"/>
          <w:i w:val="1"/>
          <w:iCs w:val="1"/>
          <w:color w:val="auto"/>
        </w:rPr>
        <w:t>Fair Value Measurements</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20" w:hanging="553"/>
        <w:spacing w:after="0"/>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1020" w:right="20" w:hanging="55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1020" w:right="20" w:hanging="567"/>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181,561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181,561</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181,561</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181,561</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5"/>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224,172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224,172</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224,172</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224,172</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-1104900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-1104900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-1104900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money market funds were valued by the Company based on quoted market prices, which represent a Level 1 measurement within the fair value hierarchy.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three months ended March 31, 2026.</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three months ended March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non-current inventories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25,452</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March 31, 2026, $0.3 million of finished goods inventory was classified as a current asset and included within prepaid expenses and other current assets in the condensed consolidated balance sheet. Please refer to Note 5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374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2,614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Prepaid corporate communication costs</w:t>
            </w: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6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inventory, current</w:t>
            </w:r>
          </w:p>
        </w:tc>
        <w:tc>
          <w:tcPr>
            <w:tcW w:w="26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2,567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8"/>
                <w:szCs w:val="18"/>
                <w:color w:val="auto"/>
              </w:rPr>
            </w:pPr>
          </w:p>
        </w:tc>
      </w:tr>
      <w:tr>
        <w:trPr>
          <w:trHeight w:val="250"/>
        </w:trPr>
        <w:tc>
          <w:tcPr>
            <w:tcW w:w="5120" w:type="dxa"/>
            <w:vAlign w:val="bottom"/>
            <w:shd w:val="clear" w:color="auto" w:fill="CFF0FC"/>
          </w:tcPr>
          <w:p>
            <w:pPr>
              <w:spacing w:after="0"/>
              <w:rPr>
                <w:sz w:val="21"/>
                <w:szCs w:val="21"/>
                <w:color w:val="auto"/>
              </w:rPr>
            </w:pPr>
          </w:p>
        </w:tc>
        <w:tc>
          <w:tcPr>
            <w:tcW w:w="374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9,114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shd w:val="clear" w:color="auto" w:fill="CFF0FC"/>
          </w:tcPr>
          <w:p>
            <w:pPr>
              <w:spacing w:after="0"/>
              <w:rPr>
                <w:sz w:val="21"/>
                <w:szCs w:val="21"/>
                <w:color w:val="auto"/>
              </w:rPr>
            </w:pPr>
          </w:p>
        </w:tc>
      </w:tr>
      <w:tr>
        <w:trPr>
          <w:trHeight w:val="628"/>
        </w:trPr>
        <w:tc>
          <w:tcPr>
            <w:tcW w:w="5120" w:type="dxa"/>
            <w:vAlign w:val="bottom"/>
            <w:tcBorders>
              <w:top w:val="single" w:sz="8" w:color="CFF0FC"/>
            </w:tcBorders>
          </w:tcPr>
          <w:p>
            <w:pPr>
              <w:spacing w:after="0"/>
              <w:rPr>
                <w:sz w:val="24"/>
                <w:szCs w:val="24"/>
                <w:color w:val="auto"/>
              </w:rPr>
            </w:pPr>
          </w:p>
        </w:tc>
        <w:tc>
          <w:tcPr>
            <w:tcW w:w="2620" w:type="dxa"/>
            <w:vAlign w:val="bottom"/>
            <w:tcBorders>
              <w:top w:val="single" w:sz="8" w:color="CFF0FC"/>
            </w:tcBorders>
          </w:tcPr>
          <w:p>
            <w:pPr>
              <w:jc w:val="right"/>
              <w:ind w:right="199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-916940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1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8"/>
                <w:szCs w:val="18"/>
                <w:color w:val="auto"/>
              </w:rPr>
            </w:pPr>
          </w:p>
        </w:tc>
      </w:tr>
      <w:tr>
        <w:trPr>
          <w:trHeight w:val="230"/>
        </w:trPr>
        <w:tc>
          <w:tcPr>
            <w:tcW w:w="6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00" w:type="dxa"/>
            <w:vAlign w:val="bottom"/>
            <w:shd w:val="clear" w:color="auto" w:fill="CFF0FC"/>
          </w:tcPr>
          <w:p>
            <w:pPr>
              <w:spacing w:after="0"/>
              <w:rPr>
                <w:sz w:val="19"/>
                <w:szCs w:val="19"/>
                <w:color w:val="auto"/>
              </w:rPr>
            </w:pP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(the “Adimab Assignment Agreement”) with Adimab, LLC (“Adimab”).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IND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During both the three months ended March 31, 2026 and 2025, the Company did not recognize any research and development expense with respect to services performed by Adimab on the Company’s behalf under the Adimab Assignment Agreement. Please refer to Note 15 for additional information.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through March 31, 2026;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next potential milestone under the Adimab Assignment Agreement is a low single-digit million-dollar regulatory milestone, which was not considered probable under U.S. GAAP and therefore, no expense was recognized as of March 31, 2026.</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Company did not recognize any in-process research and development (“IPR&amp;D”) expense with respect to contingent consideration payable under the Adimab Assignment Agreement. Except for milestone payments of $11.1 million incurred through December 31, 2023, no other milestone payments have been paid to or have been earned by Adimab through March 31, 2026.</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During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the three months ended March 31, 2026 and 2025, the Company expensed $0.6 million and $0.5 million of royalties, respectively, while reserving all rights under the Adimab Assignment Agreement and the applicable law. In addition, the Company is obligated to pay Adimab royalties of a specified percentage in the range of 45% to 55% of any compulsory sublicense consideration received by the Company in lieu of certain royalty payments.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During both the three months ended March 31, 2026 and 2025, the Company recognized $0.6 million of research and development expense related to the quarterly fee.</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both the three months ended March 31, 2026 and 2025, the Company did not recognize any research and development expense with respect to services performed by Adimab on the Company’s behalf under the Adimab Collaboration Agreement. During both the three months ended March 31, 2026 and 2025, the Company did not recognize any IPR&amp;D expense related to drug delivery fees, optimization completion fees or option exercise fees. Please refer to Note 15 for additional information.</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March 31, 2026. The Company is also obligated to pay Adimab royalties of a mid-single-digit percentage based on net sales of any product under the Adimab Collaboration Agreement, subject to</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March 31, 2026, no royalty payments have been paid to or have been earned by Adimab under the Adimab Collaboration Agreement.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both the three months ended March 31, 2026 and 2025, the Company recognized $0.5 million of research and development expense related to the annual fee under the Adimab Platform Transfer Agreement.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March 31, 2026.</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March 31, 2026, no royalty payments have been paid to or have been earned by Adimab under the Adimab Platform Transfer Agreement.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Biologics Cell Line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as amended in February 2023, March 2024 and March 2026,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2020, the Company recognized an upfront fee of $0.2 million upon completion of cell bank generation for the first Licensed Cell Line created under the Cell Line License Agreement.</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with respect to certain Licensed Products by making a one-time payment in the low eight-figures to WuXi Biologics and with respect to certain other Licensed Products by making a one-time payment in the middle-seven 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The royalty obligation shall be waived to the extent the royalty obligation is derived or arising from a Licensed Product sold in the U.S. if the Company’s ability to have such Licensed Product manufactured by WuXi Biologics becomes materially restricted due to certain government actions, with such waiver continuing for so long as such government action continues. Through March 31, 2026, no royalties had become due to WuXi Biologics.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three months ended March 31, 2026 and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Population Health Partners, L.P.</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July 2024.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Company did not pay any cash compensation to PHP and therefore did not recognize any research and development expense related thereto.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72" w:lineRule="exact"/>
        <w:rPr>
          <w:sz w:val="20"/>
          <w:szCs w:val="20"/>
          <w:color w:val="auto"/>
        </w:rPr>
      </w:pPr>
    </w:p>
    <w:p>
      <w:pPr>
        <w:ind w:left="1020" w:right="32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the Company’s common stock underlying the PHP Warrant vests if the Company’s Market Capitalization (as defined below) equals or exceeds $758,517,511 by November 15, 2028;</w:t>
      </w:r>
    </w:p>
    <w:p>
      <w:pPr>
        <w:spacing w:after="0" w:line="202" w:lineRule="exact"/>
        <w:rPr>
          <w:rFonts w:ascii="Times New Roman" w:cs="Times New Roman" w:eastAsia="Times New Roman" w:hAnsi="Times New Roman"/>
          <w:sz w:val="18"/>
          <w:szCs w:val="18"/>
          <w:color w:val="auto"/>
        </w:rPr>
      </w:pPr>
    </w:p>
    <w:p>
      <w:pPr>
        <w:ind w:left="1020" w:right="46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the Company’s common stock underlying the PHP Warrant vests if the Company’s Market Capitalization equals or exceeds $1,137,776,266 by November 15, 2029; and</w:t>
      </w:r>
    </w:p>
    <w:p>
      <w:pPr>
        <w:spacing w:after="0" w:line="202" w:lineRule="exact"/>
        <w:rPr>
          <w:rFonts w:ascii="Times New Roman" w:cs="Times New Roman" w:eastAsia="Times New Roman" w:hAnsi="Times New Roman"/>
          <w:sz w:val="18"/>
          <w:szCs w:val="18"/>
          <w:color w:val="auto"/>
        </w:rPr>
      </w:pPr>
    </w:p>
    <w:p>
      <w:pPr>
        <w:ind w:left="1020" w:right="46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the Company’s common stock underlying the PHP Warrant vests if the Company’s Market Capitalization equals or exceeds $1,517,035,022 by November 15, 2030.</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 As of March 31, 2026, no portion of the PHP Warrant had vested.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for additional information on the PHP Warrant.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(the “Newton, MA Lease”), which was amended in September 2022. Pursuant to the amended Newton, MA Lease, the Company entered into a two-year noncancelable agreement for new dedicated laboratory and office space in Newton, Massachusetts, on the same campus as, and in lieu of, the space leased under the original lease. The Company took occupancy of the new dedicated laboratory and office space in December 2022. The amended Newton, MA Lease provided for monthly rental payments, including base rent charges of $1.3 million per year. In August 2024 and May 2025, the Newton, MA Lease was further amended to extend the lease through December 2027, with an option to further extend the lease for an additional twenty-four months or continue the lease on a month-to-month basis after completion of the term ending in December 2027.</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February 2026, the Company further amended the Newton, MA Lease to add additional dedicated laboratory space, which commenced on March 1, 2026. The amendment provides for incremental annual base rent of $0.3 million for the remainder of the lease term, through December 2027.</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short-term lease agreement for approximately 13,600 square feet of office space in New Haven, Connecticut, with an original term of 12 months. The Company has elected the short-term lease recognition exemption under ASC Topic 842 – Leases and therefore has not recognized a right-of-use asset or lease liability on the balance sheet. For the three months ended March 31, 2026, base rent charges of less than $0.1 million were incurred. There were no related expenses incurred for the three months ended March 31, 2025.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In January 2026, the Company entered into an agreement to lease approximately 33,000 square feet of office space in New Haven, Connecticut (the “New Haven Lease”). The New Haven Lease commenced in March 2026 and has an initial term of one hundred twenty-nine months.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obligation for the payment of rent for the premises begins six months after the lease commencement date and total future minimum lease payments are expected to be $10.9 million. The lease includes a tenant improvement allowance of approximately $1.0 million.</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terms of the New Haven Lease, the Company made a security deposit of $1.0 million in the form of a letter of credit, which will be reduced by 50% in September 2027, following the first twelve months of rent payments.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90"/>
        </w:trPr>
        <w:tc>
          <w:tcPr>
            <w:tcW w:w="6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85"/>
        </w:trPr>
        <w:tc>
          <w:tcPr>
            <w:tcW w:w="6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r>
      <w:tr>
        <w:trPr>
          <w:trHeight w:val="20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cost:</w:t>
            </w: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tcPr>
          <w:p>
            <w:pPr>
              <w:spacing w:after="0"/>
              <w:rPr>
                <w:sz w:val="18"/>
                <w:szCs w:val="18"/>
                <w:color w:val="auto"/>
              </w:rPr>
            </w:pPr>
          </w:p>
        </w:tc>
      </w:tr>
      <w:tr>
        <w:trPr>
          <w:trHeight w:val="216"/>
        </w:trPr>
        <w:tc>
          <w:tcPr>
            <w:tcW w:w="6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Variable lease cost</w:t>
            </w: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6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-582295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-582295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March 31, 2026 was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40" w:type="dxa"/>
            <w:vAlign w:val="bottom"/>
          </w:tcPr>
          <w:p>
            <w:pPr>
              <w:spacing w:after="0"/>
              <w:rPr>
                <w:sz w:val="15"/>
                <w:szCs w:val="15"/>
                <w:color w:val="auto"/>
              </w:rPr>
            </w:pPr>
          </w:p>
        </w:tc>
        <w:tc>
          <w:tcPr>
            <w:tcW w:w="3440" w:type="dxa"/>
            <w:vAlign w:val="bottom"/>
            <w:gridSpan w:val="2"/>
          </w:tcPr>
          <w:p>
            <w:pPr>
              <w:jc w:val="right"/>
              <w:ind w:right="170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8"/>
                <w:szCs w:val="18"/>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8"/>
                <w:szCs w:val="18"/>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tcPr>
          <w:p>
            <w:pPr>
              <w:spacing w:after="0"/>
              <w:rPr>
                <w:sz w:val="18"/>
                <w:szCs w:val="18"/>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40" w:type="dxa"/>
            <w:vAlign w:val="bottom"/>
            <w:shd w:val="clear" w:color="auto" w:fill="CFF0FC"/>
          </w:tcPr>
          <w:p>
            <w:pPr>
              <w:spacing w:after="0"/>
              <w:rPr>
                <w:sz w:val="18"/>
                <w:szCs w:val="18"/>
                <w:color w:val="auto"/>
              </w:rPr>
            </w:pP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Less: tenant improvement allowance reimbursements yet to be received</w:t>
            </w:r>
          </w:p>
        </w:tc>
        <w:tc>
          <w:tcPr>
            <w:tcW w:w="840" w:type="dxa"/>
            <w:vAlign w:val="bottom"/>
          </w:tcPr>
          <w:p>
            <w:pPr>
              <w:spacing w:after="0"/>
              <w:rPr>
                <w:sz w:val="18"/>
                <w:szCs w:val="18"/>
                <w:color w:val="auto"/>
              </w:rPr>
            </w:pPr>
          </w:p>
        </w:tc>
        <w:tc>
          <w:tcPr>
            <w:tcW w:w="3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adjustment</w:t>
            </w:r>
          </w:p>
        </w:tc>
        <w:tc>
          <w:tcPr>
            <w:tcW w:w="840" w:type="dxa"/>
            <w:vAlign w:val="bottom"/>
            <w:shd w:val="clear" w:color="auto" w:fill="CFF0FC"/>
          </w:tcPr>
          <w:p>
            <w:pPr>
              <w:spacing w:after="0"/>
              <w:rPr>
                <w:sz w:val="18"/>
                <w:szCs w:val="18"/>
                <w:color w:val="auto"/>
              </w:rPr>
            </w:pPr>
          </w:p>
        </w:tc>
        <w:tc>
          <w:tcPr>
            <w:tcW w:w="3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(4,071)</w:t>
            </w:r>
          </w:p>
        </w:tc>
      </w:tr>
      <w:tr>
        <w:trPr>
          <w:trHeight w:val="210"/>
        </w:trPr>
        <w:tc>
          <w:tcPr>
            <w:tcW w:w="6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tcBorders>
              <w:top w:val="single" w:sz="8" w:color="CFF0FC"/>
            </w:tcBorders>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operating leases were measured using a weighted-average incremental borrowing rate of 7.7% over a weighted-average remaining lease term of 7.9 years.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operating leases were measured using a weighted-average incremental borrowing rate of 6.0% over a weighted-average remaining lease term of 0.6 years.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operating liabilities are presented on the Company’s condensed consolidated balance sheet based on maturity dates. As of March 31, 2026, $1.6 million is classified under “operating lease liabilities, current” for the portion due within twelve months, and $7.0 million is classified under “operating lease liabilities, non-current”.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and WuXi Biologics (see Note 7).</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March 31, 2026 and December 31, 2025.</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March 31, 2026, the Company was not a party to any material legal proceedings.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contract development and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April 18, 2025, the Company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 As of March 31, 2026, the Company had not satisfied certain financial covenants and conditions, including the net product revenue milestone required to be eligible to access proceeds from the Term Facility. Accordingly, as of March 31, 2026, no amounts have been drawn down under the Loan Agreement.</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the Company will be required to repay the principal of the Term Facility in 24 consecutive equal monthly installments or, in the case of the Interest-Only Period Extension, 12 consecutive equal monthly installments. At maturity, or if earlier prepaid, the Company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 (c) the termination of the Loan Agreement; provided, that such fee will be waived by the Lender in the event that the Company has requested and the Lender has funded any loans under the Term Facility prior to such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reserved 60,089,902 shares of common stock for the exercise of outstanding stock options, the vesting of outstanding restricted stock units (“RSUs”) and the issuance of awards available for grant under the Company’s 2020 Equity Incentive Plan, 2021 Equity Incentive Plan, 2021 Employee Stock Purchase Plan and 2026 Inducement Plan (see Note 11).</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September 2022, the Company filed a shelf registration statement on Form S-3 with the SEC and an accompanying base prospectus, which was declared effective by the SEC on October 5, 2022, for the offer and sale of up to $400 million of the Company’s securities (the “2022 Shelf Registration Statement”). The 2022 Shelf Registration Statement expired upon the effectiveness of the 2025 Shelf Registration Statement (as defined below).</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October 2025, the Company filed a new shelf registration statement on Form S-3 with the SEC and an accompanying base prospectus, which was declared effective by the SEC on December 23, 2025, for the offer and sale of up to $350 million of the Company’s securities (the “2025 Shelf Registration Statement”). As of March 31, 2026, excluding the $75 million allocated to the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ATM Prospectus Supplement (as defined below), $275 million of the Company’s securities remained available for offer and sale under the 2025 Shelf Registration Statement.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August 2025 Underwritten Public Offering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August 2025, the Company completed an underwritten public offering pursuant to an underwriting agreement (the “August Underwriting Agreement”) with Cantor Fitzgerald &amp; Co. (“Cantor”), as representative of the underwriters named therein, pursuant to which it issued and sold an aggregate of 89,234,480 shares of its common stock at a price of $0.52 per share, and pre-funded warrants to purchase up to an aggregate of 21,342,442 shares of common stock at a price of $0.5199 per pre-funded warrant (the “August 2025 Underwritten Public Offering”). The price of $0.5199 per pre-funded warrant represented the $0.52 per share purchase price for the common stock less the exercise price of $0.0001 per pre-funded warrant. The pre-funded warrants are exercisable at any time after their original issuance and will not expire. The Company received total net proceeds of approximately $53.5 million, after deducting underwriting discounts and commissions and offering expenses payable by the Company. As of March 31, 2026, there were no exercises of pre-funded warrants that were issued in connection with the August 2025 Underwritten Public Offering.</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November 2025 Underwritten Public Offering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2025, the Company completed an underwritten public offering pursuant to an underwriting agreement (the “November Underwriting Agreement” and together with the August Underwriting Agreement, the “Underwriting Agreements”) with Cantor, as representative of the underwriters named therein, pursuant to which it issued and sold an aggregate of 44,000,000 shares of its common stock at a price of $2.50 per share, and pre-funded warrants to purchase up to an aggregate of 6,000,000 shares of common stock at a price of $2.4999 per pre-funded warrant (the “November 2025 Underwritten Public Offering”, and, together with the August 2025 Underwritten Public Offering, the “2025 Underwritten Public Offerings”). The price of $2.4999 per pre-funded warrant represented the $2.50 per share purchase price for the common stock less the exercise price of $0.0001 per pre-funded warrant. The pre-funded warrants are exercisable at any time after their original issuance and will not expire. The Company received total net proceeds of approximately $117.2 million, after deducting underwriting discounts and commissions and offering expenses payable by the Company. As of March 31, 2026, there were no exercises of pre-funded warrants that were issued in connection with the November 2025 Underwritten Public Offering.</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2025, and in connection with the November 2025 Underwritten Public Offering, Cantor exercised the option pursuant to the November Underwriting Agreement to purchase 4,675,000 additional shares of common stock at the public offering price of $2.50, less underwriting discounts and commissions. In connection with such exercise, the Company received total net proceeds of approximately $10.9 million, after deducting underwriting discounts and commissions and offering expenses payable by the Company.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December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as sales agent, and filed with the SEC a prospectus supplement (the “2023 ATM Prospectus Supplement”) to the 2022 Shelf Registration Statement, pursuant to which the Company could, at its option, offer and sell shares of its common stock, with a sales value of up to $75.0 million, from time to time, through Cantor, acting as sales agent, in transactions deemed to be “at the market offerings”, as defined in Rule 415 under the Securities Act of 1933, as amended (the “Securities Act”). Cantor was entitled to a commission of 3% of the gross proceeds from any sales of such shares. In 2024, the Company sold 9,000,000 shares of its common stock under the Sales Agreement and the 2023 ATM Prospectus Supplement, at an average price of $4.50 per share for $39.3 million in proceeds net of commissions. In 2025, the Company sold 23,055,402 shares of its common stock under the Sales Agreement and the 2023 ATM Prospectus Supplement at an average price of $1.49 per share for $33.4 million in proceeds net of commissions. Upon the effectiveness of the 2025 Shelf Registration Statement, all offers and sales under the 2023 ATM Prospectus Supplement were deemed terminated.</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2025, in connection with the filing of the 2025 Shelf Registration Statement, the Company filed with the SEC a new prospectus supplement (the “2025 ATM Prospectus Supplement”),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Cantor is entitled to a commission of 3% of the gross proceeds from any sales of such shares. The 2025 Shelf Registration Statement was declared effective by the SEC on December 23, 2025, and $75.0 million remained available for sale under the 2025 ATM Prospectus Supplement as of March 31, 2026.</w:t>
      </w:r>
    </w:p>
    <w:p>
      <w:pPr>
        <w:spacing w:after="0" w:line="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April 2026, the Company sold 11,803,589 shares of its common stock under the Sales Agreement at an average price of $1.70 per share for $19.4 million in proceeds net of commissions.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RSUs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employees and certain officers of the Company. The exercise prices, vesting and other restrictions are determined at the discretion of the board of directors, or its committee or any such officer if so delegated.</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there were 467,615 shares authorized to be issued upon the exercise of outstanding stock options and no shares reserved for future issuance under the 2020 Plan.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RSUs and other stock-based awards. The number of shares initially reserved for issuance under the 2021 Plan was equal to 35,075,122, which was the sum of 11,413,572 new shares; plus the number of shares (not to exceed 23,661,550 shares), which represented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December 2024, the 2021 Plan was amended by Amendment No. 1 to the 2021 Plan, which decreased the aggregate number of shares of the Company’s common stock reserved for issuance under the 2021 Plan by 8,000,000 shares.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On January 1, 2024, 3,304,820 shares of common stock were added to the shares authorized for issuance under the 2021 Plan, pursuant to the evergreen provision thereof, as determined by the Company’s board of directors. On January 1, 2026, 14,099,351 shares of common stock were added to the shares authorized for issuance under the 2021 Plan, pursuant to the evergreen provision thereof, as determined by the Company’s board of directors. The number of shares to be issued under the 2021 Plan did not increase pursuant to the evergreen provision thereof on January 1, 2023 nor January 1, 2025,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there were an aggregate of 28,946,439 shares authorized to be issued upon the exercise of outstanding stock options and vesting of RSU grants and 19,574,167 shares reserved for future issuance under the 2021 Plan.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2026 Inducement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January 2026, the Company’s board of directors adopted the 2026 Inducement Plan (the “2026 Inducement Plan”). Under the 2026 Inducement Plan, the Company is authorized to issue up to 8,000,000 shares pursuant to inducement grants. The only persons eligible to receive grants under the 2026 Inducement Plan are individuals who satisfy the standards for inducement grants under Nasdaq Listing Rule 5635(c)(4) and the related guidance under Nasdaq IM 5635-1, including individuals who were not previously an employee or director of the Company (or individuals following a bona fide period of non-employment), in each case as an inducement material to such individual’s agreement to enter into employment with the Company. The 2026 Inducement Plan provides for the discretionary grant of nonstatutory stock options, stock appreciation rights, restricted stock awards, RSUs, performance awards, and certain other awards.</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there were an aggregate of 192,000 shares authorized to be issued upon the exercise of outstanding stock options and 7,808,000 shares reserved for future issuance under the 2026 Inducement Plan.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 date fair value of stock options granted:</w:t>
      </w:r>
    </w:p>
    <w:tbl>
      <w:tblPr>
        <w:tblLayout w:type="fixed"/>
        <w:tblInd w:w="0" w:type="dxa"/>
        <w:tblCellMar>
          <w:top w:w="0" w:type="dxa"/>
          <w:left w:w="0" w:type="dxa"/>
          <w:bottom w:w="0" w:type="dxa"/>
          <w:right w:w="0" w:type="dxa"/>
        </w:tblCellMar>
      </w:tblPr>
      <w:tr>
        <w:trPr>
          <w:trHeight w:val="155"/>
        </w:trPr>
        <w:tc>
          <w:tcPr>
            <w:tcW w:w="8140" w:type="dxa"/>
            <w:vAlign w:val="bottom"/>
          </w:tcPr>
          <w:p>
            <w:pPr>
              <w:spacing w:after="0"/>
              <w:rPr>
                <w:sz w:val="13"/>
                <w:szCs w:val="13"/>
                <w:color w:val="auto"/>
              </w:rPr>
            </w:pPr>
          </w:p>
        </w:tc>
        <w:tc>
          <w:tcPr>
            <w:tcW w:w="15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58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814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81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tcPr>
          <w:p>
            <w:pPr>
              <w:spacing w:after="0"/>
              <w:rPr>
                <w:sz w:val="15"/>
                <w:szCs w:val="15"/>
                <w:color w:val="auto"/>
              </w:rPr>
            </w:pPr>
          </w:p>
        </w:tc>
      </w:tr>
      <w:tr>
        <w:trPr>
          <w:trHeight w:val="209"/>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FF0FC"/>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21,351,941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8,138,250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(60,028)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(602,110)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28,828,053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28,828,053</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2.67</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March 31, 2026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11,529,229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-299720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-281940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months ended March 31, 2026 and 2025 was $1.19 and $0.93, respectively, per share.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March 31, 2026 and 2025.</w:t>
      </w:r>
    </w:p>
    <w:p>
      <w:pPr>
        <w:spacing w:after="0" w:line="54" w:lineRule="exact"/>
        <w:rPr>
          <w:sz w:val="20"/>
          <w:szCs w:val="20"/>
          <w:color w:val="auto"/>
        </w:rPr>
      </w:pPr>
    </w:p>
    <w:p>
      <w:pPr>
        <w:ind w:left="520" w:right="880"/>
        <w:spacing w:after="0" w:line="375" w:lineRule="auto"/>
        <w:rPr>
          <w:sz w:val="20"/>
          <w:szCs w:val="20"/>
          <w:color w:val="auto"/>
        </w:rPr>
      </w:pPr>
      <w:r>
        <w:rPr>
          <w:rFonts w:ascii="Times New Roman" w:cs="Times New Roman" w:eastAsia="Times New Roman" w:hAnsi="Times New Roman"/>
          <w:sz w:val="18"/>
          <w:szCs w:val="18"/>
          <w:color w:val="auto"/>
        </w:rPr>
        <w:t xml:space="preserve">The total intrinsic value of stock options exercised was less than $0.1 million for both the three months ended March 31, 2026 and 2025. </w:t>
      </w:r>
      <w:r>
        <w:rPr>
          <w:rFonts w:ascii="Times New Roman" w:cs="Times New Roman" w:eastAsia="Times New Roman" w:hAnsi="Times New Roman"/>
          <w:sz w:val="18"/>
          <w:szCs w:val="18"/>
          <w:b w:val="1"/>
          <w:bCs w:val="1"/>
          <w:i w:val="1"/>
          <w:iCs w:val="1"/>
          <w:color w:val="auto"/>
        </w:rPr>
        <w:t>Restricted Stock Unit Activity</w:t>
      </w:r>
    </w:p>
    <w:p>
      <w:pPr>
        <w:spacing w:after="0" w:line="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and September 2025, the Company’s board of directors approved RSU grants to the Company’s executive officers and certain of its employees under the 2021 Plan. In February 2025, an aggregate of 1,700,000 RSUs were issued at a grant date fair value of $1.61 per share. In September 2025, an aggregate of 400,000 RSUs were issued at a grant date fair value of $1.15 per share. All RSU grants are scheduled to vest over an eighteen-month period, with one-third of the RSUs vesting every six months following the relevant grant date, subject to continuous service as of each vesting date.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since December 31,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39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Weighted Average Grant Date</w:t>
            </w: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4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1,539,000</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(660,999)</w:t>
            </w:r>
          </w:p>
        </w:tc>
        <w:tc>
          <w:tcPr>
            <w:tcW w:w="52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52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334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778,001</w:t>
            </w:r>
          </w:p>
        </w:tc>
        <w:tc>
          <w:tcPr>
            <w:tcW w:w="2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3920" w:type="dxa"/>
            <w:vAlign w:val="bottom"/>
          </w:tcPr>
          <w:p>
            <w:pPr>
              <w:spacing w:after="0"/>
              <w:rPr>
                <w:sz w:val="24"/>
                <w:szCs w:val="24"/>
                <w:color w:val="auto"/>
              </w:rPr>
            </w:pPr>
          </w:p>
        </w:tc>
        <w:tc>
          <w:tcPr>
            <w:tcW w:w="33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18</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-1983740</wp:posOffset>
            </wp:positionV>
            <wp:extent cx="93980" cy="2311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-933450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-916305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stock-based compensation expense (service-based stock options, RSUs, and the Company’s employee stock purchase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following expense categories of its condensed consolidated statements of operations and comprehensive loss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980" w:type="dxa"/>
            <w:vAlign w:val="bottom"/>
            <w:gridSpan w:val="3"/>
          </w:tcPr>
          <w:p>
            <w:pPr>
              <w:ind w:left="218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5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48"/>
        </w:trPr>
        <w:tc>
          <w:tcPr>
            <w:tcW w:w="4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ind w:right="737"/>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ind w:right="717"/>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400" w:type="dxa"/>
            <w:vAlign w:val="bottom"/>
          </w:tcPr>
          <w:p>
            <w:pPr>
              <w:spacing w:after="0"/>
              <w:rPr>
                <w:sz w:val="12"/>
                <w:szCs w:val="12"/>
                <w:color w:val="auto"/>
              </w:rPr>
            </w:pPr>
          </w:p>
        </w:tc>
      </w:tr>
      <w:tr>
        <w:trPr>
          <w:trHeight w:val="173"/>
        </w:trPr>
        <w:tc>
          <w:tcPr>
            <w:tcW w:w="4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0" w:type="dxa"/>
            <w:vAlign w:val="bottom"/>
            <w:gridSpan w:val="2"/>
            <w:shd w:val="clear" w:color="auto" w:fill="CFF0FC"/>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2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400" w:type="dxa"/>
            <w:vAlign w:val="bottom"/>
          </w:tcPr>
          <w:p>
            <w:pPr>
              <w:spacing w:after="0"/>
              <w:rPr>
                <w:sz w:val="18"/>
                <w:szCs w:val="18"/>
                <w:color w:val="auto"/>
              </w:rPr>
            </w:pPr>
          </w:p>
        </w:tc>
      </w:tr>
      <w:tr>
        <w:trPr>
          <w:trHeight w:val="229"/>
        </w:trPr>
        <w:tc>
          <w:tcPr>
            <w:tcW w:w="468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82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400" w:type="dxa"/>
            <w:vAlign w:val="bottom"/>
            <w:shd w:val="clear" w:color="auto" w:fill="CFF0FC"/>
          </w:tcPr>
          <w:p>
            <w:pPr>
              <w:spacing w:after="0"/>
              <w:rPr>
                <w:sz w:val="19"/>
                <w:szCs w:val="19"/>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-25400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-25400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stock-based compensation expense related to unvested stock options was $17.9 million, which is expected to be recognized over a weighted-average period of 2.4 years.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total unrecognized stock-based compensation expense related to unvested RSUs was $0.9 million, which is expected to be recognized over a weighted-average period of 0.5 years.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pursuant to the evergreen provision thereof on January 1, 2023, January 1, 2024, nor January 1, 2025, as determined by the Company’s board of directors. On January 1, 2026, the number of shares authorized for issuance under the 2021 ESPP increased by 2,685,546 shares of common stock, pursuant to the evergreen provision thereof. The first offering under the 2021 ESPP was June 6, 2022. As of March 31, 2026, 3,101,681 shares remained available for issuance under the 2021 ESPP. There were 926,638 shares issued under the 2021 ESPP as of March 31, 2026. During both the three months ended March 31, 2026 and 2025, the Company recognized less than $0.1 million in related stock-based compensation expense.</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grant date fair value of the PHP Warrant was $17.4 million, which was recognized as warrant expense on the grant date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warrants issued during the three months ended March 31, 2026 and 2025.</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other than the pre-funded warrants issued in the 2025 Underwritten Public Offerings, there were 6,824,712 warrants outstanding and not yet vested at a weighted-average exercise price of $3.48, with a weighted-average remaining contractual term of 6.63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both the three months ended March 31, 2026 and 2025,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For the three months ended March 31, 2026 and 2025, the Company contributed $0.3 million and $0.2 million, respectively, to the 401(k)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tbl>
      <w:tblPr>
        <w:tblLayout w:type="fixed"/>
        <w:tblInd w:w="0" w:type="dxa"/>
        <w:tblCellMar>
          <w:top w:w="0" w:type="dxa"/>
          <w:left w:w="0" w:type="dxa"/>
          <w:bottom w:w="0" w:type="dxa"/>
          <w:right w:w="0" w:type="dxa"/>
        </w:tblCellMar>
      </w:tblPr>
      <w:tr>
        <w:trPr>
          <w:trHeight w:val="155"/>
        </w:trPr>
        <w:tc>
          <w:tcPr>
            <w:tcW w:w="6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6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r>
      <w:tr>
        <w:trPr>
          <w:trHeight w:val="20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(16,289)</w:t>
            </w:r>
          </w:p>
        </w:tc>
      </w:tr>
      <w:tr>
        <w:trPr>
          <w:trHeight w:val="20"/>
        </w:trPr>
        <w:tc>
          <w:tcPr>
            <w:tcW w:w="6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6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16"/>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309,670,101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119,883,479</w:t>
            </w:r>
          </w:p>
        </w:tc>
        <w:tc>
          <w:tcPr>
            <w:tcW w:w="24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7"/>
        </w:trPr>
        <w:tc>
          <w:tcPr>
            <w:tcW w:w="6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1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(0.14)</w:t>
            </w:r>
          </w:p>
        </w:tc>
      </w:tr>
      <w:tr>
        <w:trPr>
          <w:trHeight w:val="20"/>
        </w:trPr>
        <w:tc>
          <w:tcPr>
            <w:tcW w:w="63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-25400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 27,342,442 shares of common stock issuable upon exercise of pre-funded warrants described in Note 10 are included as outstanding common stock in the calculation of net loss per common share.</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90"/>
        </w:trPr>
        <w:tc>
          <w:tcPr>
            <w:tcW w:w="79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2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85"/>
        </w:trPr>
        <w:tc>
          <w:tcPr>
            <w:tcW w:w="79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28,828,053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23,014,702</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778,001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36,430,766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31,539,414</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an aggregate of $1.2 million and $0.7 million, respectively, was due to Adimab, a beneficial owner of more than 5% of the Company’s common stock, under the Adimab Assignment Agreement, the Adimab Collaboration Agreement, the Adimab Platform Transfer Agreement and the Adimab DNA Sequencing Services Agreement (as defined below) by the Company and was included in accounts payable and accrued expenses. As of March 31, 2026 and December 31, 2025, no amounts were due to the Company from Adimab under the Adimab Assignment Agreement, the Adimab Collaboration Agreement, the Adimab Platform Transfer Agreement, the Adimab DNA Sequencing Services Agreement or the Adimab LCMS Services Agreement (as defined below).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Adimab Assignment Agreement, Adimab is entitled to receive milestone and royalty payments upon specified conditions and receives payments from the Company for providing ongoing services under the agreement (see Note 7).</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Company did not recognize any IPR&amp;D expense with respect to contingent consideration payable under the Adimab Assignment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Company did not recognize any research and development expense with respect to services performed by Adimab on the Company’s behalf under the Adimab Assignment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expensed $0.6 million and $0.5 million, respectively, of royalties as costs of product revenue, while reserving all rights under the Adimab Assignment Agreement and the applicable law.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milestones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Company recognized $0.6 million of research and development expense related to the quarterly fee under the Adimab Collaboration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Company did not recognize any research and development expense with respect to services performed by Adimab on the Company’s behalf under the Adimab Collaboration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Company did not recognize any IPR&amp;D expense related to drug delivery fees, optimization completion fees or option exercise fees.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Platform Transfer Agreement, the Company is obligated to pay Adimab for certain fees, milestones and royalty payments (see Note 7), including an annual fee of single digit millions on each of the first four anniversaries of the Adimab Platform Transfer Agreement Effective Date.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Company recognized $0.5 million of research and development expense related to the annual fee under the Adimab Platform Transfer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DNA Sequencing Services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as amended in January 2024, January 2025 and January 2026,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Company recognized less than $0.1 million of research and development expense with respect to services performed by Adimab on the Company’s behalf under the Adimab DNA Sequencing Services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LCMS Services Agreement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November 2023, as amended in December 2025, the Company entered into a Services Agreement with Adimab for Adimab to provide molecular weight determination services and deliver to the Company the resulting data and information (the “Adimab LCMS Services Agreement”). In exchange for the services performed, the Company will pay Adimab a fee for each sample tested.</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Company did not recognize any research and development expense with respect to services performed by Adimab on the Company’s behalf under the Adimab LCMS Services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reportable and operating segment dedicated to the research and development, commercialization, and sale of mAbs in the U.S. to deliver protection from serious viral infectious diseases.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determination of a single reportable segment is consistent with the consolidated financial information regularly reviewed by the Chief Operating Decision Maker (the “CODM”) in assessing performance and deciding how to allocate resources on a consolidated basis.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CODM assesses performance and allocates resources based on the Company’s net loss reported on the consolidated statements of operations and comprehensive loss. The CODM’s area of focus is period over period fluxes and budget-to-actual variances when assessing performance and deciding how to allocate resources. The Company’s reportable segment derives its revenue from sales of its product, PEMGARDA. No asset information has been provided for the reportable segment as the CODM does not regularly review asset information by reportable segment.</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revenues, and significant segment expenses as provided to the CODM (in thousands). Certain prior period segment expense amounts have been recast to reflect the current year presentation.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2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40" w:type="dxa"/>
            <w:vAlign w:val="bottom"/>
          </w:tcPr>
          <w:p>
            <w:pPr>
              <w:spacing w:after="0"/>
              <w:rPr>
                <w:sz w:val="13"/>
                <w:szCs w:val="13"/>
                <w:color w:val="auto"/>
              </w:rPr>
            </w:pPr>
          </w:p>
        </w:tc>
        <w:tc>
          <w:tcPr>
            <w:tcW w:w="19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6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31,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6"/>
        </w:trPr>
        <w:tc>
          <w:tcPr>
            <w:tcW w:w="69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69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Pemivibart</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VBY329</w:t>
            </w:r>
            <w:r>
              <w:rPr>
                <w:rFonts w:ascii="Times New Roman" w:cs="Times New Roman" w:eastAsia="Times New Roman" w:hAnsi="Times New Roman"/>
                <w:sz w:val="24"/>
                <w:szCs w:val="24"/>
                <w:color w:val="auto"/>
                <w:vertAlign w:val="superscript"/>
              </w:rPr>
              <w:t>(3)</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VMS063</w:t>
            </w:r>
            <w:r>
              <w:rPr>
                <w:rFonts w:ascii="Times New Roman" w:cs="Times New Roman" w:eastAsia="Times New Roman" w:hAnsi="Times New Roman"/>
                <w:sz w:val="24"/>
                <w:szCs w:val="24"/>
                <w:color w:val="auto"/>
                <w:vertAlign w:val="superscript"/>
              </w:rPr>
              <w:t>(4)</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Early-stage programs</w:t>
            </w: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direct, external research and development expenses by program</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expense (research and development)</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(research and development)</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 expense</w:t>
            </w: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 costs</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expense (selling, general and administrative)</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(selling, general and administrative)</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w:t>
            </w: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56,880</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(43,136)</w:t>
            </w:r>
          </w:p>
        </w:tc>
        <w:tc>
          <w:tcPr>
            <w:tcW w:w="14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(16,922)</w:t>
            </w:r>
          </w:p>
        </w:tc>
        <w:tc>
          <w:tcPr>
            <w:tcW w:w="220" w:type="dxa"/>
            <w:vAlign w:val="bottom"/>
          </w:tcPr>
          <w:p>
            <w:pPr>
              <w:spacing w:after="0"/>
              <w:rPr>
                <w:sz w:val="18"/>
                <w:szCs w:val="18"/>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94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4"/>
                <w:szCs w:val="24"/>
                <w:color w:val="auto"/>
                <w:vertAlign w:val="superscript"/>
              </w:rPr>
              <w:t>(5)</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(16,289)</w:t>
            </w:r>
          </w:p>
        </w:tc>
        <w:tc>
          <w:tcPr>
            <w:tcW w:w="22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-3514090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-3514090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-2408555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-2408555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-1851025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-1851025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-1019175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-1019175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-736600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-736600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the Company announced the nomination of VYD222 (pemivibart) as a novel mAb therapeutic option for COVID-19.</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Company announced the nomination of VYD2311 as a novel mAb therapeutic option for COVID-19.</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the Company announced the nomination of VBY329 as an RSV mAb candidate for preclinical development.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the Company announced the nomination of VMS063 as a measles mAb candidate for preclinical development.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of $1,743 and $628 for the three months ended March 31, 2026 and 2025,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2025, filed with the Securities and Exchange Commission (“SEC”) on March 5, 2026 (the “2025 Form 10-K”). Unless the context requires otherwise, references in this Quarterly Report on Form 10-Q to “we,” “us,” and “our” refer to Invivyd, Inc. together with its consolidated subsidiaries.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4" w:lineRule="exact"/>
        <w:rPr>
          <w:sz w:val="20"/>
          <w:szCs w:val="20"/>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commercialization of PEMGARDA® (pemivibart), which received emergency use authorization (“EUA”) from the U.S. Food and Drug Administration (“FDA”) in March 2024, including our expectations about the potential market opportunity;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VYD2311, our next generation monoclonal antibody (“mAb”) candidate for COVID-19, the REVOLUTION clinical program for VYD2311 and the potential of VYD2311 to offer the ability to deliver clinically meaningful titer levels through more healthcare system- and patient-friendly means;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devotion to delivering protection from serious viral infectious diseases, and our commitment to developing a robust pipeline of product candidates that could be used in prevention or treatment of serious viral infectious diseases, starting with COVID-19 and expanding into other high-need indications, such as respiratory syncytial virus (“RSV”) and measles;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regulatory pathway for our product candidates, including the anticipated timing of any submission of filings for regulatory authorization or approval of, and our ability to obtain and maintain regulatory authorizations or approvals for,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SARS-CoV-2 variant monitoring of antiviral activity as part of our ongoing industrial virology effort;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continued reliance on third parties for clinical trials and the manufacture and testing of our product candidates, as well as to perform ongoing research and development and other services on our behalf;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and our expectations regarding supply and demand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 including our distribution capabilities and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product candidates that exert continuous pharmaceutical activity in the face of viral evolution;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SPEAR (Spike Protein Elimination and Recovery) Study Group, including its anticipated focus, goals and plans;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potential revenue, capital requirements and our need for or ability to obtain additional funding;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as a going concern;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sections of the 2025 Form 10-K and this Quarterly Report on Form 10-Q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Invivyd, Inc. is a biopharmaceutical company focused on the discovery, development and commercialization of monoclonal antibody (“mAb”) therapies for the prevention and treatment of serious viral infectious diseases. We are devoted to delivering protection from serious viral infectious diseases, beginning with SARS-CoV-2, the virus that causes COVID-19. PEMGARDA® (pemivibart) is our first mAb to receive regulatory authorization and was designed to exert continuous pharmaceutical activity in the face of viral evolution.</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COVID-19 persists and continues to impact patients, notably those who are immunocompromised, and combating this disease will require for years to come a variety of prevention and treatment options with demonstrated efficacy and safety. By leveraging our capabilities, which we have developed through our experience with adintrevimab and pemivibart and over five years in the COVID-19 space, we aim to develop mAbs that could be used in prevention or treatment of serious viral infectious diseases, starting with COVID-19 and expanding into other high-need indications, such as respiratory syncytial virus (“RSV”) and measles.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injection, for intravenous (“IV”)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January 2024, we nominated VYD2311, a next generation mAb candidate for COVID-19, as a drug candidate. VYD2311 is a mAb with high in vitro neutralization potency shown against prominent SARS-CoV-2 variants tested to date. In September 2024, we announced dosing of the first participants in a Phase 1/2 clinical trial of VYD2311.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(“IM”) administration and subcutaneous administration, which are designed to be more healthcare system- and patient-friendly than IV administration. In June 2025, we announced positive full Phase 1/2 clinical data for VYD2311 for both safety and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pharmacokinetics.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August 2025, we announced alignment with advice from the FDA on a compact and, therefore, rapid pathway to potential Biologics License Application (“BLA”) approval for VYD2311 for the prevention of COVID-19. As part of Type C meeting feedback, the FDA advised that a single, randomized, placebo-controlled trial evaluating mAb efficacy in prevention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In October 2025, we announced that the FDA cleared our Investigational New Drug (“IND”) application for VYD2311 and provided feedback to advance our REVOLUTION clinical program, which is our development program for VYD2311. The REVOLUTION clinical program includes three clinical trials, DECLARATION, LIBERTY and DRUMMER.</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2025, we initiated DECLARATION, which is a Phase 3 randomized, triple-blind, placebo-controlled clinical trial to evaluate VYD2311 safety and efficacy in prevention of symptomatic, RT-PCR-confirmed COVID-19 at three months, with either a single dose or monthly doses of VYD2311, each administered via IM injection, compared to placebo. In April 2026, we announced that we conducted a prospectively designed, conservative, algorithmic sample size re-estimation pooled, blinded analysis for the DECLARATION clinical trial aimed at ensuring adequate COVID-19 clinical events and associated statistical power given the variability of COVID-19 attack rates. As of the sample-size re-estimation analysis, conducted when the first 1,500 (of 1,818 total) subjects reached Day 45, clinical events accrued to date could support statistical powering for the high end of anticipated VYD2311 efficacy levels with approximately half of the base DECLARATION clinical trial still to go. The sample size re-estimation was designed conservatively with the aim of accomplishing strong statistical power to accommodate a range of potential VYD2311 efficacy results and COVID events in the trial, and upsizing was triggered. The DECLARATION upsizing includes approximately 500 additional subjects, in addition to 1,818 total randomized subjects in the initial trial population. DECLARATION is designed to support potential BLA submission. Depending on recruitment rates following the trial upsizing, top-line data from DECLARATION are expected in the third quarter of 2026.</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2026, we announced alignment with the FDA on LIBERTY, which is designed as a Phase 3, randomized, double-blind clinical trial to evaluate the safety, serum virus neutralizing antibody responses, and pharmacokinetics of (1) VYD2311, (2) an mRNA COVID vaccine, and (3) co-administered VYD2311 with an mRNA COVID vaccine.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we have agreed with the FDA on an initial Pediatric Study Plan for an efficient safety and immunobridging clinical trial to support potential BLA for VYD2311 in children aged 0-11 years. This DRUMMER pediatric clinical trial will be actioned only if the pivotal DECLARATION clinical trial is successful.</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has granted “Fast Track” designation for VYD2311 for the prevention of COVID-19 in individuals with underlying risk factors for progression to severe disease. Fast Track designation is a process designed to facilitate the development and expedite the regulatory review of drugs to treat serious conditions and fill an unmet medical need, including eligibility for priority review and rolling review of BLA submissions, if specified criteria are met.</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Study Group intends to launch multi-center translational clinical research on Long COVID and PVS using next-generation antibodies like our investigational mAb candidate VYD2311. In January 2026, we and the SPEAR Study Group announced plans to initiate a Phase 2 clinical trial evaluating VYD2311 in individuals with Long COVID or COVID vaccine injury. The Phase 2 clinical trial is expected to be initiated mid-2026.</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our next generation mAb candidate for COVID-19, against the same contemporary viruses, and we also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 In May 2026, we announced that in vitro neutralization data showed continued neutralizing activity of PEMGARDA and VYD2311 against emerging SARS-CoV-2 variant BA.3.2.2 (“Cicada”).</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COVID-19 programs, in November 2025, we announced the selection of VBY329, a potential best-in-class mAb candidate being developed for the prevention of RSV infections in neonates, infants and children. We expect to advance VBY329 toward IND readiness in the second half of 2026. Also, in April 2026, we announced the discovery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advancement of VMS063, a novel, highly potent, half-life-extended, high resistance barrier measles mAb candidate. We have begun IND-enablement and regulatory outreach to support rapid VMS063 development, with the goal of expedited development with target IND readiness in late 2026. Through our proprietary technology platform, we continue to investigate additional mAbs for protection and treatment of other important infectious diseases.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committed to advancing national education and awareness about antibodies and their role in immune health. In April 2026, we launched Antibodies for Any Body, a national education campaign designed to elevate public understanding of antibodies, one of the most important parts of the immune system, and their role in protecting against disease. The campaign was launched in collaboration with renowned ski champion Lindsey Vonn, whose career has been defined by training with intention, overcoming challenges, and taking control of her health and wellness.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contract development and manufacturing organizations (“CDMOs”) to execute our chemistry, manufacturing and controls development, testing and clinical and commercial manufacturing activities. In 2022, we secured dedicated laboratory space and expanded our research team in order to enable internal discovery and development of our mAb candidates, while continuing to leverage our existing partnership with Adimab, LLC (“Adimab”), including Adimab’s platform technology. In addition, we expect to continue to rely on third parties for clinical trials and the manufacture and testing of our product candidates, as well as to perform ongoing research and development and other services on our behalf.</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and through March 31, 2026, we have financed our operations primarily through the sale and issuance of preferred and common stock, including net proceeds of $464.7 million from sales of our preferred stock, net proceeds of $327.5 million from sales of our common stock from our initial public offering (“IPO”), net proceeds of $72.7 million from sales of our common stock under the Sales Agreement (as defined below) and net proceeds of $181.6 million from sales of our common stock and pre-funded warrants under the Underwriting Agreements (as defined below). We have also funded our operations from sales of PEMGARDA. Our ability to generate product revenue sufficient to achieve profitability will depend heavily on the successful development and commercialization of one or more of our product candidates, as they become authorized or approved.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$41.4 million for the three months ended March 31, 2026. As of March 31, 2026, we had an accumulated deficit of $995.9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 manufacturing activities, and commercialization efforts. Our expenses could increase substantially in connection with our ongoing activities, as we:</w:t>
      </w:r>
    </w:p>
    <w:p>
      <w:pPr>
        <w:spacing w:after="0" w:line="79"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PEMGARDA;</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VYD2311 and prepare for its potential commercial launch, if approved, as well as advance development of our other product candidates, such as VBY329 and VMS063;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 including advancement of our REVOLUTION clinical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any new indications or patient populations;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such as RSV and measles, including development and screening of additional antibodies, as well as engage in ongoing SARS-CoV-2 variant monitoring and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coverage and reimbursement for our product candidates, if authorized or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validate our commercial-scale current Good Manufacturing Practices (“cGMP”) manufacturing process and manufacture material under cGMP at our contracted manufacturing facilities for clinical trials and commercial sales;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commercial and other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PEMGARDA.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current operating plans and excluding future external financing, we will not have sufficient cash and cash equivalents to fund our operating expenses and capital requirements beyond one year from the issuance date of the condensed consolidated financial statements in this Quarterly Report on Form 10-Q,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2024, we received EUA from the FDA for PEMGARDA. Product revenue, net consists of product revenue earned on the sales of PEMGARDA in the U.S. Product revenues are recognized net of variable consideration, including discounts and allowances, trade discounts and distributor fees, chargebacks, product returns and other incentives such as co-pay assistance programs.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includes PEMGARDA manufacturing costs, labor and overhead costs, and stability study costs. PEMGARDA manufacturing costs include manufacturing materials, third-party manufacturing costs, packaging costs, shipping costs, and royalties.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54" w:lineRule="exact"/>
        <w:rPr>
          <w:sz w:val="20"/>
          <w:szCs w:val="20"/>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a third-party manufacturer;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17" w:lineRule="exact"/>
        <w:rPr>
          <w:sz w:val="20"/>
          <w:szCs w:val="20"/>
          <w:color w:val="auto"/>
        </w:rPr>
      </w:pPr>
    </w:p>
    <w:p>
      <w:pPr>
        <w:ind w:left="1140" w:hanging="504"/>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third-party fees and other compensation-related costs, including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clinical trials and for commercial supply, prior to receiving authorization or approval, from a third-party CDMO;</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equipment, laboratory supplies, rent expense, depreciation expense, and other operating costs;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antibodies against COVID-19. We have also initiated discovery efforts to assess pipeline expansion beyond SARS-CoV-2, including the selection of a preclinical mAb candidate for the prevention of RSV, the selection of a preclinical mAb candidate for the prevention of measles and the advancement of early discovery programs targeting other potential targets. Our research and development costs consist primarily of external costs, such as fees paid to CDMOs, CROs and consultants in connection with our nonclinical studies, preclinical studies, clinical trials and product candidate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advancing VYD2311 through clinical development, particularly as we advance the REVOLUTION clinical program, pursue EUA or regulatory approval of our product candidates, and continue to discover and develop additional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284" w:lineRule="exact"/>
        <w:rPr>
          <w:sz w:val="20"/>
          <w:szCs w:val="20"/>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IND applications with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authorization or approval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obtain through collaborations, licenses or acquisitions;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any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from applicable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-264795</wp:posOffset>
            </wp:positionV>
            <wp:extent cx="285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0" w:name="page31"/>
    <w:bookmarkEnd w:id="30"/>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pursuant to the relevant declaration under Section 564 of the FDCA.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Through March 31, 2026, we have operated as a hybrid company with employees working at our corporate headquarters and remotely. We have not incurred material operating expenses for the rent, maintenance and insurance of facilities, or for the depreciation of fixed assets.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earned from our cash and cash equivalents. We expect our interest income to vary each reporting period depending on our average bank deposits, money market funds and investment balances during the period and market interest rates.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manner in which countries will enact legislation to implement the Pillar Two framework proposed by the Organisation for Economic Co-operation and Development, which proposes a 15% global corporate minimum tax. As of March 31, 2026, various countries have enacted aspects of Pillar Two while committing to enact additional aspects in future years. While we do not expect these rules to have a material impact on our effective tax rate, we continue to monitor these initiatives on a global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10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56,880</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28,654</w:t>
            </w:r>
          </w:p>
        </w:tc>
        <w:tc>
          <w:tcPr>
            <w:tcW w:w="100" w:type="dxa"/>
            <w:vAlign w:val="bottom"/>
          </w:tcPr>
          <w:p>
            <w:pPr>
              <w:spacing w:after="0"/>
              <w:rPr>
                <w:sz w:val="18"/>
                <w:szCs w:val="18"/>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(43,136)</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(16,922)</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(26,214)</w:t>
            </w:r>
          </w:p>
        </w:tc>
      </w:tr>
      <w:tr>
        <w:trPr>
          <w:trHeight w:val="210"/>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2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8"/>
                <w:szCs w:val="18"/>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(16,289)</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(25,111)</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-1447800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-1447800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-890905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-890905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-599440</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-316230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-316230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$13.7 million and $11.3 million for the three months ended March 31, 2026 and 2025, respectively. The $2.4 million increase is the result of increased product sales of PEMGARDA due to an increase in product demand.</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$1.0 million and $0.8 million for the three months ended March 31, 2026 and 2025, respectively. The $0.2 million increase is the result of increased PEMGARDA sales and certain period costs.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6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Pemivibart</w:t>
            </w:r>
            <w:r>
              <w:rPr>
                <w:rFonts w:ascii="Times New Roman" w:cs="Times New Roman" w:eastAsia="Times New Roman" w:hAnsi="Times New Roman"/>
                <w:sz w:val="24"/>
                <w:szCs w:val="24"/>
                <w:color w:val="auto"/>
                <w:vertAlign w:val="superscript"/>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VBY329</w:t>
            </w:r>
            <w:r>
              <w:rPr>
                <w:rFonts w:ascii="Times New Roman" w:cs="Times New Roman" w:eastAsia="Times New Roman" w:hAnsi="Times New Roman"/>
                <w:sz w:val="24"/>
                <w:szCs w:val="24"/>
                <w:color w:val="auto"/>
                <w:vertAlign w:val="superscript"/>
              </w:rPr>
              <w:t>(3)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VMS063</w:t>
            </w:r>
            <w:r>
              <w:rPr>
                <w:rFonts w:ascii="Times New Roman" w:cs="Times New Roman" w:eastAsia="Times New Roman" w:hAnsi="Times New Roman"/>
                <w:sz w:val="24"/>
                <w:szCs w:val="24"/>
                <w:color w:val="auto"/>
                <w:vertAlign w:val="superscript"/>
              </w:rPr>
              <w:t>(4)</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Early-stage programs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related costs (including stock-based compensation)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3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30,731</w:t>
            </w: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20,090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-156845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-156845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-10795</wp:posOffset>
            </wp:positionV>
            <wp:extent cx="326580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65805" cy="25400"/>
                    </a:xfrm>
                    <a:prstGeom prst="rect">
                      <a:avLst/>
                    </a:prstGeom>
                    <a:noFill/>
                  </pic:spPr>
                </pic:pic>
              </a:graphicData>
            </a:graphic>
          </wp:anchor>
        </w:drawing>
      </w:r>
    </w:p>
    <w:p>
      <w:pPr>
        <w:ind w:left="5540" w:right="2220" w:hanging="5532"/>
        <w:spacing w:after="0"/>
        <w:tabs>
          <w:tab w:leader="none" w:pos="184"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(pemivibart) as a novel mAb therapeutic option for COVID-19.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ind w:left="180" w:hanging="172"/>
        <w:spacing w:after="0"/>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200" w:lineRule="auto"/>
        <w:rPr>
          <w:sz w:val="20"/>
          <w:szCs w:val="20"/>
          <w:color w:val="auto"/>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In November 2025, we announced the nomination of VBY329 as an RSV mAb candidate for preclinical development.</w:t>
      </w:r>
    </w:p>
    <w:p>
      <w:pPr>
        <w:spacing w:after="0"/>
        <w:rPr>
          <w:sz w:val="20"/>
          <w:szCs w:val="20"/>
          <w:color w:val="auto"/>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In April 2026, we announced the nomination of VMS063 as a measles mAb candidate for clinical development.</w:t>
      </w:r>
    </w:p>
    <w:p>
      <w:pPr>
        <w:spacing w:after="0" w:line="29"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Research and development expenses were $30.7 million for the three months ended March 31, 2026, compared to $10.6 million for the three months ended March 31, 2025. The $20.1 million increase in research and development expenses was primarily due to the following:</w:t>
      </w:r>
    </w:p>
    <w:p>
      <w:pPr>
        <w:spacing w:after="0" w:line="66"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pemivibart program resulted from a decrease of $0.6 million in contract research costs for our Phase 3 CANOPY clinical trial, $0.5 million in nonclinical expenses and $0.1 million in contract costs for commercial manufacturing;</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direct costs related to our VYD2311 program resulted from an increase of $21.5 million in contract research costs for our Phase 3 DECLARATION clinical trial and $0.4 million in external discovery-related and other costs, partially offset by a decrease of $0.3 million in contract costs for commercial manufacturing and $0.3 million in nonclinical expenses;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direct costs related to our VBY329 program resulted from the nomination of VBY329 as an RSV mAb candidate in the fourth quarter of 2025, with costs resulting from nonclinical expenses;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direct costs for our VMS063 program resulted from the nomination of VMS063 as a measles mAb candidate in the second quarter of 2026, with costs resulting from external discovery-related and other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early-stage programs resulted from a decrease of external discovery-related and other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costs resulted from a decrease of headcount-related costs;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external discovery-related and other costs resulted from a decrease of $0.3 million in contract manufacturing costs and $0.1 million in nonclinical costs, partially offset by an increase of $0.2 million in clinical trial expenses and $0.1 million in other external costs.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 costs (including stock-based compensation)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Pr>
          <w:p>
            <w:pPr>
              <w:spacing w:after="0"/>
              <w:rPr>
                <w:sz w:val="18"/>
                <w:szCs w:val="18"/>
                <w:color w:val="auto"/>
              </w:rPr>
            </w:pPr>
          </w:p>
        </w:tc>
      </w:tr>
      <w:tr>
        <w:trPr>
          <w:trHeight w:val="216"/>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-170815</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$25.1 million for the three months ended March 31, 2026, compared to $16.8 million for the three months ended March 31, 2025. The $8.3 million increase in selling, general and administrative expenses was primarily due to the following:</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personnel related costs resulted from an increase in headcount-related costs;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professional and consultant fees resulted from an increase of $3.4 million in professional service fees and $1.7 million related to sales and marketing costs, partially offset by a decrease of $0.1 million in insurance costs;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other costs primarily resulted from an increase of $0.7 million in employee related travel expense, $0.3 million in conference related costs and $0.2 million in technology related costs.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$1.7 million and $0.6 million for the three months ended March 31, 2026 and 2025, respectively, consisting primarily of interest earned on our invested cash balances. The $1.1 million increase in other income, net was primarily due to an increase in cash invested.</w:t>
      </w:r>
    </w:p>
    <w:p>
      <w:pPr>
        <w:spacing w:after="0" w:line="50"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Through March 31, 2026, we have incurred significant operating losses and negative cash flows from operations. Although we received an EUA from the FDA for PEMGARDA in March 2024, we may continue to incur significant expenses and potential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operating losses for the foreseeable future as we continue to commercialize PEMGARDA and advance the development of VYD2311, VBY329, VMS063 and our other product candidates. As of March 31, 2026, we have financed our operations primarily with net proceeds of $464.7 million from sales of our preferred stock, $327.5 million from sales of our common stock from our IPO in August 2021, $72.7 million from sales of our common stock under the Sales Agreement (as defined below), and $181.6 million from sales of our common stock and pre-funded warrants under the Underwriting Agreements (as defined below). After receiving EUA in March 2024, we have also funded our operations from sales of PEMGARDA.</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we had cash and cash equivalents of $184.2 million. In April 2026, we sold 11,803,589 shares of our common stock under the Sales Agreement at an average price of $1.70 per share for $19.4 million in proceeds net of commissions.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2022, we filed a shelf registration statement on Form S-3 with the SEC and an accompanying base prospectus, which was declared effective by the SEC on October 5, 2022, for the offer and sale of up to $400 million of our securities (the “2022 Shelf Registration Statement”). The 2022 Shelf Registration Statement expired upon the effectiveness of the 2025 Shelf Registration Statement (as defined below).</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October 2025, we filed a new shelf registration statement on Form S-3 with the SEC and an accompanying base prospectus, which was declared effective by the SEC on December 23, 2025, for the offer and sale of up to $350 million of our securities (the “2025 Shelf Registration Statement”). As of March 31, 2026, excluding the $75 million allocated to the 2025 ATM Prospectus Supplement (as defined below), $275 million of our securities remained available for offer and sale under the 2025 Shelf Registration Statement.</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Agreement</w:t>
      </w:r>
    </w:p>
    <w:p>
      <w:pPr>
        <w:spacing w:after="0" w:line="12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and filed with the SEC a prospectus supplement to the 2022 Shelf Registration Statement (the “2023 ATM Prospectus Supplement”), pursuant to which we could, at our option, offer and sell shares of our common stock, with a sales value of up to $75.0 million, from time to time, through Cantor, acting as sales agent, in transactions deemed to be “at the market offerings”, as defined in Rule 415 under the Securities Act of 1933, as amended (the “Securities Act”). Cantor was entitled to a commission of 3% of the gross proceeds from any sales of such shares. In 2024, we sold 9,000,000 shares of our common stock under the Sales Agreement and 2023 ATM Prospectus Supplement at an average price of $4.50 per share for $39.3 million in proceeds net of commissions. In 2025, we sold 23,055,402 shares of our common stock under the Sales Agreement and 2023 ATM Prospectus Supplement at an average price of $1.49 per share for $33.4 million in proceeds net of commissions. Upon the effectiveness of the 2025 Shelf Registration Statement, all offers and sales under the 2023 ATM Prospectus Supplement were deemed terminated.</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2025, in connection with the filing of the 2025 Shelf Registration Statement, we filed with the SEC a new prospectus supplement (the “2025 ATM Prospectus Supplement”), pursuant to which we may, at our option, offer and sell shares of our common stock, with a sales value of up to $75.0 million, from time to time, through Cantor, acting as sales agent, in transactions deemed to be “at the market offerings”, as defined in Rule 415 under the Securities Act. Cantor is entitled to a commission of 3% of the gross proceeds from any sales of such shares. The 2025 Shelf Registration Statement was declared effective by the SEC on December 23, 2025. As of March 31, 2026, $75.0 million remained available for sale under the 2025 ATM Prospectus Supplement.</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Underwriting Agreements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August 2025, we completed an underwritten public offering pursuant to an underwriting agreement (the “August Underwriting Agreement”) with Cantor, as representative of the underwriters named therein, pursuant to which we issued and sold an aggregate of 89,234,480 shares of our common stock at a price of $0.52 per share, and pre-funded warrants to purchase up to an aggregate of 21,342,442 shares of common stock at a price of $0.5199 per pre-funded warrant. The price of $0.5199 per pre-funded warrant represented the $0.52 per share purchase price for the common stock less the exercise price of $0.0001 per pre-funded warrant. The pre-funded warrants are exercisable at any time after their original issuance and will not expire. We received total net proceeds of approximately $53.5 million, after deducting underwriting discounts and commissions and offering expenses.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2025, we completed an underwritten public offering pursuant to an underwriting agreement (the “November Underwriting Agreement” and together with the August Underwriting Agreement, the “Underwriting Agreements”) with Cantor, as representative of the underwriters named therein, pursuant to which we issued and sold an aggregate of 44,000,000 shares of our common stock at a price of $2.50 per share, and pre-funded warrants to purchase up to an aggregate of 6,000,000 shares of common stock at a price of $2.4999 per pre-funded warrant (the “November 2025 Underwritten Public Offering”). The price of $2.4999 per pre-funded warrant represented the $2.50 per share purchase price for the common stock less the exercise price of $0.0001 per pre-funded warrant. The pre-funded warrants are exercisable at any time after their original issuance and will not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expire. We received total net proceeds of approximately $117.2 million, after deducting underwriting discounts and commissions and offering expenses.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2025, and in connection with the November 2025 Underwritten Public Offering, Cantor exercised the option pursuant to the November Underwriting Agreement to purchase 4,675,000 additional shares of common stock at the public offering price of $2.50, less underwriting discounts and commissions. In connection with such exercise, we received total net proceeds of approximately $10.9 million, after deducting underwriting discounts and commissions and offering expenses payable by us.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April 18, 2025, we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 As of March 31, 2026, we had not satisfied certain financial covenants and conditions, including the net product revenue milestone required to be eligible to access proceeds from the Term Facility. Accordingly, as of March 31, 2026, no amounts have been drawn down under the Loan Agreement.</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we will be required to repay the principal of the Term Facility in 24 consecutive equal monthly installments or, in the case of the Interest-Only Period Extension, 12 consecutive equal monthly installments. At maturity, or if earlier prepaid, we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w:t>
      </w:r>
    </w:p>
    <w:p>
      <w:pPr>
        <w:spacing w:after="0" w:line="1" w:lineRule="exact"/>
        <w:rPr>
          <w:sz w:val="20"/>
          <w:szCs w:val="20"/>
          <w:color w:val="auto"/>
        </w:rPr>
      </w:pPr>
    </w:p>
    <w:p>
      <w:pPr>
        <w:ind w:firstLine="8"/>
        <w:spacing w:after="0" w:line="260" w:lineRule="auto"/>
        <w:tabs>
          <w:tab w:leader="none" w:pos="2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Loan Agreement; provided, that such fee will be waived by the Lender in the event that we have requested and the Lender has funded any loans under the Term Facility prior to such date.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48"/>
        </w:trPr>
        <w:tc>
          <w:tcPr>
            <w:tcW w:w="7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ind w:right="775"/>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r>
      <w:tr>
        <w:trPr>
          <w:trHeight w:val="173"/>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(41,712)</w:t>
            </w:r>
          </w:p>
        </w:tc>
        <w:tc>
          <w:tcPr>
            <w:tcW w:w="5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(21,129)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(42,536)</w:t>
            </w:r>
          </w:p>
        </w:tc>
        <w:tc>
          <w:tcPr>
            <w:tcW w:w="5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(21,271)</w:t>
            </w: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$41.7 million of cash, primarily due to our net loss of $41.4 million and changes in our operating assets and liabilities of $3.6 million, partially offset by non-cash charges of $3.3 million. The changes in our operating assets and liabilities primarily consisted of a $11.6 million decrease in accounts payable, a $2.1 million increase in prepaid expenses and other current assets, a $1.0 million increase in other non-current assets, and a $0.3 million decrease in operating lease liabilities, partially offset by a $9.2 million increase in accrued expenses and a $2.2 million decrease in accounts receivable. The change in accounts payable and accrued expenses was primarily due to the timing of vendor invoicing and payments.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$21.1 million of cash, primarily due to our net loss of $16.3 million, and changes in our operating assets and liabilities of $8.4 million, partially offset by non-cash charges of $3.6 million. The changes in our operating assets and liabilities primarily consisted of a $10.0 million decrease in accrued expenses, a $1.6 million decrease in accounts payable, and a $0.4 million decrease in operating lease liabilities, partially offset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by a $2.3 million decrease in accounts receivable and a $1.3 million decrease in prepaid expenses and other current assets. The decrease in accrued expenses was primarily due to the timing of vendor invoicing and payments.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2026 consisted of $0.7 million in purchases of property and equipment.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2025 consisted of $0.1 million in purchases of property and equipment.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2026 consisted of $0.2 million in payments for offering costs related to the Underwriting Agreement and $0.1 million in payments for offering costs related to the Sales Agreement, partially offset by $0.1 million from the issuance of common stock under our employee stock purchase plan, and $0.1 million from exercises of stock options.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2025 consisted of $0.1 million from the exercises of stock options and the issuance of common stock under our employee stock purchase plan, offset by $0.1 million in payments for offering costs related to the Sales Agreement.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expenses are expected to increase in connection with our ongoing activities, particularly as we advance the REVOLUTION clinical program, our nonclinical and preclinical studies, and the clinical trials of our other product candidates, our ongoing and planned commercialization efforts, and any associated manufacturing activities in connection with our clinical development and commercialization activities. Our funding requirements and timing and amount of our operating expenditures will depend on many factors, including:</w:t>
      </w:r>
    </w:p>
    <w:p>
      <w:pPr>
        <w:spacing w:after="0" w:line="72" w:lineRule="exact"/>
        <w:rPr>
          <w:sz w:val="20"/>
          <w:szCs w:val="20"/>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 including our REVOLUTION clinical program;</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build and maintain a commercial infrastructure for product candidates for which we obtain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6" w:name="page37"/>
    <w:bookmarkEnd w:id="36"/>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Ability to Continue as a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condensed consolidated financial statements. Based on current operating plans and excluding future external financing, we will not have sufficient cash and cash equivalents to fund our operating expenses and capital requirements beyond one year from the issuance of these condensed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expect to finance our operations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To the extent that we raise 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Such restrictions could adversely impact our ability to conduct our operations and execute our business plan.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lease certain office and laboratory space classified as operating leases. See Note 9 of our condensed consolidated financial statements included in this Quarterly Report on Form 10-Q for further detail on our lease obligations and the timing of expected future payments.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enter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we are contractually obligated to make certain payments to vendors upon early termination, primarily to reimburse them for their unrecoverable outlays incurred prior to cancellation as well as any amounts owed by us prior to early termination. The actual amounts we could pay in the future to the vendors under such agreements may differ from the purchase order amounts due to cancellation provisions. The termination fees were not probable of payment as of March 31,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U.S. The preparation of our financial statements and related disclosures requires us to make estimates, assumptions and judgments that affect the reported amounts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the 2025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2025 Form 10-K.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will remain an emerging growth company until December 31, 2026.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Financial Officer (our principal executive officer and principal financial officer), evaluated the effectiveness of our disclosure controls and procedures as of March 31, 2026. The term “disclosure controls and procedures,” as defined in Rules 13a-15(e) and 15d-15(e) under the Exchange Act as amended,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2026, our Chief Financial Officer concluded that our disclosure controls and procedures as of such date were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March 31, 2026 that have materially affected, or are reasonably likely to materially affect, our internal control over financial reporting.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other litigation relating to claims arising in the ordinary course of business. We accrue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March 31, 2026, we were not a party to any material legal proceedings.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risks and uncertainties related to our business appears in Part I, Item 1A. “Risk Factors” of the 2025 Form 10-K. As of the date of this Quarterly Report on Form 10-Q, there have been no material changes from the risk factors set forth in the 2025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issue any unregistered equity securities during the three months ended March 31,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three months ended March 31,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adopted or terminated a “Rule 10b5-1 trading arrangement” or a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1"/>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00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Amended and Restated Certificate of Incorporation (incorporated by reference to Exhibit 3.1 of the Company’s Current Report on Form 8-</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K (File No. 001-40703), filed with the Securities and Exchange Commission on August 10, 2021).</w:t>
              </w:r>
            </w:hyperlink>
          </w:p>
        </w:tc>
        <w:tc>
          <w:tcPr>
            <w:tcW w:w="30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5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Company’s Current Report on Form 8-K (File No. 001-40703), filed with the Securities and Exchange Commission on September 13,</w:t>
              </w:r>
            </w:hyperlink>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14">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95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Company’s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97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Amended and Restated Bylaws (incorporated by reference to Exhibit 3.2 of the Company’s Current Report on Form 8-K (File No. 001-</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40703)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13,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98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Amendment No. 1 to the Amended and Restated Bylaws (incorporated by reference to Exhibit 3.2 of the Company’s Current Report on</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Form 8-K (File No. 001-40703), filed with the Securities and Exchange Commission on May 25, 2023).</w:t>
              </w:r>
            </w:hyperlink>
          </w:p>
        </w:tc>
        <w:tc>
          <w:tcPr>
            <w:tcW w:w="26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100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Delaware Certificate of Change of Registered Agent (incorporated by reference to Exhibit 3.3 of the Company's Registration Statement on</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S-3 (File No. 333-267643), filed with the Securities and Exchange Commission on September 28, 2022).</w:t>
              </w:r>
            </w:hyperlink>
          </w:p>
        </w:tc>
        <w:tc>
          <w:tcPr>
            <w:tcW w:w="20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First Amendment to the Employment Agreement of Jill Andersen, by and between the Registrant and Jill Andersen, dated January 31, 2026</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(incorporated by reference to Exhibit 10.7 of the Company’s Annual Report on Form 10-K (File No. 001-40703), filed with the Securities</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and Exchange Commission on March 5,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First Amendment to the Employment Agreement of Robert Allen, by and between the Registrant and Robert Allen, dated January 31,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(incorporated by reference to Exhibit 10.9 of the Company’s Annual Report on Form 10-K (File No. 001-40703), filed with the Securities</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and Exchange Commission on March 5,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1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First Amendment to the Employment Agreement of William Duke, Jr., by and between the Registrant and William Duke, Jr., dated January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31, 2026 (incorporated by reference to Exhibit 10.11 of the Company’s Annual Report on Form 10-K (File No. 001-40703), filed with the</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Securities and Exchange Commission on March 5, 2026).</w:t>
              </w:r>
            </w:hyperlink>
          </w:p>
        </w:tc>
        <w:tc>
          <w:tcPr>
            <w:tcW w:w="20" w:type="dxa"/>
            <w:vAlign w:val="bottom"/>
            <w:tcBorders>
              <w:bottom w:val="single" w:sz="8" w:color="0000EE"/>
            </w:tcBorders>
          </w:tcPr>
          <w:p>
            <w:pPr>
              <w:spacing w:after="0"/>
              <w:rPr>
                <w:sz w:val="17"/>
                <w:szCs w:val="17"/>
                <w:color w:val="auto"/>
              </w:rPr>
            </w:pPr>
          </w:p>
        </w:tc>
        <w:tc>
          <w:tcPr>
            <w:tcW w:w="59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0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Second Amendment to the Employment Agreement of Julie Green, by and between the Registrant and Julie Green, dated January 31, 2026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(incorporated by reference to Exhibit 10.14 of the Company’s Annual Report on Form 10-K (File No. 001-40703), filed with the Securities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and Exchange Commission on March 5,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00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First Amendment to the Employment Agreement of Timothy Lee, by and between the Registrant and Timothy Lee, dated January 31, 2026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(incorporated by reference to Exhibit 10.16 of the Company’s Annual Report on Form 10-K (File No. 001-40703), filed with the Securities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and Exchange Commission on March 5,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99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Amendment No. 1 to the Second Amended and Restated Commercial Manufacturing Services Agreement by and between the Registrant</w:t>
            </w: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and WuXi Biologics (Hong Kong) Limited, dated March 4, 2026.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EE"/>
            </w:tcBorders>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986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Amendment No. 3 to the Cell Line License Agreement by and between the Registrant and WuXi Biologics (Hong Kong) Limited, dated</w:t>
            </w: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March 4, 2026.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99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Amendment No. 1 to the Clinical Master Services Agreement by and between the Registrant and WuXi Biologics (Hong Kong) Limited,</w:t>
            </w: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dated March 4, 2026.</w:t>
            </w:r>
          </w:p>
        </w:tc>
        <w:tc>
          <w:tcPr>
            <w:tcW w:w="20" w:type="dxa"/>
            <w:vAlign w:val="bottom"/>
            <w:tcBorders>
              <w:bottom w:val="single" w:sz="8" w:color="0000EE"/>
            </w:tcBorders>
          </w:tcPr>
          <w:p>
            <w:pPr>
              <w:spacing w:after="0"/>
              <w:rPr>
                <w:sz w:val="17"/>
                <w:szCs w:val="17"/>
                <w:color w:val="auto"/>
              </w:rPr>
            </w:pPr>
          </w:p>
        </w:tc>
        <w:tc>
          <w:tcPr>
            <w:tcW w:w="85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04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Rules 13a-14(a) and 15d-14(a) under the Securities</w:t>
            </w: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3440" w:type="dxa"/>
            <w:vAlign w:val="bottom"/>
            <w:tcBorders>
              <w:right w:val="single" w:sz="8" w:color="0000EE"/>
            </w:tcBorders>
            <w:gridSpan w:val="5"/>
            <w:shd w:val="clear" w:color="auto" w:fill="0000FF"/>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98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6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1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1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pursuant to Item 601(b)(10)(iv) of Regulation S-K.</w:t>
      </w:r>
    </w:p>
    <w:p>
      <w:pPr>
        <w:spacing w:after="0" w:line="9" w:lineRule="exact"/>
        <w:rPr>
          <w:sz w:val="20"/>
          <w:szCs w:val="20"/>
          <w:color w:val="auto"/>
        </w:rPr>
      </w:pPr>
    </w:p>
    <w:p>
      <w:pPr>
        <w:ind w:left="460" w:right="680" w:hanging="452"/>
        <w:spacing w:after="0" w:line="260"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 (the “Exchange Act”), or otherwise subject to the liability of that section. Such certification will not be deemed to be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41" w:name="page42"/>
    <w:bookmarkEnd w:id="41"/>
    <w:p>
      <w:pPr>
        <w:ind w:left="452"/>
        <w:spacing w:after="0" w:line="261" w:lineRule="auto"/>
        <w:rPr>
          <w:sz w:val="20"/>
          <w:szCs w:val="20"/>
          <w:color w:val="auto"/>
        </w:rPr>
      </w:pPr>
      <w:r>
        <w:rPr>
          <w:rFonts w:ascii="Times New Roman" w:cs="Times New Roman" w:eastAsia="Times New Roman" w:hAnsi="Times New Roman"/>
          <w:sz w:val="18"/>
          <w:szCs w:val="18"/>
          <w:color w:val="auto"/>
        </w:rPr>
        <w:t>incorporated by reference into any filing under the Securities Act of 1933, as amended, or the Exchange Act, except to the extent specifically incorporated by reference into such filing.</w:t>
      </w:r>
    </w:p>
    <w:p>
      <w:pPr>
        <w:ind w:left="452" w:hanging="452"/>
        <w:spacing w:after="0"/>
        <w:tabs>
          <w:tab w:leader="none" w:pos="4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7"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12"/>
          </w:cols>
          <w:pgMar w:left="328" w:top="1026" w:right="9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INVIVYD, INC.</w:t>
      </w:r>
    </w:p>
    <w:p>
      <w:pPr>
        <w:spacing w:after="0" w:line="225" w:lineRule="exact"/>
        <w:rPr>
          <w:sz w:val="20"/>
          <w:szCs w:val="20"/>
          <w:color w:val="auto"/>
        </w:rPr>
      </w:pPr>
    </w:p>
    <w:p>
      <w:pPr>
        <w:spacing w:after="0"/>
        <w:tabs>
          <w:tab w:leader="none" w:pos="5660" w:val="left"/>
          <w:tab w:leader="none" w:pos="784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3" w:name="page44"/>
    <w:bookmarkEnd w:id="43"/>
    <w:p>
      <w:pPr>
        <w:ind w:left="10120"/>
        <w:spacing w:after="0"/>
        <w:rPr>
          <w:sz w:val="20"/>
          <w:szCs w:val="20"/>
          <w:color w:val="auto"/>
        </w:rPr>
      </w:pPr>
      <w:r>
        <w:rPr>
          <w:rFonts w:ascii="Arial" w:cs="Arial" w:eastAsia="Arial" w:hAnsi="Arial"/>
          <w:sz w:val="21"/>
          <w:szCs w:val="21"/>
          <w:color w:val="auto"/>
        </w:rPr>
        <w:t>Exhibit 10.6</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CERTAIN CONFIDENTIAL INFORMATION CONTAINED IN THIS DOCUMENT, MARKED BY “[***]”, HAS BEEN</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OMITTED BECAUSE IT IS BOTH (I) NOT MATERIAL AND (II) THE TYPE OF INFORMATION THAT THE REGISTRANT TREATS AS PRIVATE OR CONFIDENTIAL.</w:t>
      </w:r>
    </w:p>
    <w:p>
      <w:pPr>
        <w:spacing w:after="0" w:line="176" w:lineRule="exact"/>
        <w:rPr>
          <w:sz w:val="20"/>
          <w:szCs w:val="20"/>
          <w:color w:val="auto"/>
        </w:rPr>
      </w:pPr>
    </w:p>
    <w:p>
      <w:pPr>
        <w:ind w:left="9660"/>
        <w:spacing w:after="0"/>
        <w:rPr>
          <w:sz w:val="20"/>
          <w:szCs w:val="20"/>
          <w:color w:val="auto"/>
        </w:rPr>
      </w:pPr>
      <w:r>
        <w:rPr>
          <w:rFonts w:ascii="Arial" w:cs="Arial" w:eastAsia="Arial" w:hAnsi="Arial"/>
          <w:sz w:val="21"/>
          <w:szCs w:val="21"/>
          <w:color w:val="auto"/>
        </w:rPr>
        <w:t>CONFIDENTIAL</w:t>
      </w:r>
    </w:p>
    <w:p>
      <w:pPr>
        <w:spacing w:after="0" w:line="247"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AMENDMENT NO. 1 TO THE SECOND AMENDED AND RESTATED COMMERCIAL MANUFACTURING SERVICES AGREEMENT</w:t>
      </w:r>
    </w:p>
    <w:p>
      <w:pPr>
        <w:spacing w:after="0" w:line="9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b w:val="1"/>
          <w:bCs w:val="1"/>
          <w:color w:val="auto"/>
        </w:rPr>
        <w:t xml:space="preserve">THIS AMENDMENT NO. 1 TO THE SECOND AMENDED AND RESTATED COMMERCIAL MANUFACTURING SERVICES AGREEMENT </w:t>
      </w:r>
      <w:r>
        <w:rPr>
          <w:rFonts w:ascii="Arial" w:cs="Arial" w:eastAsia="Arial" w:hAnsi="Arial"/>
          <w:sz w:val="22"/>
          <w:szCs w:val="22"/>
          <w:color w:val="auto"/>
        </w:rPr>
        <w:t>(this “</w:t>
      </w:r>
      <w:r>
        <w:rPr>
          <w:rFonts w:ascii="Arial" w:cs="Arial" w:eastAsia="Arial" w:hAnsi="Arial"/>
          <w:sz w:val="22"/>
          <w:szCs w:val="22"/>
          <w:b w:val="1"/>
          <w:bCs w:val="1"/>
          <w:color w:val="auto"/>
        </w:rPr>
        <w:t>Amendment No. 1</w:t>
      </w:r>
      <w:r>
        <w:rPr>
          <w:rFonts w:ascii="Arial" w:cs="Arial" w:eastAsia="Arial" w:hAnsi="Arial"/>
          <w:sz w:val="22"/>
          <w:szCs w:val="22"/>
          <w:color w:val="auto"/>
        </w:rPr>
        <w:t>”), effective as of March 4, 2026 (“the</w:t>
      </w:r>
      <w:r>
        <w:rPr>
          <w:rFonts w:ascii="Arial" w:cs="Arial" w:eastAsia="Arial" w:hAnsi="Arial"/>
          <w:sz w:val="22"/>
          <w:szCs w:val="22"/>
          <w:b w:val="1"/>
          <w:bCs w:val="1"/>
          <w:color w:val="auto"/>
        </w:rPr>
        <w:t xml:space="preserve"> Amendment No. 1 Effective Date</w:t>
      </w:r>
      <w:r>
        <w:rPr>
          <w:rFonts w:ascii="Arial" w:cs="Arial" w:eastAsia="Arial" w:hAnsi="Arial"/>
          <w:sz w:val="22"/>
          <w:szCs w:val="22"/>
          <w:color w:val="auto"/>
        </w:rPr>
        <w:t>”), is entered and made by and between</w:t>
      </w:r>
      <w:r>
        <w:rPr>
          <w:rFonts w:ascii="Arial" w:cs="Arial" w:eastAsia="Arial" w:hAnsi="Arial"/>
          <w:sz w:val="22"/>
          <w:szCs w:val="22"/>
          <w:b w:val="1"/>
          <w:bCs w:val="1"/>
          <w:color w:val="auto"/>
        </w:rPr>
        <w:t xml:space="preserve"> WuXi Biologics (Hong Kong) Limited</w:t>
      </w:r>
      <w:r>
        <w:rPr>
          <w:rFonts w:ascii="Arial" w:cs="Arial" w:eastAsia="Arial" w:hAnsi="Arial"/>
          <w:sz w:val="22"/>
          <w:szCs w:val="22"/>
          <w:color w:val="auto"/>
        </w:rPr>
        <w:t>, having an address at</w:t>
      </w:r>
      <w:r>
        <w:rPr>
          <w:rFonts w:ascii="Arial" w:cs="Arial" w:eastAsia="Arial" w:hAnsi="Arial"/>
          <w:sz w:val="22"/>
          <w:szCs w:val="22"/>
          <w:b w:val="1"/>
          <w:bCs w:val="1"/>
          <w:color w:val="auto"/>
        </w:rPr>
        <w:t xml:space="preserve"> </w:t>
      </w:r>
      <w:r>
        <w:rPr>
          <w:rFonts w:ascii="Arial" w:cs="Arial" w:eastAsia="Arial" w:hAnsi="Arial"/>
          <w:sz w:val="22"/>
          <w:szCs w:val="22"/>
          <w:color w:val="auto"/>
        </w:rPr>
        <w:t>Unit 417,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Lippo Centre Tower Two, No. 89 Queensway, Admiralty, Hong Kong (“</w:t>
      </w:r>
      <w:r>
        <w:rPr>
          <w:rFonts w:ascii="Arial" w:cs="Arial" w:eastAsia="Arial" w:hAnsi="Arial"/>
          <w:sz w:val="22"/>
          <w:szCs w:val="22"/>
          <w:b w:val="1"/>
          <w:bCs w:val="1"/>
          <w:color w:val="auto"/>
        </w:rPr>
        <w:t>WuXi Biologics</w:t>
      </w:r>
      <w:r>
        <w:rPr>
          <w:rFonts w:ascii="Arial" w:cs="Arial" w:eastAsia="Arial" w:hAnsi="Arial"/>
          <w:sz w:val="22"/>
          <w:szCs w:val="22"/>
          <w:color w:val="auto"/>
        </w:rPr>
        <w:t xml:space="preserve">”), and </w:t>
      </w:r>
      <w:r>
        <w:rPr>
          <w:rFonts w:ascii="Arial" w:cs="Arial" w:eastAsia="Arial" w:hAnsi="Arial"/>
          <w:sz w:val="22"/>
          <w:szCs w:val="22"/>
          <w:b w:val="1"/>
          <w:bCs w:val="1"/>
          <w:color w:val="auto"/>
        </w:rPr>
        <w:t xml:space="preserve">Invivyd, Inc. </w:t>
      </w:r>
      <w:r>
        <w:rPr>
          <w:rFonts w:ascii="Arial" w:cs="Arial" w:eastAsia="Arial" w:hAnsi="Arial"/>
          <w:sz w:val="22"/>
          <w:szCs w:val="22"/>
          <w:color w:val="auto"/>
        </w:rPr>
        <w:t>having its principal place of business at 209 Church St., New Haven, CT 06510 (“</w:t>
      </w:r>
      <w:r>
        <w:rPr>
          <w:rFonts w:ascii="Arial" w:cs="Arial" w:eastAsia="Arial" w:hAnsi="Arial"/>
          <w:sz w:val="22"/>
          <w:szCs w:val="22"/>
          <w:b w:val="1"/>
          <w:bCs w:val="1"/>
          <w:color w:val="auto"/>
        </w:rPr>
        <w:t>Client</w:t>
      </w:r>
      <w:r>
        <w:rPr>
          <w:rFonts w:ascii="Arial" w:cs="Arial" w:eastAsia="Arial" w:hAnsi="Arial"/>
          <w:sz w:val="22"/>
          <w:szCs w:val="22"/>
          <w:color w:val="auto"/>
        </w:rPr>
        <w:t>”). WuXi</w:t>
      </w:r>
      <w:r>
        <w:rPr>
          <w:rFonts w:ascii="Arial" w:cs="Arial" w:eastAsia="Arial" w:hAnsi="Arial"/>
          <w:sz w:val="22"/>
          <w:szCs w:val="22"/>
          <w:b w:val="1"/>
          <w:bCs w:val="1"/>
          <w:color w:val="auto"/>
        </w:rPr>
        <w:t xml:space="preserve"> </w:t>
      </w:r>
      <w:r>
        <w:rPr>
          <w:rFonts w:ascii="Arial" w:cs="Arial" w:eastAsia="Arial" w:hAnsi="Arial"/>
          <w:sz w:val="22"/>
          <w:szCs w:val="22"/>
          <w:color w:val="auto"/>
        </w:rPr>
        <w:t>Biologics and Client may be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WuXi Biologics and Client entered into that certain SECOND AMENDED AND RESTATED</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 MANUFACTURING SERVICES AGREEMENT, dated as of September 19, 2023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WuXi Biologics’ address was formerly at “Flat/RM826, 8/F Ocean Centre Harbour City, 5 Canton Road</w:t>
      </w:r>
      <w:r>
        <w:rPr>
          <w:rFonts w:ascii="Arial" w:cs="Arial" w:eastAsia="Arial" w:hAnsi="Arial"/>
          <w:sz w:val="22"/>
          <w:szCs w:val="22"/>
          <w:b w:val="1"/>
          <w:bCs w:val="1"/>
          <w:color w:val="auto"/>
        </w:rPr>
        <w:t xml:space="preserve"> </w:t>
      </w:r>
      <w:r>
        <w:rPr>
          <w:rFonts w:ascii="Arial" w:cs="Arial" w:eastAsia="Arial" w:hAnsi="Arial"/>
          <w:sz w:val="22"/>
          <w:szCs w:val="22"/>
          <w:color w:val="auto"/>
        </w:rPr>
        <w:t>TST, Hong Kong” and Client’s address was formerly at “1601 Trapelo Road, Suite 178, Waltham, MA 02451”; and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now desire to amend the Agreement as set forth herein;</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agreements contained herein below, the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is acknowledged by both Parties, the Parties agree as follows:</w:t>
      </w:r>
    </w:p>
    <w:p>
      <w:pPr>
        <w:spacing w:after="0" w:line="154" w:lineRule="exact"/>
        <w:rPr>
          <w:sz w:val="20"/>
          <w:szCs w:val="20"/>
          <w:color w:val="auto"/>
        </w:rPr>
      </w:pPr>
    </w:p>
    <w:p>
      <w:pPr>
        <w:ind w:left="740" w:hanging="732"/>
        <w:spacing w:after="0"/>
        <w:tabs>
          <w:tab w:leader="none" w:pos="740" w:val="left"/>
        </w:tabs>
        <w:numPr>
          <w:ilvl w:val="0"/>
          <w:numId w:val="30"/>
        </w:numPr>
        <w:rPr>
          <w:rFonts w:ascii="Calibri" w:cs="Calibri" w:eastAsia="Calibri" w:hAnsi="Calibri"/>
          <w:sz w:val="22"/>
          <w:szCs w:val="22"/>
          <w:color w:val="auto"/>
        </w:rPr>
      </w:pPr>
      <w:r>
        <w:rPr>
          <w:rFonts w:ascii="Arial" w:cs="Arial" w:eastAsia="Arial" w:hAnsi="Arial"/>
          <w:sz w:val="22"/>
          <w:szCs w:val="22"/>
          <w:color w:val="auto"/>
        </w:rPr>
        <w:t>Section 1.34 of the Agreement is hereby deleted in its entirety and replaced with the following:</w:t>
      </w:r>
    </w:p>
    <w:p>
      <w:pPr>
        <w:spacing w:after="0" w:line="215" w:lineRule="exact"/>
        <w:rPr>
          <w:sz w:val="20"/>
          <w:szCs w:val="20"/>
          <w:color w:val="auto"/>
        </w:rPr>
      </w:pPr>
    </w:p>
    <w:p>
      <w:pPr>
        <w:jc w:val="both"/>
        <w:ind w:left="1220" w:hanging="748"/>
        <w:spacing w:after="0"/>
        <w:rPr>
          <w:sz w:val="20"/>
          <w:szCs w:val="20"/>
          <w:color w:val="auto"/>
        </w:rPr>
      </w:pPr>
      <w:r>
        <w:rPr>
          <w:rFonts w:ascii="Arial" w:cs="Arial" w:eastAsia="Arial" w:hAnsi="Arial"/>
          <w:sz w:val="22"/>
          <w:szCs w:val="22"/>
          <w:color w:val="auto"/>
        </w:rPr>
        <w:t>1.34 “</w:t>
      </w:r>
      <w:r>
        <w:rPr>
          <w:rFonts w:ascii="Arial" w:cs="Arial" w:eastAsia="Arial" w:hAnsi="Arial"/>
          <w:sz w:val="22"/>
          <w:szCs w:val="22"/>
          <w:b w:val="1"/>
          <w:bCs w:val="1"/>
          <w:color w:val="auto"/>
        </w:rPr>
        <w:t>Products</w:t>
      </w:r>
      <w:r>
        <w:rPr>
          <w:rFonts w:ascii="Arial" w:cs="Arial" w:eastAsia="Arial" w:hAnsi="Arial"/>
          <w:sz w:val="22"/>
          <w:szCs w:val="22"/>
          <w:color w:val="auto"/>
        </w:rPr>
        <w:t>” means each of the Drug Substance and Drug Products, that may be produced by a cell line under the Cell Line License Agreement, set out on a Product Schedule, as may be entered into between the Parties from time to time, that are Manufactured under this Agreement, including any applicable Purchase Order.</w:t>
      </w:r>
    </w:p>
    <w:p>
      <w:pPr>
        <w:spacing w:after="0" w:line="178" w:lineRule="exact"/>
        <w:rPr>
          <w:sz w:val="20"/>
          <w:szCs w:val="20"/>
          <w:color w:val="auto"/>
        </w:rPr>
      </w:pPr>
    </w:p>
    <w:p>
      <w:pPr>
        <w:ind w:left="740" w:hanging="732"/>
        <w:spacing w:after="0"/>
        <w:tabs>
          <w:tab w:leader="none" w:pos="740" w:val="left"/>
        </w:tabs>
        <w:numPr>
          <w:ilvl w:val="0"/>
          <w:numId w:val="31"/>
        </w:numPr>
        <w:rPr>
          <w:rFonts w:ascii="Calibri" w:cs="Calibri" w:eastAsia="Calibri" w:hAnsi="Calibri"/>
          <w:sz w:val="22"/>
          <w:szCs w:val="22"/>
          <w:color w:val="auto"/>
        </w:rPr>
      </w:pPr>
      <w:r>
        <w:rPr>
          <w:rFonts w:ascii="Arial" w:cs="Arial" w:eastAsia="Arial" w:hAnsi="Arial"/>
          <w:sz w:val="22"/>
          <w:szCs w:val="22"/>
          <w:color w:val="auto"/>
        </w:rPr>
        <w:t>Section 19.1 of the Agreement is hereby deleted in its entirety and replaced with the following:</w:t>
      </w:r>
    </w:p>
    <w:p>
      <w:pPr>
        <w:spacing w:after="0" w:line="215" w:lineRule="exact"/>
        <w:rPr>
          <w:sz w:val="20"/>
          <w:szCs w:val="20"/>
          <w:color w:val="auto"/>
        </w:rPr>
      </w:pPr>
    </w:p>
    <w:p>
      <w:pPr>
        <w:jc w:val="both"/>
        <w:ind w:left="1220" w:hanging="808"/>
        <w:spacing w:after="0" w:line="237" w:lineRule="auto"/>
        <w:tabs>
          <w:tab w:leader="none" w:pos="1200" w:val="left"/>
        </w:tabs>
        <w:rPr>
          <w:sz w:val="20"/>
          <w:szCs w:val="20"/>
          <w:color w:val="auto"/>
        </w:rPr>
      </w:pPr>
      <w:r>
        <w:rPr>
          <w:rFonts w:ascii="Calibri" w:cs="Calibri" w:eastAsia="Calibri" w:hAnsi="Calibri"/>
          <w:sz w:val="22"/>
          <w:szCs w:val="22"/>
          <w:color w:val="auto"/>
        </w:rPr>
        <w:t>19.1</w:t>
      </w:r>
      <w:r>
        <w:rPr>
          <w:sz w:val="20"/>
          <w:szCs w:val="20"/>
          <w:color w:val="auto"/>
        </w:rPr>
        <w:tab/>
      </w:r>
      <w:r>
        <w:rPr>
          <w:rFonts w:ascii="Arial" w:cs="Arial" w:eastAsia="Arial" w:hAnsi="Arial"/>
          <w:sz w:val="22"/>
          <w:szCs w:val="22"/>
          <w:b w:val="1"/>
          <w:bCs w:val="1"/>
          <w:color w:val="auto"/>
        </w:rPr>
        <w:t>Term</w:t>
      </w:r>
      <w:r>
        <w:rPr>
          <w:rFonts w:ascii="Arial" w:cs="Arial" w:eastAsia="Arial" w:hAnsi="Arial"/>
          <w:sz w:val="22"/>
          <w:szCs w:val="22"/>
          <w:color w:val="auto"/>
        </w:rPr>
        <w:t>. This Agreement shall enter into effect on the date after both Parties sign this Second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 Restated Commercial Manufacturing Services Agreement and will be valid for an initial period until March 1, 2036 (the “</w:t>
      </w:r>
      <w:r>
        <w:rPr>
          <w:rFonts w:ascii="Arial" w:cs="Arial" w:eastAsia="Arial" w:hAnsi="Arial"/>
          <w:sz w:val="22"/>
          <w:szCs w:val="22"/>
          <w:b w:val="1"/>
          <w:bCs w:val="1"/>
          <w:color w:val="auto"/>
        </w:rPr>
        <w:t>Initial Term</w:t>
      </w:r>
      <w:r>
        <w:rPr>
          <w:rFonts w:ascii="Arial" w:cs="Arial" w:eastAsia="Arial" w:hAnsi="Arial"/>
          <w:sz w:val="22"/>
          <w:szCs w:val="22"/>
          <w:color w:val="auto"/>
        </w:rPr>
        <w:t>”), and thereafter may be renewed for further periods to be agreed to by the Parties in a written amendment (the “</w:t>
      </w:r>
      <w:r>
        <w:rPr>
          <w:rFonts w:ascii="Arial" w:cs="Arial" w:eastAsia="Arial" w:hAnsi="Arial"/>
          <w:sz w:val="22"/>
          <w:szCs w:val="22"/>
          <w:b w:val="1"/>
          <w:bCs w:val="1"/>
          <w:color w:val="auto"/>
        </w:rPr>
        <w:t>Renewal Term</w:t>
      </w:r>
      <w:r>
        <w:rPr>
          <w:rFonts w:ascii="Arial" w:cs="Arial" w:eastAsia="Arial" w:hAnsi="Arial"/>
          <w:sz w:val="22"/>
          <w:szCs w:val="22"/>
          <w:color w:val="auto"/>
        </w:rPr>
        <w:t>” and together with the Initial Term, the “</w:t>
      </w:r>
      <w:r>
        <w:rPr>
          <w:rFonts w:ascii="Arial" w:cs="Arial" w:eastAsia="Arial" w:hAnsi="Arial"/>
          <w:sz w:val="22"/>
          <w:szCs w:val="22"/>
          <w:b w:val="1"/>
          <w:bCs w:val="1"/>
          <w:color w:val="auto"/>
        </w:rPr>
        <w:t>Term</w:t>
      </w:r>
      <w:r>
        <w:rPr>
          <w:rFonts w:ascii="Arial" w:cs="Arial" w:eastAsia="Arial" w:hAnsi="Arial"/>
          <w:sz w:val="22"/>
          <w:szCs w:val="22"/>
          <w:color w:val="auto"/>
        </w:rPr>
        <w:t>”), unless terminated earlier as provided for elsewhere in this Agreement. If either Party does not wish to renew this Agreement, notice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4" w:lineRule="exact"/>
        <w:rPr>
          <w:sz w:val="20"/>
          <w:szCs w:val="20"/>
          <w:color w:val="auto"/>
        </w:rPr>
      </w:pPr>
    </w:p>
    <w:p>
      <w:pPr>
        <w:jc w:val="both"/>
        <w:ind w:left="1220"/>
        <w:spacing w:after="0" w:line="245" w:lineRule="auto"/>
        <w:rPr>
          <w:sz w:val="20"/>
          <w:szCs w:val="20"/>
          <w:color w:val="auto"/>
        </w:rPr>
      </w:pPr>
      <w:r>
        <w:rPr>
          <w:rFonts w:ascii="Arial" w:cs="Arial" w:eastAsia="Arial" w:hAnsi="Arial"/>
          <w:sz w:val="22"/>
          <w:szCs w:val="22"/>
          <w:color w:val="auto"/>
        </w:rPr>
        <w:t>be provided [***] before the Initial Term or a Renewal Term expire (unless otherwise mutually agreed) to account for the binding forecasts provided under this Agreement and to provide for an orderly wind-down.</w:t>
      </w:r>
    </w:p>
    <w:p>
      <w:pPr>
        <w:spacing w:after="0" w:line="170" w:lineRule="exact"/>
        <w:rPr>
          <w:sz w:val="20"/>
          <w:szCs w:val="20"/>
          <w:color w:val="auto"/>
        </w:rPr>
      </w:pPr>
    </w:p>
    <w:p>
      <w:pPr>
        <w:ind w:left="740" w:hanging="732"/>
        <w:spacing w:after="0" w:line="244" w:lineRule="auto"/>
        <w:tabs>
          <w:tab w:leader="none" w:pos="740" w:val="left"/>
        </w:tabs>
        <w:numPr>
          <w:ilvl w:val="0"/>
          <w:numId w:val="32"/>
        </w:numPr>
        <w:rPr>
          <w:rFonts w:ascii="Calibri" w:cs="Calibri" w:eastAsia="Calibri" w:hAnsi="Calibri"/>
          <w:sz w:val="22"/>
          <w:szCs w:val="22"/>
          <w:color w:val="auto"/>
        </w:rPr>
      </w:pPr>
      <w:r>
        <w:rPr>
          <w:rFonts w:ascii="Arial" w:cs="Arial" w:eastAsia="Arial" w:hAnsi="Arial"/>
          <w:sz w:val="22"/>
          <w:szCs w:val="22"/>
          <w:color w:val="auto"/>
        </w:rPr>
        <w:t>A new Section 19.6 and a new Section 19.7 are hereby inserted immediately following Section 19.5 as follows:</w:t>
      </w:r>
    </w:p>
    <w:p>
      <w:pPr>
        <w:spacing w:after="0" w:line="170" w:lineRule="exact"/>
        <w:rPr>
          <w:sz w:val="20"/>
          <w:szCs w:val="20"/>
          <w:color w:val="auto"/>
        </w:rPr>
      </w:pPr>
    </w:p>
    <w:p>
      <w:pPr>
        <w:jc w:val="both"/>
        <w:ind w:left="1220" w:hanging="808"/>
        <w:spacing w:after="0" w:line="236" w:lineRule="auto"/>
        <w:tabs>
          <w:tab w:leader="none" w:pos="1200" w:val="left"/>
        </w:tabs>
        <w:rPr>
          <w:sz w:val="20"/>
          <w:szCs w:val="20"/>
          <w:color w:val="auto"/>
        </w:rPr>
      </w:pPr>
      <w:r>
        <w:rPr>
          <w:rFonts w:ascii="Calibri" w:cs="Calibri" w:eastAsia="Calibri" w:hAnsi="Calibri"/>
          <w:sz w:val="22"/>
          <w:szCs w:val="22"/>
          <w:color w:val="auto"/>
        </w:rPr>
        <w:t>19.6</w:t>
      </w:r>
      <w:r>
        <w:rPr>
          <w:sz w:val="20"/>
          <w:szCs w:val="20"/>
          <w:color w:val="auto"/>
        </w:rPr>
        <w:tab/>
      </w:r>
      <w:r>
        <w:rPr>
          <w:rFonts w:ascii="Arial" w:cs="Arial" w:eastAsia="Arial" w:hAnsi="Arial"/>
          <w:sz w:val="22"/>
          <w:szCs w:val="22"/>
          <w:b w:val="1"/>
          <w:bCs w:val="1"/>
          <w:color w:val="auto"/>
        </w:rPr>
        <w:t xml:space="preserve">Termination for Convenience. </w:t>
      </w:r>
      <w:r>
        <w:rPr>
          <w:rFonts w:ascii="Arial" w:cs="Arial" w:eastAsia="Arial" w:hAnsi="Arial"/>
          <w:sz w:val="22"/>
          <w:szCs w:val="22"/>
          <w:color w:val="auto"/>
        </w:rPr>
        <w:t>Client may terminate this Agreement or a Purchase Order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with [***] advance written notice to WuXi Biologics; provided that to the extent the Agreement is terminated but a Purchase Order is not, this Agreement will remain in force and effect with respect to such Purchase Order until the completion of the Services under such Purchase Order; and provided further that termination of the Agreement or any Purchase Order will not relieve Client of any payment obligations which have accrued pursuant to this Agreement, nor from the binding component of any Forecast Schedule.</w:t>
      </w:r>
    </w:p>
    <w:p>
      <w:pPr>
        <w:spacing w:after="0" w:line="176" w:lineRule="exact"/>
        <w:rPr>
          <w:sz w:val="20"/>
          <w:szCs w:val="20"/>
          <w:color w:val="auto"/>
        </w:rPr>
      </w:pPr>
    </w:p>
    <w:p>
      <w:pPr>
        <w:jc w:val="both"/>
        <w:ind w:left="1220" w:hanging="808"/>
        <w:spacing w:after="0" w:line="232" w:lineRule="auto"/>
        <w:tabs>
          <w:tab w:leader="none" w:pos="1200" w:val="left"/>
        </w:tabs>
        <w:rPr>
          <w:sz w:val="20"/>
          <w:szCs w:val="20"/>
          <w:color w:val="auto"/>
        </w:rPr>
      </w:pPr>
      <w:r>
        <w:rPr>
          <w:rFonts w:ascii="Calibri" w:cs="Calibri" w:eastAsia="Calibri" w:hAnsi="Calibri"/>
          <w:sz w:val="22"/>
          <w:szCs w:val="22"/>
          <w:color w:val="auto"/>
        </w:rPr>
        <w:t>19.7</w:t>
      </w:r>
      <w:r>
        <w:rPr>
          <w:sz w:val="20"/>
          <w:szCs w:val="20"/>
          <w:color w:val="auto"/>
        </w:rPr>
        <w:tab/>
      </w:r>
      <w:r>
        <w:rPr>
          <w:rFonts w:ascii="Arial" w:cs="Arial" w:eastAsia="Arial" w:hAnsi="Arial"/>
          <w:sz w:val="22"/>
          <w:szCs w:val="22"/>
          <w:b w:val="1"/>
          <w:bCs w:val="1"/>
          <w:color w:val="auto"/>
        </w:rPr>
        <w:t xml:space="preserve">Termination Due to Legal Reasons. </w:t>
      </w:r>
      <w:r>
        <w:rPr>
          <w:rFonts w:ascii="Arial" w:cs="Arial" w:eastAsia="Arial" w:hAnsi="Arial"/>
          <w:sz w:val="22"/>
          <w:szCs w:val="22"/>
          <w:color w:val="auto"/>
        </w:rPr>
        <w:t>If any applicable law (including any Applicable Law) rule,</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 guideline, or order in effect and as amended from time-to-time, or any newly enacted and in effect applicable law, rule, regulation, guideline, or order, materially prevents Client from being able to enter into or maintain a contract with a United States governmental entity or from receiving grant funds from such a US governmental entity, or materially affects Client’s ability to obtain government insurance coverage, including but not limited to [***], of any Product, in each case, as a result of Provider providing the Services to Client under this Agreement or as a result of Client being a party to this Agreement (any such law, rule, regulation, guideline, or order, new or existing, or any change to any of the foregoing, an “</w:t>
      </w:r>
      <w:r>
        <w:rPr>
          <w:rFonts w:ascii="Arial" w:cs="Arial" w:eastAsia="Arial" w:hAnsi="Arial"/>
          <w:sz w:val="22"/>
          <w:szCs w:val="22"/>
          <w:b w:val="1"/>
          <w:bCs w:val="1"/>
          <w:color w:val="auto"/>
        </w:rPr>
        <w:t>Interfering Law</w:t>
      </w:r>
      <w:r>
        <w:rPr>
          <w:rFonts w:ascii="Arial" w:cs="Arial" w:eastAsia="Arial" w:hAnsi="Arial"/>
          <w:sz w:val="22"/>
          <w:szCs w:val="22"/>
          <w:color w:val="auto"/>
        </w:rPr>
        <w:t>”), Client may terminate this Agreement and/or any Purchase Orders, solely to the extent this Agreement or such Purchase Orders specifically relate to Product intended for sale or use in the US market, upon written notice to WuXi Biologics, effective immediately, with such written notice to describe: (i) the Interfering Law; (ii) the expected adverse effect such Interfering Law could reasonably be expected to have on this Agreement and/or Purchase Order; and (iii) why Client must terminate this Agreement and/or Purchase Order to avoid or mitigate such adverse effect. For clarity, Client shall remain fully liable with respect to the cancellation of any outstanding Purchase Orders, and no termination or cancellation shall relieve Client of any payment obligations which would otherwise have been incurred under the binding portion of any Forecast Schedule to the extent Provider, using Commercially Reasonable Efforts, cannot fill Client’s slot(s) with a Third Party’s reasonable comparable production (including scale, process, duration) and/or return, re-sell or reallocate raw materials, as applicable to mitigate costs. Upon such termination, at Client’s option and expense, WuXi Biologics shall use commercially reasonable efforts to conduct a full Technology Transfer (defined below) to Client or any of its Affiliates or any third-party designee, of all materials and information pursuant to the terms of Section 20.5.</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4" w:lineRule="exact"/>
        <w:rPr>
          <w:sz w:val="20"/>
          <w:szCs w:val="20"/>
          <w:color w:val="auto"/>
        </w:rPr>
      </w:pPr>
    </w:p>
    <w:p>
      <w:pPr>
        <w:ind w:left="740" w:hanging="732"/>
        <w:spacing w:after="0"/>
        <w:tabs>
          <w:tab w:leader="none" w:pos="740" w:val="left"/>
        </w:tabs>
        <w:numPr>
          <w:ilvl w:val="0"/>
          <w:numId w:val="33"/>
        </w:numPr>
        <w:rPr>
          <w:rFonts w:ascii="Calibri" w:cs="Calibri" w:eastAsia="Calibri" w:hAnsi="Calibri"/>
          <w:sz w:val="22"/>
          <w:szCs w:val="22"/>
          <w:color w:val="auto"/>
        </w:rPr>
      </w:pPr>
      <w:r>
        <w:rPr>
          <w:rFonts w:ascii="Arial" w:cs="Arial" w:eastAsia="Arial" w:hAnsi="Arial"/>
          <w:sz w:val="22"/>
          <w:szCs w:val="22"/>
          <w:color w:val="auto"/>
        </w:rPr>
        <w:t>Section 20.5 of the Agreement is hereby deleted in its entirety and replaced with the following:</w:t>
      </w:r>
    </w:p>
    <w:p>
      <w:pPr>
        <w:spacing w:after="0" w:line="215" w:lineRule="exact"/>
        <w:rPr>
          <w:sz w:val="20"/>
          <w:szCs w:val="20"/>
          <w:color w:val="auto"/>
        </w:rPr>
      </w:pPr>
    </w:p>
    <w:p>
      <w:pPr>
        <w:jc w:val="both"/>
        <w:ind w:left="440" w:hanging="434"/>
        <w:spacing w:after="0" w:line="243" w:lineRule="auto"/>
        <w:rPr>
          <w:sz w:val="20"/>
          <w:szCs w:val="20"/>
          <w:color w:val="auto"/>
        </w:rPr>
      </w:pPr>
      <w:r>
        <w:rPr>
          <w:rFonts w:ascii="Calibri" w:cs="Calibri" w:eastAsia="Calibri" w:hAnsi="Calibri"/>
          <w:sz w:val="21"/>
          <w:szCs w:val="21"/>
          <w:color w:val="auto"/>
        </w:rPr>
        <w:t xml:space="preserve">20.5 </w:t>
      </w:r>
      <w:r>
        <w:rPr>
          <w:rFonts w:ascii="Arial" w:cs="Arial" w:eastAsia="Arial" w:hAnsi="Arial"/>
          <w:sz w:val="21"/>
          <w:szCs w:val="21"/>
          <w:b w:val="1"/>
          <w:bCs w:val="1"/>
          <w:color w:val="auto"/>
        </w:rPr>
        <w:t>Technical Transfer Assistance</w:t>
      </w:r>
      <w:r>
        <w:rPr>
          <w:rFonts w:ascii="Arial" w:cs="Arial" w:eastAsia="Arial" w:hAnsi="Arial"/>
          <w:sz w:val="21"/>
          <w:szCs w:val="21"/>
          <w:color w:val="auto"/>
        </w:rPr>
        <w:t>. During the Term of this Agreement and for a period of [***] following expiration</w:t>
      </w:r>
      <w:r>
        <w:rPr>
          <w:rFonts w:ascii="Calibri" w:cs="Calibri" w:eastAsia="Calibri" w:hAnsi="Calibri"/>
          <w:sz w:val="21"/>
          <w:szCs w:val="21"/>
          <w:color w:val="auto"/>
        </w:rPr>
        <w:t xml:space="preserve"> </w:t>
      </w:r>
      <w:r>
        <w:rPr>
          <w:rFonts w:ascii="Arial" w:cs="Arial" w:eastAsia="Arial" w:hAnsi="Arial"/>
          <w:sz w:val="21"/>
          <w:szCs w:val="21"/>
          <w:color w:val="auto"/>
        </w:rPr>
        <w:t>or termination of this Agreement, WuXi Biologics will provide, upon the request of Client, its full support and cooperation, including but not limited to training, consulting, and troubleshooting in transferring the then-current Manufacturing processes and testing methods to an alternative site controlled by an alternative manufacturer or testing laboratory, designated by Client. This “Technology Transfer” shall include any information specific to the relevant Client Product and reasonably necessary for the Manufacture of such Product by an alternative manufacturer, including, but not limited to, as applicable, all relevant and Product-specific protocols, batch records, test methods, data, results, interpretation of results, Specifications, and cell lines and cell banks. WuXi Biologics shall be entitled to charge Client for its reasonable personnel and out-of-pocket costs in supporting the technical transfer of the Products, at its then-current charge-out rates for similar activities based on a written and accepted quotation. Additionally, in connection with the technical transfer assistance provided pursuant to this Section 20.5, WuXi Biologics shall, upon receiving corresponding payment and licenses, grant to Client and its Affiliates and designees a perpetual, fully-paid, non-exclusive license under any WuXi Biologics Background IP and WuXi Biologics Arising IP which is reasonably necessary for the Manufacture of each Product, solely to the extent necessary to Manufacture the Products. WuXi Biologics’ obligations to support a technical transfer shall continue until such time as Client, or its designee, successfully Manufactures [***] of each Product.</w:t>
      </w:r>
    </w:p>
    <w:p>
      <w:pPr>
        <w:spacing w:after="0" w:line="179" w:lineRule="exact"/>
        <w:rPr>
          <w:sz w:val="20"/>
          <w:szCs w:val="20"/>
          <w:color w:val="auto"/>
        </w:rPr>
      </w:pPr>
    </w:p>
    <w:p>
      <w:pPr>
        <w:ind w:left="740" w:hanging="732"/>
        <w:spacing w:after="0"/>
        <w:tabs>
          <w:tab w:leader="none" w:pos="740" w:val="left"/>
        </w:tabs>
        <w:numPr>
          <w:ilvl w:val="0"/>
          <w:numId w:val="34"/>
        </w:numPr>
        <w:rPr>
          <w:rFonts w:ascii="Calibri" w:cs="Calibri" w:eastAsia="Calibri" w:hAnsi="Calibri"/>
          <w:sz w:val="22"/>
          <w:szCs w:val="22"/>
          <w:color w:val="auto"/>
        </w:rPr>
      </w:pPr>
      <w:r>
        <w:rPr>
          <w:rFonts w:ascii="Arial" w:cs="Arial" w:eastAsia="Arial" w:hAnsi="Arial"/>
          <w:sz w:val="22"/>
          <w:szCs w:val="22"/>
          <w:color w:val="auto"/>
        </w:rPr>
        <w:t>Section 23.9 of the Agreement is hereby deleted in its entirety and replaced with the following:</w:t>
      </w:r>
    </w:p>
    <w:p>
      <w:pPr>
        <w:spacing w:after="0" w:line="215" w:lineRule="exact"/>
        <w:rPr>
          <w:sz w:val="20"/>
          <w:szCs w:val="20"/>
          <w:color w:val="auto"/>
        </w:rPr>
      </w:pPr>
    </w:p>
    <w:p>
      <w:pPr>
        <w:jc w:val="both"/>
        <w:ind w:left="1220" w:hanging="748"/>
        <w:spacing w:after="0" w:line="256" w:lineRule="auto"/>
        <w:rPr>
          <w:sz w:val="20"/>
          <w:szCs w:val="20"/>
          <w:color w:val="auto"/>
        </w:rPr>
      </w:pPr>
      <w:r>
        <w:rPr>
          <w:rFonts w:ascii="Arial" w:cs="Arial" w:eastAsia="Arial" w:hAnsi="Arial"/>
          <w:sz w:val="21"/>
          <w:szCs w:val="21"/>
          <w:color w:val="auto"/>
        </w:rPr>
        <w:t xml:space="preserve">23.9 </w:t>
      </w:r>
      <w:r>
        <w:rPr>
          <w:rFonts w:ascii="Arial" w:cs="Arial" w:eastAsia="Arial" w:hAnsi="Arial"/>
          <w:sz w:val="21"/>
          <w:szCs w:val="21"/>
          <w:b w:val="1"/>
          <w:bCs w:val="1"/>
          <w:color w:val="auto"/>
        </w:rPr>
        <w:t>Notice</w:t>
      </w:r>
      <w:r>
        <w:rPr>
          <w:rFonts w:ascii="Arial" w:cs="Arial" w:eastAsia="Arial" w:hAnsi="Arial"/>
          <w:sz w:val="21"/>
          <w:szCs w:val="21"/>
          <w:color w:val="auto"/>
        </w:rPr>
        <w:t>. Any notice to be given by either Party under or in connection with this Agreement to the other Party must be in writing in English and shall be: (a) delivered by hand or by courier; (b) sent by pre-paid recorded (</w:t>
      </w:r>
      <w:r>
        <w:rPr>
          <w:rFonts w:ascii="Arial" w:cs="Arial" w:eastAsia="Arial" w:hAnsi="Arial"/>
          <w:sz w:val="21"/>
          <w:szCs w:val="21"/>
          <w:i w:val="1"/>
          <w:iCs w:val="1"/>
          <w:color w:val="auto"/>
        </w:rPr>
        <w:t>i.e.</w:t>
      </w:r>
      <w:r>
        <w:rPr>
          <w:rFonts w:ascii="Arial" w:cs="Arial" w:eastAsia="Arial" w:hAnsi="Arial"/>
          <w:sz w:val="21"/>
          <w:szCs w:val="21"/>
          <w:color w:val="auto"/>
        </w:rPr>
        <w:t xml:space="preserve"> signed for) post or airmail or express overnight courier; or (c) sent by fax, to the addresses set out below (or such other address or number as may be notified to the other Party from time to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WuXi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-153670</wp:posOffset>
            </wp:positionV>
            <wp:extent cx="6202045" cy="12623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6202045" cy="1262380"/>
                    </a:xfrm>
                    <a:prstGeom prst="rect">
                      <a:avLst/>
                    </a:prstGeom>
                    <a:noFill/>
                  </pic:spPr>
                </pic:pic>
              </a:graphicData>
            </a:graphic>
          </wp:anchor>
        </w:drawing>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Client: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1180"/>
        <w:spacing w:after="0" w:line="245" w:lineRule="auto"/>
        <w:rPr>
          <w:sz w:val="20"/>
          <w:szCs w:val="20"/>
          <w:color w:val="auto"/>
        </w:rPr>
      </w:pPr>
      <w:r>
        <w:rPr>
          <w:rFonts w:ascii="Arial" w:cs="Arial" w:eastAsia="Arial" w:hAnsi="Arial"/>
          <w:sz w:val="22"/>
          <w:szCs w:val="22"/>
          <w:color w:val="auto"/>
        </w:rPr>
        <w:t>Unless there is evidence that it was received earlier, notices sent in accordance with this Section 23.9 are to be deemed to have been received: if delivered by hand or by courier, when left at the address referred to above; if sent by post to</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4" w:lineRule="exact"/>
        <w:rPr>
          <w:sz w:val="20"/>
          <w:szCs w:val="20"/>
          <w:color w:val="auto"/>
        </w:rPr>
      </w:pPr>
    </w:p>
    <w:p>
      <w:pPr>
        <w:jc w:val="both"/>
        <w:ind w:left="1180"/>
        <w:spacing w:after="0" w:line="236" w:lineRule="auto"/>
        <w:rPr>
          <w:sz w:val="20"/>
          <w:szCs w:val="20"/>
          <w:color w:val="auto"/>
        </w:rPr>
      </w:pPr>
      <w:r>
        <w:rPr>
          <w:rFonts w:ascii="Arial" w:cs="Arial" w:eastAsia="Arial" w:hAnsi="Arial"/>
          <w:sz w:val="22"/>
          <w:szCs w:val="22"/>
          <w:color w:val="auto"/>
        </w:rPr>
        <w:t>an address within the country of postage, [***] after posting it; if sent by airmail or overnight express courier to an address outside the country of postage, [***] after posting it; or if sent by fax, when transmitted, provided that if deemed receipt occurs before 9am on a Working Day the notice shall be deemed to have been received at 9am on that day, and if deemed receipt occurs after 5pm on a Working Day, or on a day which is not a Working Day, the notice shall be deemed to have been received at 9am on the next Working Day.</w:t>
      </w:r>
    </w:p>
    <w:p>
      <w:pPr>
        <w:spacing w:after="0" w:line="182" w:lineRule="exact"/>
        <w:rPr>
          <w:sz w:val="20"/>
          <w:szCs w:val="20"/>
          <w:color w:val="auto"/>
        </w:rPr>
      </w:pPr>
    </w:p>
    <w:p>
      <w:pPr>
        <w:jc w:val="both"/>
        <w:ind w:left="740" w:hanging="732"/>
        <w:spacing w:after="0" w:line="238" w:lineRule="auto"/>
        <w:tabs>
          <w:tab w:leader="none" w:pos="740" w:val="left"/>
        </w:tabs>
        <w:numPr>
          <w:ilvl w:val="0"/>
          <w:numId w:val="35"/>
        </w:numPr>
        <w:rPr>
          <w:rFonts w:ascii="Calibri" w:cs="Calibri" w:eastAsia="Calibri" w:hAnsi="Calibri"/>
          <w:sz w:val="22"/>
          <w:szCs w:val="22"/>
          <w:color w:val="auto"/>
        </w:rPr>
      </w:pPr>
      <w:r>
        <w:rPr>
          <w:rFonts w:ascii="Arial" w:cs="Arial" w:eastAsia="Arial" w:hAnsi="Arial"/>
          <w:sz w:val="22"/>
          <w:szCs w:val="22"/>
          <w:color w:val="auto"/>
        </w:rPr>
        <w:t>Except as expressly amended by this Amendment No. 1, the Agreement is and shall remain unchanged and in full force and effect in accordance with its terms and the Parties hereto hereby ratify and reaffirm the Agreement as amended hereby.</w:t>
      </w:r>
    </w:p>
    <w:p>
      <w:pPr>
        <w:spacing w:after="0" w:line="176" w:lineRule="exact"/>
        <w:rPr>
          <w:rFonts w:ascii="Calibri" w:cs="Calibri" w:eastAsia="Calibri" w:hAnsi="Calibri"/>
          <w:sz w:val="22"/>
          <w:szCs w:val="22"/>
          <w:color w:val="auto"/>
        </w:rPr>
      </w:pPr>
    </w:p>
    <w:p>
      <w:pPr>
        <w:jc w:val="both"/>
        <w:ind w:left="740" w:hanging="732"/>
        <w:spacing w:after="0" w:line="236" w:lineRule="auto"/>
        <w:tabs>
          <w:tab w:leader="none" w:pos="740" w:val="left"/>
        </w:tabs>
        <w:numPr>
          <w:ilvl w:val="0"/>
          <w:numId w:val="35"/>
        </w:numPr>
        <w:rPr>
          <w:rFonts w:ascii="Calibri" w:cs="Calibri" w:eastAsia="Calibri" w:hAnsi="Calibri"/>
          <w:sz w:val="22"/>
          <w:szCs w:val="22"/>
          <w:color w:val="auto"/>
        </w:rPr>
      </w:pPr>
      <w:r>
        <w:rPr>
          <w:rFonts w:ascii="Arial" w:cs="Arial" w:eastAsia="Arial" w:hAnsi="Arial"/>
          <w:sz w:val="22"/>
          <w:szCs w:val="22"/>
          <w:color w:val="auto"/>
        </w:rPr>
        <w:t>The laws of the State of New York, USA, without giving effect to principles of conflict of laws, govern all matters relating to this Amendment No. 1 and the enforcement and interpretation thereof. Any dispute arising out of or in connection with this Amendment No. 1 shall be resolved in accordance with Section 12.8 of the Agreement.</w:t>
      </w:r>
    </w:p>
    <w:p>
      <w:pPr>
        <w:spacing w:after="0" w:line="177" w:lineRule="exact"/>
        <w:rPr>
          <w:rFonts w:ascii="Calibri" w:cs="Calibri" w:eastAsia="Calibri" w:hAnsi="Calibri"/>
          <w:sz w:val="22"/>
          <w:szCs w:val="22"/>
          <w:color w:val="auto"/>
        </w:rPr>
      </w:pPr>
    </w:p>
    <w:p>
      <w:pPr>
        <w:jc w:val="both"/>
        <w:ind w:left="740" w:hanging="732"/>
        <w:spacing w:after="0" w:line="236" w:lineRule="auto"/>
        <w:tabs>
          <w:tab w:leader="none" w:pos="740" w:val="left"/>
        </w:tabs>
        <w:numPr>
          <w:ilvl w:val="0"/>
          <w:numId w:val="35"/>
        </w:numPr>
        <w:rPr>
          <w:rFonts w:ascii="Calibri" w:cs="Calibri" w:eastAsia="Calibri" w:hAnsi="Calibri"/>
          <w:sz w:val="22"/>
          <w:szCs w:val="22"/>
          <w:color w:val="auto"/>
        </w:rPr>
      </w:pPr>
      <w:r>
        <w:rPr>
          <w:rFonts w:ascii="Arial" w:cs="Arial" w:eastAsia="Arial" w:hAnsi="Arial"/>
          <w:sz w:val="22"/>
          <w:szCs w:val="22"/>
          <w:color w:val="auto"/>
        </w:rPr>
        <w:t>This Amendment No. 1 may be executed in two or more counterparts, each of which shall be deemed an original, but all of which together shall constitute one and the same instrument. Each Party may rely on the delivery of executed electronic copies of counterpart execution pages of this Amendment No. 1 and such electronic copies shall be legally effective to create a valid and binding agreement among the Parties.</w:t>
      </w:r>
    </w:p>
    <w:p>
      <w:pPr>
        <w:spacing w:after="0" w:line="177" w:lineRule="exact"/>
        <w:rPr>
          <w:rFonts w:ascii="Calibri" w:cs="Calibri" w:eastAsia="Calibri" w:hAnsi="Calibri"/>
          <w:sz w:val="22"/>
          <w:szCs w:val="22"/>
          <w:color w:val="auto"/>
        </w:rPr>
      </w:pPr>
    </w:p>
    <w:p>
      <w:pPr>
        <w:ind w:left="740" w:hanging="732"/>
        <w:spacing w:after="0" w:line="244" w:lineRule="auto"/>
        <w:tabs>
          <w:tab w:leader="none" w:pos="740" w:val="left"/>
        </w:tabs>
        <w:numPr>
          <w:ilvl w:val="0"/>
          <w:numId w:val="35"/>
        </w:numPr>
        <w:rPr>
          <w:rFonts w:ascii="Calibri" w:cs="Calibri" w:eastAsia="Calibri" w:hAnsi="Calibri"/>
          <w:sz w:val="22"/>
          <w:szCs w:val="22"/>
          <w:color w:val="auto"/>
        </w:rPr>
      </w:pPr>
      <w:r>
        <w:rPr>
          <w:rFonts w:ascii="Arial" w:cs="Arial" w:eastAsia="Arial" w:hAnsi="Arial"/>
          <w:sz w:val="22"/>
          <w:szCs w:val="22"/>
          <w:color w:val="auto"/>
        </w:rPr>
        <w:t>Any capitalized term used in this Amendment No. 1 and not otherwise defined herein shall have the meaning given to that term in the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2"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Amendment No. 1 to be duly executed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No. 1 Effective Date set forth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720" w:type="dxa"/>
            <w:vAlign w:val="bottom"/>
            <w:gridSpan w:val="7"/>
          </w:tcPr>
          <w:p>
            <w:pPr>
              <w:ind w:left="100"/>
              <w:spacing w:after="0"/>
              <w:rPr>
                <w:sz w:val="20"/>
                <w:szCs w:val="20"/>
                <w:color w:val="auto"/>
              </w:rPr>
            </w:pPr>
            <w:r>
              <w:rPr>
                <w:rFonts w:ascii="Arial" w:cs="Arial" w:eastAsia="Arial" w:hAnsi="Arial"/>
                <w:sz w:val="22"/>
                <w:szCs w:val="22"/>
                <w:b w:val="1"/>
                <w:bCs w:val="1"/>
                <w:color w:val="auto"/>
              </w:rPr>
              <w:t>WuXi Biologics (Hong Kong) Limited</w:t>
            </w:r>
          </w:p>
        </w:tc>
        <w:tc>
          <w:tcPr>
            <w:tcW w:w="900" w:type="dxa"/>
            <w:vAlign w:val="bottom"/>
          </w:tcPr>
          <w:p>
            <w:pPr>
              <w:spacing w:after="0"/>
              <w:rPr>
                <w:sz w:val="24"/>
                <w:szCs w:val="24"/>
                <w:color w:val="auto"/>
              </w:rPr>
            </w:pPr>
          </w:p>
        </w:tc>
        <w:tc>
          <w:tcPr>
            <w:tcW w:w="5620" w:type="dxa"/>
            <w:vAlign w:val="bottom"/>
            <w:gridSpan w:val="7"/>
          </w:tcPr>
          <w:p>
            <w:pPr>
              <w:ind w:left="100"/>
              <w:spacing w:after="0"/>
              <w:rPr>
                <w:sz w:val="20"/>
                <w:szCs w:val="20"/>
                <w:color w:val="auto"/>
              </w:rPr>
            </w:pPr>
            <w:r>
              <w:rPr>
                <w:rFonts w:ascii="Arial" w:cs="Arial" w:eastAsia="Arial" w:hAnsi="Arial"/>
                <w:sz w:val="22"/>
                <w:szCs w:val="22"/>
                <w:b w:val="1"/>
                <w:bCs w:val="1"/>
                <w:color w:val="auto"/>
              </w:rPr>
              <w:t>Invivyd, Inc.</w:t>
            </w:r>
          </w:p>
        </w:tc>
      </w:tr>
      <w:tr>
        <w:trPr>
          <w:trHeight w:val="187"/>
        </w:trPr>
        <w:tc>
          <w:tcPr>
            <w:tcW w:w="500" w:type="dxa"/>
            <w:vAlign w:val="bottom"/>
            <w:tcBorders>
              <w:bottom w:val="single" w:sz="8" w:color="F2F2F2"/>
            </w:tcBorders>
          </w:tcPr>
          <w:p>
            <w:pPr>
              <w:spacing w:after="0"/>
              <w:rPr>
                <w:sz w:val="16"/>
                <w:szCs w:val="16"/>
                <w:color w:val="auto"/>
              </w:rPr>
            </w:pPr>
          </w:p>
        </w:tc>
        <w:tc>
          <w:tcPr>
            <w:tcW w:w="200" w:type="dxa"/>
            <w:vAlign w:val="bottom"/>
            <w:tcBorders>
              <w:bottom w:val="single" w:sz="8" w:color="F2F2F2"/>
            </w:tcBorders>
          </w:tcPr>
          <w:p>
            <w:pPr>
              <w:spacing w:after="0"/>
              <w:rPr>
                <w:sz w:val="16"/>
                <w:szCs w:val="16"/>
                <w:color w:val="auto"/>
              </w:rPr>
            </w:pPr>
          </w:p>
        </w:tc>
        <w:tc>
          <w:tcPr>
            <w:tcW w:w="160" w:type="dxa"/>
            <w:vAlign w:val="bottom"/>
            <w:tcBorders>
              <w:bottom w:val="single" w:sz="8" w:color="F2F2F2"/>
            </w:tcBorders>
          </w:tcPr>
          <w:p>
            <w:pPr>
              <w:spacing w:after="0"/>
              <w:rPr>
                <w:sz w:val="16"/>
                <w:szCs w:val="16"/>
                <w:color w:val="auto"/>
              </w:rPr>
            </w:pPr>
          </w:p>
        </w:tc>
        <w:tc>
          <w:tcPr>
            <w:tcW w:w="220" w:type="dxa"/>
            <w:vAlign w:val="bottom"/>
            <w:tcBorders>
              <w:bottom w:val="single" w:sz="8" w:color="F2F2F2"/>
            </w:tcBorders>
          </w:tcPr>
          <w:p>
            <w:pPr>
              <w:spacing w:after="0"/>
              <w:rPr>
                <w:sz w:val="16"/>
                <w:szCs w:val="16"/>
                <w:color w:val="auto"/>
              </w:rPr>
            </w:pPr>
          </w:p>
        </w:tc>
        <w:tc>
          <w:tcPr>
            <w:tcW w:w="380" w:type="dxa"/>
            <w:vAlign w:val="bottom"/>
            <w:tcBorders>
              <w:bottom w:val="single" w:sz="8" w:color="F2F2F2"/>
            </w:tcBorders>
          </w:tcPr>
          <w:p>
            <w:pPr>
              <w:spacing w:after="0"/>
              <w:rPr>
                <w:sz w:val="16"/>
                <w:szCs w:val="16"/>
                <w:color w:val="auto"/>
              </w:rPr>
            </w:pPr>
          </w:p>
        </w:tc>
        <w:tc>
          <w:tcPr>
            <w:tcW w:w="620" w:type="dxa"/>
            <w:vAlign w:val="bottom"/>
            <w:tcBorders>
              <w:bottom w:val="single" w:sz="8" w:color="F2F2F2"/>
            </w:tcBorders>
          </w:tcPr>
          <w:p>
            <w:pPr>
              <w:spacing w:after="0"/>
              <w:rPr>
                <w:sz w:val="16"/>
                <w:szCs w:val="16"/>
                <w:color w:val="auto"/>
              </w:rPr>
            </w:pPr>
          </w:p>
        </w:tc>
        <w:tc>
          <w:tcPr>
            <w:tcW w:w="2640" w:type="dxa"/>
            <w:vAlign w:val="bottom"/>
            <w:tcBorders>
              <w:bottom w:val="single" w:sz="8" w:color="F2F2F2"/>
            </w:tcBorders>
          </w:tcPr>
          <w:p>
            <w:pPr>
              <w:spacing w:after="0"/>
              <w:rPr>
                <w:sz w:val="16"/>
                <w:szCs w:val="16"/>
                <w:color w:val="auto"/>
              </w:rPr>
            </w:pPr>
          </w:p>
        </w:tc>
        <w:tc>
          <w:tcPr>
            <w:tcW w:w="900" w:type="dxa"/>
            <w:vAlign w:val="bottom"/>
            <w:tcBorders>
              <w:bottom w:val="single" w:sz="8" w:color="F2F2F2"/>
            </w:tcBorders>
          </w:tcPr>
          <w:p>
            <w:pPr>
              <w:spacing w:after="0"/>
              <w:rPr>
                <w:sz w:val="16"/>
                <w:szCs w:val="16"/>
                <w:color w:val="auto"/>
              </w:rPr>
            </w:pPr>
          </w:p>
        </w:tc>
        <w:tc>
          <w:tcPr>
            <w:tcW w:w="480" w:type="dxa"/>
            <w:vAlign w:val="bottom"/>
            <w:tcBorders>
              <w:bottom w:val="single" w:sz="8" w:color="F2F2F2"/>
            </w:tcBorders>
          </w:tcPr>
          <w:p>
            <w:pPr>
              <w:spacing w:after="0"/>
              <w:rPr>
                <w:sz w:val="16"/>
                <w:szCs w:val="16"/>
                <w:color w:val="auto"/>
              </w:rPr>
            </w:pPr>
          </w:p>
        </w:tc>
        <w:tc>
          <w:tcPr>
            <w:tcW w:w="200" w:type="dxa"/>
            <w:vAlign w:val="bottom"/>
            <w:tcBorders>
              <w:bottom w:val="single" w:sz="8" w:color="F2F2F2"/>
            </w:tcBorders>
          </w:tcPr>
          <w:p>
            <w:pPr>
              <w:spacing w:after="0"/>
              <w:rPr>
                <w:sz w:val="16"/>
                <w:szCs w:val="16"/>
                <w:color w:val="auto"/>
              </w:rPr>
            </w:pPr>
          </w:p>
        </w:tc>
        <w:tc>
          <w:tcPr>
            <w:tcW w:w="160" w:type="dxa"/>
            <w:vAlign w:val="bottom"/>
            <w:tcBorders>
              <w:bottom w:val="single" w:sz="8" w:color="F2F2F2"/>
            </w:tcBorders>
          </w:tcPr>
          <w:p>
            <w:pPr>
              <w:spacing w:after="0"/>
              <w:rPr>
                <w:sz w:val="16"/>
                <w:szCs w:val="16"/>
                <w:color w:val="auto"/>
              </w:rPr>
            </w:pPr>
          </w:p>
        </w:tc>
        <w:tc>
          <w:tcPr>
            <w:tcW w:w="220" w:type="dxa"/>
            <w:vAlign w:val="bottom"/>
            <w:tcBorders>
              <w:bottom w:val="single" w:sz="8" w:color="F2F2F2"/>
            </w:tcBorders>
          </w:tcPr>
          <w:p>
            <w:pPr>
              <w:spacing w:after="0"/>
              <w:rPr>
                <w:sz w:val="16"/>
                <w:szCs w:val="16"/>
                <w:color w:val="auto"/>
              </w:rPr>
            </w:pPr>
          </w:p>
        </w:tc>
        <w:tc>
          <w:tcPr>
            <w:tcW w:w="380" w:type="dxa"/>
            <w:vAlign w:val="bottom"/>
            <w:tcBorders>
              <w:bottom w:val="single" w:sz="8" w:color="F2F2F2"/>
            </w:tcBorders>
          </w:tcPr>
          <w:p>
            <w:pPr>
              <w:spacing w:after="0"/>
              <w:rPr>
                <w:sz w:val="16"/>
                <w:szCs w:val="16"/>
                <w:color w:val="auto"/>
              </w:rPr>
            </w:pPr>
          </w:p>
        </w:tc>
        <w:tc>
          <w:tcPr>
            <w:tcW w:w="80" w:type="dxa"/>
            <w:vAlign w:val="bottom"/>
            <w:tcBorders>
              <w:bottom w:val="single" w:sz="8" w:color="F2F2F2"/>
            </w:tcBorders>
          </w:tcPr>
          <w:p>
            <w:pPr>
              <w:spacing w:after="0"/>
              <w:rPr>
                <w:sz w:val="16"/>
                <w:szCs w:val="16"/>
                <w:color w:val="auto"/>
              </w:rPr>
            </w:pPr>
          </w:p>
        </w:tc>
        <w:tc>
          <w:tcPr>
            <w:tcW w:w="4100" w:type="dxa"/>
            <w:vAlign w:val="bottom"/>
            <w:tcBorders>
              <w:bottom w:val="single" w:sz="8" w:color="F2F2F2"/>
            </w:tcBorders>
          </w:tcPr>
          <w:p>
            <w:pPr>
              <w:spacing w:after="0"/>
              <w:rPr>
                <w:sz w:val="16"/>
                <w:szCs w:val="16"/>
                <w:color w:val="auto"/>
              </w:rPr>
            </w:pPr>
          </w:p>
        </w:tc>
      </w:tr>
      <w:tr>
        <w:trPr>
          <w:trHeight w:val="658"/>
        </w:trPr>
        <w:tc>
          <w:tcPr>
            <w:tcW w:w="1080" w:type="dxa"/>
            <w:vAlign w:val="bottom"/>
            <w:tcBorders>
              <w:left w:val="single" w:sz="8" w:color="F2F2F2"/>
            </w:tcBorders>
            <w:gridSpan w:val="4"/>
          </w:tcPr>
          <w:p>
            <w:pPr>
              <w:ind w:left="120"/>
              <w:spacing w:after="0"/>
              <w:rPr>
                <w:sz w:val="20"/>
                <w:szCs w:val="20"/>
                <w:color w:val="auto"/>
              </w:rPr>
            </w:pPr>
            <w:r>
              <w:rPr>
                <w:rFonts w:ascii="Arial" w:cs="Arial" w:eastAsia="Arial" w:hAnsi="Arial"/>
                <w:sz w:val="22"/>
                <w:szCs w:val="22"/>
                <w:color w:val="auto"/>
              </w:rPr>
              <w:t>By: [***]</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Borders>
              <w:right w:val="single" w:sz="8" w:color="F2F2F2"/>
            </w:tcBorders>
          </w:tcPr>
          <w:p>
            <w:pPr>
              <w:spacing w:after="0"/>
              <w:rPr>
                <w:sz w:val="24"/>
                <w:szCs w:val="24"/>
                <w:color w:val="auto"/>
              </w:rPr>
            </w:pPr>
          </w:p>
        </w:tc>
        <w:tc>
          <w:tcPr>
            <w:tcW w:w="840" w:type="dxa"/>
            <w:vAlign w:val="bottom"/>
            <w:gridSpan w:val="3"/>
          </w:tcPr>
          <w:p>
            <w:pPr>
              <w:ind w:left="100"/>
              <w:spacing w:after="0"/>
              <w:rPr>
                <w:sz w:val="20"/>
                <w:szCs w:val="20"/>
                <w:color w:val="auto"/>
              </w:rPr>
            </w:pPr>
            <w:r>
              <w:rPr>
                <w:rFonts w:ascii="Arial" w:cs="Arial" w:eastAsia="Arial" w:hAnsi="Arial"/>
                <w:sz w:val="22"/>
                <w:szCs w:val="22"/>
                <w:color w:val="auto"/>
                <w:w w:val="94"/>
              </w:rPr>
              <w:t>By: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tcBorders>
              <w:right w:val="single" w:sz="8" w:color="F2F2F2"/>
            </w:tcBorders>
          </w:tcPr>
          <w:p>
            <w:pPr>
              <w:spacing w:after="0"/>
              <w:rPr>
                <w:sz w:val="24"/>
                <w:szCs w:val="24"/>
                <w:color w:val="auto"/>
              </w:rPr>
            </w:pPr>
          </w:p>
        </w:tc>
      </w:tr>
      <w:tr>
        <w:trPr>
          <w:trHeight w:val="20"/>
        </w:trPr>
        <w:tc>
          <w:tcPr>
            <w:tcW w:w="500" w:type="dxa"/>
            <w:vAlign w:val="bottom"/>
            <w:tcBorders>
              <w:left w:val="single" w:sz="8" w:color="F2F2F2"/>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Borders>
              <w:right w:val="single" w:sz="8" w:color="F2F2F2"/>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00" w:type="dxa"/>
            <w:vAlign w:val="bottom"/>
            <w:tcBorders>
              <w:right w:val="single" w:sz="8" w:color="F2F2F2"/>
            </w:tcBorders>
          </w:tcPr>
          <w:p>
            <w:pPr>
              <w:spacing w:after="0" w:line="20" w:lineRule="exact"/>
              <w:rPr>
                <w:sz w:val="1"/>
                <w:szCs w:val="1"/>
                <w:color w:val="auto"/>
              </w:rPr>
            </w:pPr>
          </w:p>
        </w:tc>
      </w:tr>
      <w:tr>
        <w:trPr>
          <w:trHeight w:val="439"/>
        </w:trPr>
        <w:tc>
          <w:tcPr>
            <w:tcW w:w="1080" w:type="dxa"/>
            <w:vAlign w:val="bottom"/>
            <w:tcBorders>
              <w:left w:val="single" w:sz="8" w:color="F2F2F2"/>
            </w:tcBorders>
            <w:gridSpan w:val="4"/>
          </w:tcPr>
          <w:p>
            <w:pPr>
              <w:ind w:left="120"/>
              <w:spacing w:after="0"/>
              <w:rPr>
                <w:sz w:val="20"/>
                <w:szCs w:val="20"/>
                <w:color w:val="auto"/>
              </w:rPr>
            </w:pPr>
            <w:r>
              <w:rPr>
                <w:rFonts w:ascii="Arial" w:cs="Arial" w:eastAsia="Arial" w:hAnsi="Arial"/>
                <w:sz w:val="22"/>
                <w:szCs w:val="22"/>
                <w:color w:val="auto"/>
              </w:rPr>
              <w:t>Name: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w:t>
            </w: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Borders>
              <w:right w:val="single" w:sz="8" w:color="F2F2F2"/>
            </w:tcBorders>
          </w:tcPr>
          <w:p>
            <w:pPr>
              <w:spacing w:after="0"/>
              <w:rPr>
                <w:sz w:val="24"/>
                <w:szCs w:val="24"/>
                <w:color w:val="auto"/>
              </w:rPr>
            </w:pPr>
          </w:p>
        </w:tc>
        <w:tc>
          <w:tcPr>
            <w:tcW w:w="840" w:type="dxa"/>
            <w:vAlign w:val="bottom"/>
            <w:gridSpan w:val="3"/>
          </w:tcPr>
          <w:p>
            <w:pPr>
              <w:ind w:left="100"/>
              <w:spacing w:after="0"/>
              <w:rPr>
                <w:sz w:val="20"/>
                <w:szCs w:val="20"/>
                <w:color w:val="auto"/>
              </w:rPr>
            </w:pPr>
            <w:r>
              <w:rPr>
                <w:rFonts w:ascii="Arial" w:cs="Arial" w:eastAsia="Arial" w:hAnsi="Arial"/>
                <w:sz w:val="22"/>
                <w:szCs w:val="22"/>
                <w:color w:val="auto"/>
              </w:rPr>
              <w:t>Name:</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w:t>
            </w:r>
          </w:p>
        </w:tc>
        <w:tc>
          <w:tcPr>
            <w:tcW w:w="80" w:type="dxa"/>
            <w:vAlign w:val="bottom"/>
          </w:tcPr>
          <w:p>
            <w:pPr>
              <w:spacing w:after="0"/>
              <w:rPr>
                <w:sz w:val="24"/>
                <w:szCs w:val="24"/>
                <w:color w:val="auto"/>
              </w:rPr>
            </w:pPr>
          </w:p>
        </w:tc>
        <w:tc>
          <w:tcPr>
            <w:tcW w:w="4100" w:type="dxa"/>
            <w:vAlign w:val="bottom"/>
            <w:tcBorders>
              <w:right w:val="single" w:sz="8" w:color="F2F2F2"/>
            </w:tcBorders>
          </w:tcPr>
          <w:p>
            <w:pPr>
              <w:spacing w:after="0"/>
              <w:rPr>
                <w:sz w:val="24"/>
                <w:szCs w:val="24"/>
                <w:color w:val="auto"/>
              </w:rPr>
            </w:pPr>
          </w:p>
        </w:tc>
      </w:tr>
      <w:tr>
        <w:trPr>
          <w:trHeight w:val="439"/>
        </w:trPr>
        <w:tc>
          <w:tcPr>
            <w:tcW w:w="1080" w:type="dxa"/>
            <w:vAlign w:val="bottom"/>
            <w:tcBorders>
              <w:left w:val="single" w:sz="8" w:color="F2F2F2"/>
            </w:tcBorders>
            <w:gridSpan w:val="4"/>
          </w:tcPr>
          <w:p>
            <w:pPr>
              <w:ind w:left="120"/>
              <w:spacing w:after="0"/>
              <w:rPr>
                <w:sz w:val="20"/>
                <w:szCs w:val="20"/>
                <w:color w:val="auto"/>
              </w:rPr>
            </w:pPr>
            <w:r>
              <w:rPr>
                <w:rFonts w:ascii="Arial" w:cs="Arial" w:eastAsia="Arial" w:hAnsi="Arial"/>
                <w:sz w:val="22"/>
                <w:szCs w:val="22"/>
                <w:color w:val="auto"/>
              </w:rPr>
              <w:t>Title: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w:t>
            </w: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Borders>
              <w:right w:val="single" w:sz="8" w:color="F2F2F2"/>
            </w:tcBorders>
          </w:tcPr>
          <w:p>
            <w:pPr>
              <w:spacing w:after="0"/>
              <w:rPr>
                <w:sz w:val="24"/>
                <w:szCs w:val="24"/>
                <w:color w:val="auto"/>
              </w:rPr>
            </w:pPr>
          </w:p>
        </w:tc>
        <w:tc>
          <w:tcPr>
            <w:tcW w:w="840" w:type="dxa"/>
            <w:vAlign w:val="bottom"/>
            <w:gridSpan w:val="3"/>
          </w:tcPr>
          <w:p>
            <w:pPr>
              <w:ind w:left="100"/>
              <w:spacing w:after="0"/>
              <w:rPr>
                <w:sz w:val="20"/>
                <w:szCs w:val="20"/>
                <w:color w:val="auto"/>
              </w:rPr>
            </w:pPr>
            <w:r>
              <w:rPr>
                <w:rFonts w:ascii="Arial" w:cs="Arial" w:eastAsia="Arial" w:hAnsi="Arial"/>
                <w:sz w:val="22"/>
                <w:szCs w:val="22"/>
                <w:color w:val="auto"/>
              </w:rPr>
              <w:t>Title:</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w:t>
            </w:r>
          </w:p>
        </w:tc>
        <w:tc>
          <w:tcPr>
            <w:tcW w:w="80" w:type="dxa"/>
            <w:vAlign w:val="bottom"/>
          </w:tcPr>
          <w:p>
            <w:pPr>
              <w:spacing w:after="0"/>
              <w:rPr>
                <w:sz w:val="24"/>
                <w:szCs w:val="24"/>
                <w:color w:val="auto"/>
              </w:rPr>
            </w:pPr>
          </w:p>
        </w:tc>
        <w:tc>
          <w:tcPr>
            <w:tcW w:w="4100" w:type="dxa"/>
            <w:vAlign w:val="bottom"/>
            <w:tcBorders>
              <w:right w:val="single" w:sz="8" w:color="F2F2F2"/>
            </w:tcBorders>
          </w:tcPr>
          <w:p>
            <w:pPr>
              <w:spacing w:after="0"/>
              <w:rPr>
                <w:sz w:val="24"/>
                <w:szCs w:val="24"/>
                <w:color w:val="auto"/>
              </w:rPr>
            </w:pPr>
          </w:p>
        </w:tc>
      </w:tr>
      <w:tr>
        <w:trPr>
          <w:trHeight w:val="439"/>
        </w:trPr>
        <w:tc>
          <w:tcPr>
            <w:tcW w:w="4720" w:type="dxa"/>
            <w:vAlign w:val="bottom"/>
            <w:tcBorders>
              <w:left w:val="single" w:sz="8" w:color="F2F2F2"/>
            </w:tcBorders>
            <w:gridSpan w:val="7"/>
          </w:tcPr>
          <w:p>
            <w:pPr>
              <w:ind w:left="120"/>
              <w:spacing w:after="0"/>
              <w:rPr>
                <w:sz w:val="20"/>
                <w:szCs w:val="20"/>
                <w:color w:val="auto"/>
              </w:rPr>
            </w:pPr>
            <w:r>
              <w:rPr>
                <w:rFonts w:ascii="Arial" w:cs="Arial" w:eastAsia="Arial" w:hAnsi="Arial"/>
                <w:sz w:val="22"/>
                <w:szCs w:val="22"/>
                <w:color w:val="auto"/>
              </w:rPr>
              <w:t>Date: 4 March, 2026</w:t>
            </w:r>
          </w:p>
        </w:tc>
        <w:tc>
          <w:tcPr>
            <w:tcW w:w="900" w:type="dxa"/>
            <w:vAlign w:val="bottom"/>
            <w:tcBorders>
              <w:right w:val="single" w:sz="8" w:color="F2F2F2"/>
            </w:tcBorders>
          </w:tcPr>
          <w:p>
            <w:pPr>
              <w:spacing w:after="0"/>
              <w:rPr>
                <w:sz w:val="24"/>
                <w:szCs w:val="24"/>
                <w:color w:val="auto"/>
              </w:rPr>
            </w:pPr>
          </w:p>
        </w:tc>
        <w:tc>
          <w:tcPr>
            <w:tcW w:w="5620" w:type="dxa"/>
            <w:vAlign w:val="bottom"/>
            <w:tcBorders>
              <w:right w:val="single" w:sz="8" w:color="F2F2F2"/>
            </w:tcBorders>
            <w:gridSpan w:val="7"/>
          </w:tcPr>
          <w:p>
            <w:pPr>
              <w:ind w:left="100"/>
              <w:spacing w:after="0"/>
              <w:rPr>
                <w:sz w:val="20"/>
                <w:szCs w:val="20"/>
                <w:color w:val="auto"/>
              </w:rPr>
            </w:pPr>
            <w:r>
              <w:rPr>
                <w:rFonts w:ascii="Arial" w:cs="Arial" w:eastAsia="Arial" w:hAnsi="Arial"/>
                <w:sz w:val="22"/>
                <w:szCs w:val="22"/>
                <w:color w:val="auto"/>
              </w:rPr>
              <w:t>Date: 3/4/2026</w:t>
            </w:r>
          </w:p>
        </w:tc>
      </w:tr>
      <w:tr>
        <w:trPr>
          <w:trHeight w:val="233"/>
        </w:trPr>
        <w:tc>
          <w:tcPr>
            <w:tcW w:w="500" w:type="dxa"/>
            <w:vAlign w:val="bottom"/>
            <w:tcBorders>
              <w:left w:val="single" w:sz="8" w:color="F2F2F2"/>
              <w:bottom w:val="single" w:sz="8" w:color="F2F2F2"/>
            </w:tcBorders>
          </w:tcPr>
          <w:p>
            <w:pPr>
              <w:spacing w:after="0"/>
              <w:rPr>
                <w:sz w:val="20"/>
                <w:szCs w:val="20"/>
                <w:color w:val="auto"/>
              </w:rPr>
            </w:pPr>
          </w:p>
        </w:tc>
        <w:tc>
          <w:tcPr>
            <w:tcW w:w="200" w:type="dxa"/>
            <w:vAlign w:val="bottom"/>
            <w:tcBorders>
              <w:bottom w:val="single" w:sz="8" w:color="F2F2F2"/>
            </w:tcBorders>
          </w:tcPr>
          <w:p>
            <w:pPr>
              <w:spacing w:after="0"/>
              <w:rPr>
                <w:sz w:val="20"/>
                <w:szCs w:val="20"/>
                <w:color w:val="auto"/>
              </w:rPr>
            </w:pPr>
          </w:p>
        </w:tc>
        <w:tc>
          <w:tcPr>
            <w:tcW w:w="160" w:type="dxa"/>
            <w:vAlign w:val="bottom"/>
            <w:tcBorders>
              <w:top w:val="single" w:sz="8" w:color="auto"/>
              <w:bottom w:val="single" w:sz="8" w:color="F2F2F2"/>
            </w:tcBorders>
          </w:tcPr>
          <w:p>
            <w:pPr>
              <w:spacing w:after="0"/>
              <w:rPr>
                <w:sz w:val="20"/>
                <w:szCs w:val="20"/>
                <w:color w:val="auto"/>
              </w:rPr>
            </w:pPr>
          </w:p>
        </w:tc>
        <w:tc>
          <w:tcPr>
            <w:tcW w:w="220" w:type="dxa"/>
            <w:vAlign w:val="bottom"/>
            <w:tcBorders>
              <w:top w:val="single" w:sz="8" w:color="auto"/>
              <w:bottom w:val="single" w:sz="8" w:color="F2F2F2"/>
            </w:tcBorders>
          </w:tcPr>
          <w:p>
            <w:pPr>
              <w:spacing w:after="0"/>
              <w:rPr>
                <w:sz w:val="20"/>
                <w:szCs w:val="20"/>
                <w:color w:val="auto"/>
              </w:rPr>
            </w:pPr>
          </w:p>
        </w:tc>
        <w:tc>
          <w:tcPr>
            <w:tcW w:w="380" w:type="dxa"/>
            <w:vAlign w:val="bottom"/>
            <w:tcBorders>
              <w:top w:val="single" w:sz="8" w:color="auto"/>
              <w:bottom w:val="single" w:sz="8" w:color="F2F2F2"/>
            </w:tcBorders>
          </w:tcPr>
          <w:p>
            <w:pPr>
              <w:spacing w:after="0"/>
              <w:rPr>
                <w:sz w:val="20"/>
                <w:szCs w:val="20"/>
                <w:color w:val="auto"/>
              </w:rPr>
            </w:pPr>
          </w:p>
        </w:tc>
        <w:tc>
          <w:tcPr>
            <w:tcW w:w="620" w:type="dxa"/>
            <w:vAlign w:val="bottom"/>
            <w:tcBorders>
              <w:top w:val="single" w:sz="8" w:color="auto"/>
              <w:bottom w:val="single" w:sz="8" w:color="F2F2F2"/>
            </w:tcBorders>
          </w:tcPr>
          <w:p>
            <w:pPr>
              <w:spacing w:after="0"/>
              <w:rPr>
                <w:sz w:val="20"/>
                <w:szCs w:val="20"/>
                <w:color w:val="auto"/>
              </w:rPr>
            </w:pPr>
          </w:p>
        </w:tc>
        <w:tc>
          <w:tcPr>
            <w:tcW w:w="2640" w:type="dxa"/>
            <w:vAlign w:val="bottom"/>
            <w:tcBorders>
              <w:bottom w:val="single" w:sz="8" w:color="F2F2F2"/>
            </w:tcBorders>
          </w:tcPr>
          <w:p>
            <w:pPr>
              <w:spacing w:after="0"/>
              <w:rPr>
                <w:sz w:val="20"/>
                <w:szCs w:val="20"/>
                <w:color w:val="auto"/>
              </w:rPr>
            </w:pPr>
          </w:p>
        </w:tc>
        <w:tc>
          <w:tcPr>
            <w:tcW w:w="900" w:type="dxa"/>
            <w:vAlign w:val="bottom"/>
            <w:tcBorders>
              <w:bottom w:val="single" w:sz="8" w:color="F2F2F2"/>
              <w:right w:val="single" w:sz="8" w:color="F2F2F2"/>
            </w:tcBorders>
          </w:tcPr>
          <w:p>
            <w:pPr>
              <w:spacing w:after="0"/>
              <w:rPr>
                <w:sz w:val="20"/>
                <w:szCs w:val="20"/>
                <w:color w:val="auto"/>
              </w:rPr>
            </w:pPr>
          </w:p>
        </w:tc>
        <w:tc>
          <w:tcPr>
            <w:tcW w:w="480" w:type="dxa"/>
            <w:vAlign w:val="bottom"/>
            <w:tcBorders>
              <w:bottom w:val="single" w:sz="8" w:color="F2F2F2"/>
            </w:tcBorders>
          </w:tcPr>
          <w:p>
            <w:pPr>
              <w:spacing w:after="0"/>
              <w:rPr>
                <w:sz w:val="20"/>
                <w:szCs w:val="20"/>
                <w:color w:val="auto"/>
              </w:rPr>
            </w:pPr>
          </w:p>
        </w:tc>
        <w:tc>
          <w:tcPr>
            <w:tcW w:w="200" w:type="dxa"/>
            <w:vAlign w:val="bottom"/>
            <w:tcBorders>
              <w:bottom w:val="single" w:sz="8" w:color="F2F2F2"/>
            </w:tcBorders>
          </w:tcPr>
          <w:p>
            <w:pPr>
              <w:spacing w:after="0"/>
              <w:rPr>
                <w:sz w:val="20"/>
                <w:szCs w:val="20"/>
                <w:color w:val="auto"/>
              </w:rPr>
            </w:pPr>
          </w:p>
        </w:tc>
        <w:tc>
          <w:tcPr>
            <w:tcW w:w="160" w:type="dxa"/>
            <w:vAlign w:val="bottom"/>
            <w:tcBorders>
              <w:top w:val="single" w:sz="8" w:color="auto"/>
              <w:bottom w:val="single" w:sz="8" w:color="F2F2F2"/>
            </w:tcBorders>
          </w:tcPr>
          <w:p>
            <w:pPr>
              <w:spacing w:after="0"/>
              <w:rPr>
                <w:sz w:val="20"/>
                <w:szCs w:val="20"/>
                <w:color w:val="auto"/>
              </w:rPr>
            </w:pPr>
          </w:p>
        </w:tc>
        <w:tc>
          <w:tcPr>
            <w:tcW w:w="220" w:type="dxa"/>
            <w:vAlign w:val="bottom"/>
            <w:tcBorders>
              <w:top w:val="single" w:sz="8" w:color="auto"/>
              <w:bottom w:val="single" w:sz="8" w:color="F2F2F2"/>
            </w:tcBorders>
          </w:tcPr>
          <w:p>
            <w:pPr>
              <w:spacing w:after="0"/>
              <w:rPr>
                <w:sz w:val="20"/>
                <w:szCs w:val="20"/>
                <w:color w:val="auto"/>
              </w:rPr>
            </w:pPr>
          </w:p>
        </w:tc>
        <w:tc>
          <w:tcPr>
            <w:tcW w:w="380" w:type="dxa"/>
            <w:vAlign w:val="bottom"/>
            <w:tcBorders>
              <w:top w:val="single" w:sz="8" w:color="auto"/>
              <w:bottom w:val="single" w:sz="8" w:color="F2F2F2"/>
            </w:tcBorders>
          </w:tcPr>
          <w:p>
            <w:pPr>
              <w:spacing w:after="0"/>
              <w:rPr>
                <w:sz w:val="20"/>
                <w:szCs w:val="20"/>
                <w:color w:val="auto"/>
              </w:rPr>
            </w:pPr>
          </w:p>
        </w:tc>
        <w:tc>
          <w:tcPr>
            <w:tcW w:w="80" w:type="dxa"/>
            <w:vAlign w:val="bottom"/>
            <w:tcBorders>
              <w:top w:val="single" w:sz="8" w:color="auto"/>
              <w:bottom w:val="single" w:sz="8" w:color="F2F2F2"/>
            </w:tcBorders>
          </w:tcPr>
          <w:p>
            <w:pPr>
              <w:spacing w:after="0"/>
              <w:rPr>
                <w:sz w:val="20"/>
                <w:szCs w:val="20"/>
                <w:color w:val="auto"/>
              </w:rPr>
            </w:pPr>
          </w:p>
        </w:tc>
        <w:tc>
          <w:tcPr>
            <w:tcW w:w="4100" w:type="dxa"/>
            <w:vAlign w:val="bottom"/>
            <w:tcBorders>
              <w:bottom w:val="single" w:sz="8" w:color="F2F2F2"/>
              <w:right w:val="single" w:sz="8" w:color="F2F2F2"/>
            </w:tcBorders>
          </w:tcPr>
          <w:p>
            <w:pPr>
              <w:spacing w:after="0"/>
              <w:rPr>
                <w:sz w:val="20"/>
                <w:szCs w:val="20"/>
                <w:color w:val="auto"/>
              </w:rPr>
            </w:pPr>
          </w:p>
        </w:tc>
      </w:tr>
      <w:tr>
        <w:trPr>
          <w:trHeight w:val="848"/>
        </w:trPr>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80" w:type="dxa"/>
            <w:vAlign w:val="bottom"/>
            <w:gridSpan w:val="2"/>
          </w:tcPr>
          <w:p>
            <w:pPr>
              <w:jc w:val="right"/>
              <w:ind w:right="312"/>
              <w:spacing w:after="0"/>
              <w:rPr>
                <w:sz w:val="20"/>
                <w:szCs w:val="20"/>
                <w:color w:val="auto"/>
              </w:rPr>
            </w:pPr>
            <w:r>
              <w:rPr>
                <w:rFonts w:ascii="Arial" w:cs="Arial" w:eastAsia="Arial" w:hAnsi="Arial"/>
                <w:sz w:val="22"/>
                <w:szCs w:val="22"/>
                <w:color w:val="auto"/>
              </w:rPr>
              <w:t>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965"/>
        </w:trPr>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8" w:name="page49"/>
    <w:bookmarkEnd w:id="48"/>
    <w:p>
      <w:pPr>
        <w:ind w:left="10120"/>
        <w:spacing w:after="0"/>
        <w:rPr>
          <w:sz w:val="20"/>
          <w:szCs w:val="20"/>
          <w:color w:val="auto"/>
        </w:rPr>
      </w:pPr>
      <w:r>
        <w:rPr>
          <w:rFonts w:ascii="Arial" w:cs="Arial" w:eastAsia="Arial" w:hAnsi="Arial"/>
          <w:sz w:val="21"/>
          <w:szCs w:val="21"/>
          <w:color w:val="auto"/>
        </w:rPr>
        <w:t>Exhibit 10.7</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CERTAIN CONFIDENTIAL INFORMATION CONTAINED IN THIS DOCUMENT, MARKED BY “[***]”, HAS BEEN</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OMITTED BECAUSE IT IS BOTH (I) NOT MATERIAL AND (II) THE TYPE OF INFORMATION THAT THE REGISTRANT TREATS AS PRIVATE OR CONFIDENTIAL.</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AMENDMENT NO. 3 TO THE CELL LINE LICENSE AGREEMENT</w:t>
      </w:r>
    </w:p>
    <w:p>
      <w:pPr>
        <w:spacing w:after="0" w:line="22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b w:val="1"/>
          <w:bCs w:val="1"/>
          <w:color w:val="auto"/>
        </w:rPr>
        <w:t xml:space="preserve">THIS AMENDMENT NO. 3 TO THE CELL LINE LICENSE AGREEMENT </w:t>
      </w:r>
      <w:r>
        <w:rPr>
          <w:rFonts w:ascii="Arial" w:cs="Arial" w:eastAsia="Arial" w:hAnsi="Arial"/>
          <w:sz w:val="22"/>
          <w:szCs w:val="22"/>
          <w:color w:val="auto"/>
        </w:rPr>
        <w:t>(this “</w:t>
      </w:r>
      <w:r>
        <w:rPr>
          <w:rFonts w:ascii="Arial" w:cs="Arial" w:eastAsia="Arial" w:hAnsi="Arial"/>
          <w:sz w:val="22"/>
          <w:szCs w:val="22"/>
          <w:b w:val="1"/>
          <w:bCs w:val="1"/>
          <w:color w:val="auto"/>
        </w:rPr>
        <w:t>Amendment No. 3</w:t>
      </w:r>
      <w:r>
        <w:rPr>
          <w:rFonts w:ascii="Arial" w:cs="Arial" w:eastAsia="Arial" w:hAnsi="Arial"/>
          <w:sz w:val="22"/>
          <w:szCs w:val="22"/>
          <w:color w:val="auto"/>
        </w:rPr>
        <w:t>”), effective as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March 4, 2026 (“the </w:t>
      </w:r>
      <w:r>
        <w:rPr>
          <w:rFonts w:ascii="Arial" w:cs="Arial" w:eastAsia="Arial" w:hAnsi="Arial"/>
          <w:sz w:val="22"/>
          <w:szCs w:val="22"/>
          <w:b w:val="1"/>
          <w:bCs w:val="1"/>
          <w:color w:val="auto"/>
        </w:rPr>
        <w:t>Amendment No. 3 Effective Date</w:t>
      </w:r>
      <w:r>
        <w:rPr>
          <w:rFonts w:ascii="Arial" w:cs="Arial" w:eastAsia="Arial" w:hAnsi="Arial"/>
          <w:sz w:val="22"/>
          <w:szCs w:val="22"/>
          <w:color w:val="auto"/>
        </w:rPr>
        <w:t xml:space="preserve">”), is entered and made by and between </w:t>
      </w:r>
      <w:r>
        <w:rPr>
          <w:rFonts w:ascii="Arial" w:cs="Arial" w:eastAsia="Arial" w:hAnsi="Arial"/>
          <w:sz w:val="22"/>
          <w:szCs w:val="22"/>
          <w:b w:val="1"/>
          <w:bCs w:val="1"/>
          <w:color w:val="auto"/>
        </w:rPr>
        <w:t>WuXi Biologics</w:t>
      </w:r>
      <w:r>
        <w:rPr>
          <w:rFonts w:ascii="Arial" w:cs="Arial" w:eastAsia="Arial" w:hAnsi="Arial"/>
          <w:sz w:val="22"/>
          <w:szCs w:val="22"/>
          <w:color w:val="auto"/>
        </w:rPr>
        <w:t xml:space="preserve"> </w:t>
      </w:r>
      <w:r>
        <w:rPr>
          <w:rFonts w:ascii="Arial" w:cs="Arial" w:eastAsia="Arial" w:hAnsi="Arial"/>
          <w:sz w:val="22"/>
          <w:szCs w:val="22"/>
          <w:b w:val="1"/>
          <w:bCs w:val="1"/>
          <w:color w:val="auto"/>
        </w:rPr>
        <w:t>(Hong Kong) Limited</w:t>
      </w:r>
      <w:r>
        <w:rPr>
          <w:rFonts w:ascii="Arial" w:cs="Arial" w:eastAsia="Arial" w:hAnsi="Arial"/>
          <w:sz w:val="22"/>
          <w:szCs w:val="22"/>
          <w:color w:val="auto"/>
        </w:rPr>
        <w:t>, having an address at Unit 417, 4</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Floor, Lippo Centre Tower Two, No. 89 Queensway,</w:t>
      </w:r>
      <w:r>
        <w:rPr>
          <w:rFonts w:ascii="Arial" w:cs="Arial" w:eastAsia="Arial" w:hAnsi="Arial"/>
          <w:sz w:val="22"/>
          <w:szCs w:val="22"/>
          <w:b w:val="1"/>
          <w:bCs w:val="1"/>
          <w:color w:val="auto"/>
        </w:rPr>
        <w:t xml:space="preserve"> </w:t>
      </w:r>
      <w:r>
        <w:rPr>
          <w:rFonts w:ascii="Arial" w:cs="Arial" w:eastAsia="Arial" w:hAnsi="Arial"/>
          <w:sz w:val="22"/>
          <w:szCs w:val="22"/>
          <w:color w:val="auto"/>
        </w:rPr>
        <w:t>Admiralty, Hong Kong (“</w:t>
      </w:r>
      <w:r>
        <w:rPr>
          <w:rFonts w:ascii="Arial" w:cs="Arial" w:eastAsia="Arial" w:hAnsi="Arial"/>
          <w:sz w:val="22"/>
          <w:szCs w:val="22"/>
          <w:b w:val="1"/>
          <w:bCs w:val="1"/>
          <w:color w:val="auto"/>
        </w:rPr>
        <w:t>WuXi Biologics</w:t>
      </w:r>
      <w:r>
        <w:rPr>
          <w:rFonts w:ascii="Arial" w:cs="Arial" w:eastAsia="Arial" w:hAnsi="Arial"/>
          <w:sz w:val="22"/>
          <w:szCs w:val="22"/>
          <w:color w:val="auto"/>
        </w:rPr>
        <w:t xml:space="preserve">”), and </w:t>
      </w:r>
      <w:r>
        <w:rPr>
          <w:rFonts w:ascii="Arial" w:cs="Arial" w:eastAsia="Arial" w:hAnsi="Arial"/>
          <w:sz w:val="22"/>
          <w:szCs w:val="22"/>
          <w:b w:val="1"/>
          <w:bCs w:val="1"/>
          <w:color w:val="auto"/>
        </w:rPr>
        <w:t>Invivyd, Inc.</w:t>
      </w:r>
      <w:r>
        <w:rPr>
          <w:rFonts w:ascii="Arial" w:cs="Arial" w:eastAsia="Arial" w:hAnsi="Arial"/>
          <w:sz w:val="22"/>
          <w:szCs w:val="22"/>
          <w:color w:val="auto"/>
        </w:rPr>
        <w:t xml:space="preserve"> having its principal place of business at 209 Church Street, New Haven, CT 06510 (“</w:t>
      </w:r>
      <w:r>
        <w:rPr>
          <w:rFonts w:ascii="Arial" w:cs="Arial" w:eastAsia="Arial" w:hAnsi="Arial"/>
          <w:sz w:val="22"/>
          <w:szCs w:val="22"/>
          <w:b w:val="1"/>
          <w:bCs w:val="1"/>
          <w:color w:val="auto"/>
        </w:rPr>
        <w:t>Licensee</w:t>
      </w:r>
      <w:r>
        <w:rPr>
          <w:rFonts w:ascii="Arial" w:cs="Arial" w:eastAsia="Arial" w:hAnsi="Arial"/>
          <w:sz w:val="22"/>
          <w:szCs w:val="22"/>
          <w:color w:val="auto"/>
        </w:rPr>
        <w:t>”). WuXi Biologics and Licensee may be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Licensee was formerly known as “Adagio Therapeutics, Inc.” with its principal place of business at 303</w:t>
      </w:r>
      <w:r>
        <w:rPr>
          <w:rFonts w:ascii="Arial" w:cs="Arial" w:eastAsia="Arial" w:hAnsi="Arial"/>
          <w:sz w:val="22"/>
          <w:szCs w:val="22"/>
          <w:b w:val="1"/>
          <w:bCs w:val="1"/>
          <w:color w:val="auto"/>
        </w:rPr>
        <w:t xml:space="preserve"> </w:t>
      </w:r>
      <w:r>
        <w:rPr>
          <w:rFonts w:ascii="Arial" w:cs="Arial" w:eastAsia="Arial" w:hAnsi="Arial"/>
          <w:sz w:val="22"/>
          <w:szCs w:val="22"/>
          <w:color w:val="auto"/>
        </w:rPr>
        <w:t>Wyman Street, Suite 300, Waltham, MA 02451; and</w:t>
      </w:r>
    </w:p>
    <w:p>
      <w:pPr>
        <w:spacing w:after="0" w:line="152" w:lineRule="exact"/>
        <w:rPr>
          <w:sz w:val="20"/>
          <w:szCs w:val="20"/>
          <w:color w:val="auto"/>
        </w:rPr>
      </w:pPr>
    </w:p>
    <w:p>
      <w:pPr>
        <w:jc w:val="both"/>
        <w:spacing w:after="0" w:line="28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WuXi Biologics’ address was formerly at “Flat/RM826, 8/F Ocean Centre Harbour City, 5 Canton Road</w:t>
      </w:r>
      <w:r>
        <w:rPr>
          <w:rFonts w:ascii="Arial" w:cs="Arial" w:eastAsia="Arial" w:hAnsi="Arial"/>
          <w:sz w:val="21"/>
          <w:szCs w:val="21"/>
          <w:b w:val="1"/>
          <w:bCs w:val="1"/>
          <w:color w:val="auto"/>
        </w:rPr>
        <w:t xml:space="preserve"> </w:t>
      </w:r>
      <w:r>
        <w:rPr>
          <w:rFonts w:ascii="Arial" w:cs="Arial" w:eastAsia="Arial" w:hAnsi="Arial"/>
          <w:sz w:val="21"/>
          <w:szCs w:val="21"/>
          <w:color w:val="auto"/>
        </w:rPr>
        <w:t>TST, Hong Kong” and Licensee’s address was formerly at “1601 Trapelo Road, Suite 178, Waltham, MA 02451”; and</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WuXi Biologics and Licensee (then still known as Adagio Therapeutics, Inc.) entered into that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Cell Line License Agreement, dated as of December 2, 2020, amended as of February 2, 2023 via Amendment No. 1 and as of March 13, 2024 via Amendment No. 2 (the “</w:t>
      </w:r>
      <w:r>
        <w:rPr>
          <w:rFonts w:ascii="Arial" w:cs="Arial" w:eastAsia="Arial" w:hAnsi="Arial"/>
          <w:sz w:val="22"/>
          <w:szCs w:val="22"/>
          <w:b w:val="1"/>
          <w:bCs w:val="1"/>
          <w:color w:val="auto"/>
        </w:rPr>
        <w:t>License Agreement</w:t>
      </w:r>
      <w:r>
        <w:rPr>
          <w:rFonts w:ascii="Arial" w:cs="Arial" w:eastAsia="Arial" w:hAnsi="Arial"/>
          <w:sz w:val="22"/>
          <w:szCs w:val="22"/>
          <w:color w:val="auto"/>
        </w:rPr>
        <w:t>”); and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now desire to amend the License Agreement as set forth herein;</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agreements contained herein below, the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is acknowledged by both Parties, the Parties agree as follows:</w:t>
      </w:r>
    </w:p>
    <w:p>
      <w:pPr>
        <w:spacing w:after="0" w:line="154" w:lineRule="exact"/>
        <w:rPr>
          <w:sz w:val="20"/>
          <w:szCs w:val="20"/>
          <w:color w:val="auto"/>
        </w:rPr>
      </w:pPr>
    </w:p>
    <w:p>
      <w:pPr>
        <w:ind w:left="740" w:hanging="732"/>
        <w:spacing w:after="0"/>
        <w:tabs>
          <w:tab w:leader="none" w:pos="740" w:val="left"/>
        </w:tabs>
        <w:numPr>
          <w:ilvl w:val="0"/>
          <w:numId w:val="36"/>
        </w:numPr>
        <w:rPr>
          <w:rFonts w:ascii="Calibri" w:cs="Calibri" w:eastAsia="Calibri" w:hAnsi="Calibri"/>
          <w:sz w:val="22"/>
          <w:szCs w:val="22"/>
          <w:color w:val="auto"/>
        </w:rPr>
      </w:pPr>
      <w:r>
        <w:rPr>
          <w:rFonts w:ascii="Arial" w:cs="Arial" w:eastAsia="Arial" w:hAnsi="Arial"/>
          <w:sz w:val="22"/>
          <w:szCs w:val="22"/>
          <w:color w:val="auto"/>
        </w:rPr>
        <w:t>Section 5.2 of the License Agreement is hereby deleted in its entirety and replaced with the following:</w:t>
      </w:r>
    </w:p>
    <w:p>
      <w:pPr>
        <w:spacing w:after="0" w:line="217" w:lineRule="exact"/>
        <w:rPr>
          <w:sz w:val="20"/>
          <w:szCs w:val="20"/>
          <w:color w:val="auto"/>
        </w:rPr>
      </w:pPr>
    </w:p>
    <w:p>
      <w:pPr>
        <w:jc w:val="both"/>
        <w:ind w:left="1220" w:hanging="748"/>
        <w:spacing w:after="0" w:line="234" w:lineRule="auto"/>
        <w:tabs>
          <w:tab w:leader="none" w:pos="1200" w:val="left"/>
        </w:tabs>
        <w:rPr>
          <w:sz w:val="20"/>
          <w:szCs w:val="20"/>
          <w:color w:val="auto"/>
        </w:rPr>
      </w:pPr>
      <w:r>
        <w:rPr>
          <w:rFonts w:ascii="Calibri" w:cs="Calibri" w:eastAsia="Calibri" w:hAnsi="Calibri"/>
          <w:sz w:val="22"/>
          <w:szCs w:val="22"/>
          <w:color w:val="auto"/>
        </w:rPr>
        <w:t>5.2</w:t>
      </w:r>
      <w:r>
        <w:rPr>
          <w:sz w:val="20"/>
          <w:szCs w:val="20"/>
          <w:color w:val="auto"/>
        </w:rPr>
        <w:tab/>
      </w:r>
      <w:r>
        <w:rPr>
          <w:rFonts w:ascii="Arial" w:cs="Arial" w:eastAsia="Arial" w:hAnsi="Arial"/>
          <w:sz w:val="22"/>
          <w:szCs w:val="22"/>
          <w:u w:val="single" w:color="auto"/>
          <w:color w:val="auto"/>
        </w:rPr>
        <w:t>Payment in Lieu of Royalty</w:t>
      </w:r>
      <w:r>
        <w:rPr>
          <w:rFonts w:ascii="Arial" w:cs="Arial" w:eastAsia="Arial" w:hAnsi="Arial"/>
          <w:sz w:val="22"/>
          <w:szCs w:val="22"/>
          <w:color w:val="auto"/>
        </w:rPr>
        <w:t>. Notwithstanding the foregoing, during the Term of this Agreement, upon</w:t>
      </w:r>
      <w:r>
        <w:rPr>
          <w:rFonts w:ascii="Arial" w:cs="Arial" w:eastAsia="Arial" w:hAnsi="Arial"/>
          <w:sz w:val="22"/>
          <w:szCs w:val="22"/>
          <w:u w:val="single" w:color="auto"/>
          <w:color w:val="auto"/>
        </w:rPr>
        <w:t xml:space="preserve"> </w:t>
      </w:r>
      <w:r>
        <w:rPr>
          <w:rFonts w:ascii="Arial" w:cs="Arial" w:eastAsia="Arial" w:hAnsi="Arial"/>
          <w:sz w:val="22"/>
          <w:szCs w:val="22"/>
          <w:color w:val="auto"/>
        </w:rPr>
        <w:t>written notice to WuXi Biologics, on a Licensed Cell Line-by-Licensed Cell Line basis, Licensee may exercise the buyout right (“</w:t>
      </w:r>
      <w:r>
        <w:rPr>
          <w:rFonts w:ascii="Arial" w:cs="Arial" w:eastAsia="Arial" w:hAnsi="Arial"/>
          <w:sz w:val="22"/>
          <w:szCs w:val="22"/>
          <w:b w:val="1"/>
          <w:bCs w:val="1"/>
          <w:color w:val="auto"/>
        </w:rPr>
        <w:t>Buyout Right</w:t>
      </w:r>
      <w:r>
        <w:rPr>
          <w:rFonts w:ascii="Arial" w:cs="Arial" w:eastAsia="Arial" w:hAnsi="Arial"/>
          <w:sz w:val="22"/>
          <w:szCs w:val="22"/>
          <w:color w:val="auto"/>
        </w:rPr>
        <w:t>”) for each Licensee Product by choosing to make a one-time lump sum payment in the amount of (a) [***] each for [***]; and (b) [***] each for [***] (“</w:t>
      </w:r>
      <w:r>
        <w:rPr>
          <w:rFonts w:ascii="Arial" w:cs="Arial" w:eastAsia="Arial" w:hAnsi="Arial"/>
          <w:sz w:val="22"/>
          <w:szCs w:val="22"/>
          <w:b w:val="1"/>
          <w:bCs w:val="1"/>
          <w:color w:val="auto"/>
        </w:rPr>
        <w:t>Buyout Fee</w:t>
      </w:r>
      <w:r>
        <w:rPr>
          <w:rFonts w:ascii="Arial" w:cs="Arial" w:eastAsia="Arial" w:hAnsi="Arial"/>
          <w:sz w:val="22"/>
          <w:szCs w:val="22"/>
          <w:color w:val="auto"/>
        </w:rPr>
        <w:t>”) which shall be payable within [***] after first receipt by or on behalf of Licensee or an Affiliate or sublicensee of the [***] of such Licensee Product, which payment shall satisfy all of Licensee’s Royalty payment obligations pursuant to this Agreement with respect to such Licensed Cell Line. Following such payment, Licensee shall have no further payment obligations with respect to any Royalty for Global Sales (including, for clarity, sales by Licensee, its Affiliates or sublicensees) of the applicable Drug Product produced (or otherwise derived from) from such applicable Licensed Cell Line. Further, the license granted from WuXi Biologics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4" w:lineRule="exact"/>
        <w:rPr>
          <w:sz w:val="20"/>
          <w:szCs w:val="20"/>
          <w:color w:val="auto"/>
        </w:rPr>
      </w:pPr>
    </w:p>
    <w:p>
      <w:pPr>
        <w:jc w:val="both"/>
        <w:ind w:left="1220"/>
        <w:spacing w:after="0" w:line="235" w:lineRule="auto"/>
        <w:rPr>
          <w:sz w:val="20"/>
          <w:szCs w:val="20"/>
          <w:color w:val="auto"/>
        </w:rPr>
      </w:pPr>
      <w:r>
        <w:rPr>
          <w:rFonts w:ascii="Arial" w:cs="Arial" w:eastAsia="Arial" w:hAnsi="Arial"/>
          <w:sz w:val="22"/>
          <w:szCs w:val="22"/>
          <w:color w:val="auto"/>
        </w:rPr>
        <w:t>Licensee under Article 2 with respect to the applicable Licensee Product, Drug Substance and Drug Product produced (or otherwise derived from) from such applicable Licensed Cell Line shall automatically (i.e. without an obligation to formally amend this Agreement) become fully paid-up, royalty-free, irrevocable and continue in perpetuity notwithstanding any termination or expiration of this Agreement. For clarity, and without limiting the foregoing, unless Licensee chooses to pay a Buyout Fee as described in this Article 5.2 with respect to the applicable Licensed Cell Line, Licensee shall pay the Royalty with respect to applicable Drug Products produced (or otherwise derived from) from such Licensed Cell Line as set forth in this Article 5.</w:t>
      </w:r>
    </w:p>
    <w:p>
      <w:pPr>
        <w:spacing w:after="0" w:line="178" w:lineRule="exact"/>
        <w:rPr>
          <w:sz w:val="20"/>
          <w:szCs w:val="20"/>
          <w:color w:val="auto"/>
        </w:rPr>
      </w:pPr>
    </w:p>
    <w:p>
      <w:pPr>
        <w:ind w:left="740" w:hanging="732"/>
        <w:spacing w:after="0"/>
        <w:tabs>
          <w:tab w:leader="none" w:pos="740" w:val="left"/>
        </w:tabs>
        <w:numPr>
          <w:ilvl w:val="0"/>
          <w:numId w:val="37"/>
        </w:numPr>
        <w:rPr>
          <w:rFonts w:ascii="Calibri" w:cs="Calibri" w:eastAsia="Calibri" w:hAnsi="Calibri"/>
          <w:sz w:val="22"/>
          <w:szCs w:val="22"/>
          <w:color w:val="auto"/>
        </w:rPr>
      </w:pPr>
      <w:r>
        <w:rPr>
          <w:rFonts w:ascii="Arial" w:cs="Arial" w:eastAsia="Arial" w:hAnsi="Arial"/>
          <w:sz w:val="22"/>
          <w:szCs w:val="22"/>
          <w:color w:val="auto"/>
        </w:rPr>
        <w:t>A new Section 5.3 is hereby inserted immediately following Section 5.2 of the License Agreement.</w:t>
      </w:r>
    </w:p>
    <w:p>
      <w:pPr>
        <w:spacing w:after="0" w:line="217" w:lineRule="exact"/>
        <w:rPr>
          <w:sz w:val="20"/>
          <w:szCs w:val="20"/>
          <w:color w:val="auto"/>
        </w:rPr>
      </w:pPr>
    </w:p>
    <w:p>
      <w:pPr>
        <w:jc w:val="both"/>
        <w:ind w:left="1220" w:hanging="748"/>
        <w:spacing w:after="0" w:line="244" w:lineRule="auto"/>
        <w:tabs>
          <w:tab w:leader="none" w:pos="1200" w:val="left"/>
        </w:tabs>
        <w:rPr>
          <w:sz w:val="20"/>
          <w:szCs w:val="20"/>
          <w:color w:val="auto"/>
        </w:rPr>
      </w:pPr>
      <w:r>
        <w:rPr>
          <w:rFonts w:ascii="Calibri" w:cs="Calibri" w:eastAsia="Calibri" w:hAnsi="Calibri"/>
          <w:sz w:val="22"/>
          <w:szCs w:val="22"/>
          <w:color w:val="auto"/>
        </w:rPr>
        <w:t>5.3</w:t>
      </w:r>
      <w:r>
        <w:rPr>
          <w:sz w:val="20"/>
          <w:szCs w:val="20"/>
          <w:color w:val="auto"/>
        </w:rPr>
        <w:tab/>
      </w:r>
      <w:r>
        <w:rPr>
          <w:rFonts w:ascii="Arial" w:cs="Arial" w:eastAsia="Arial" w:hAnsi="Arial"/>
          <w:sz w:val="21"/>
          <w:szCs w:val="21"/>
          <w:u w:val="single" w:color="auto"/>
          <w:color w:val="auto"/>
        </w:rPr>
        <w:t>Regulatory Restriction on Manufacturing</w:t>
      </w:r>
      <w:r>
        <w:rPr>
          <w:rFonts w:ascii="Arial" w:cs="Arial" w:eastAsia="Arial" w:hAnsi="Arial"/>
          <w:sz w:val="21"/>
          <w:szCs w:val="21"/>
          <w:color w:val="auto"/>
        </w:rPr>
        <w:t>. If Licensee’s ability to have a Licensee Product manufactured</w:t>
      </w:r>
      <w:r>
        <w:rPr>
          <w:rFonts w:ascii="Arial" w:cs="Arial" w:eastAsia="Arial" w:hAnsi="Arial"/>
          <w:sz w:val="21"/>
          <w:szCs w:val="21"/>
          <w:u w:val="single" w:color="auto"/>
          <w:color w:val="auto"/>
        </w:rPr>
        <w:t xml:space="preserve"> </w:t>
      </w:r>
      <w:r>
        <w:rPr>
          <w:rFonts w:ascii="Arial" w:cs="Arial" w:eastAsia="Arial" w:hAnsi="Arial"/>
          <w:sz w:val="21"/>
          <w:szCs w:val="21"/>
          <w:color w:val="auto"/>
        </w:rPr>
        <w:t>by WuXi Biologics or WuXi Biologics Affiliates becomes materially restricted due to government actions, including but not limited to law, rule, regulations, guideline or order, in a jurisdiction that materially prevents Licensee from being able to enter into or maintain a contract with a governmental entity or from receiving grant funds from such governmental entity, or materially affects Licensee’s ability to obtain government insurance coverage, including but not limited to in the United States [***], for the Licensee Product, Licensee shall provide WuXi Biologics with written notice describing the applicable government action in reasonable detail and Licensee’s applicable royalty obligations under Section 5 to the extent derived or arising from Licensee Product sold in the United States shall be waived for the relevant Licensee Product. Such waiver in Licensee’s royalty payment obligations under this section with respect to such Licensee Product shall continue only for so long as such government action continues, and Licensee’s full royalty payment obligations with respect to such Licensee Product shall immediately resume upon the government action being resolved, lifted, or ceasing to exist.</w:t>
      </w:r>
    </w:p>
    <w:p>
      <w:pPr>
        <w:spacing w:after="0" w:line="183" w:lineRule="exact"/>
        <w:rPr>
          <w:sz w:val="20"/>
          <w:szCs w:val="20"/>
          <w:color w:val="auto"/>
        </w:rPr>
      </w:pPr>
    </w:p>
    <w:p>
      <w:pPr>
        <w:ind w:left="740" w:hanging="732"/>
        <w:spacing w:after="0"/>
        <w:tabs>
          <w:tab w:leader="none" w:pos="740" w:val="left"/>
        </w:tabs>
        <w:numPr>
          <w:ilvl w:val="0"/>
          <w:numId w:val="38"/>
        </w:numPr>
        <w:rPr>
          <w:rFonts w:ascii="Calibri" w:cs="Calibri" w:eastAsia="Calibri" w:hAnsi="Calibri"/>
          <w:sz w:val="22"/>
          <w:szCs w:val="22"/>
          <w:color w:val="auto"/>
        </w:rPr>
      </w:pPr>
      <w:r>
        <w:rPr>
          <w:rFonts w:ascii="Arial" w:cs="Arial" w:eastAsia="Arial" w:hAnsi="Arial"/>
          <w:sz w:val="22"/>
          <w:szCs w:val="22"/>
          <w:color w:val="auto"/>
        </w:rPr>
        <w:t>Section 14.3 of the License Agreement is hereby deleted in its entirety and replaced with the following:</w:t>
      </w:r>
    </w:p>
    <w:p>
      <w:pPr>
        <w:spacing w:after="0" w:line="217" w:lineRule="exact"/>
        <w:rPr>
          <w:sz w:val="20"/>
          <w:szCs w:val="20"/>
          <w:color w:val="auto"/>
        </w:rPr>
      </w:pPr>
    </w:p>
    <w:p>
      <w:pPr>
        <w:jc w:val="both"/>
        <w:ind w:left="1220" w:hanging="808"/>
        <w:spacing w:after="0" w:line="245" w:lineRule="auto"/>
        <w:tabs>
          <w:tab w:leader="none" w:pos="1200" w:val="left"/>
        </w:tabs>
        <w:rPr>
          <w:sz w:val="20"/>
          <w:szCs w:val="20"/>
          <w:color w:val="auto"/>
        </w:rPr>
      </w:pPr>
      <w:r>
        <w:rPr>
          <w:rFonts w:ascii="Calibri" w:cs="Calibri" w:eastAsia="Calibri" w:hAnsi="Calibri"/>
          <w:sz w:val="22"/>
          <w:szCs w:val="22"/>
          <w:u w:val="single" w:color="auto"/>
          <w:color w:val="auto"/>
        </w:rPr>
        <w:t>14.3</w:t>
      </w:r>
      <w:r>
        <w:rPr>
          <w:sz w:val="20"/>
          <w:szCs w:val="20"/>
          <w:color w:val="auto"/>
        </w:rPr>
        <w:tab/>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required under this Agreement must</w:t>
      </w:r>
      <w:r>
        <w:rPr>
          <w:rFonts w:ascii="Arial" w:cs="Arial" w:eastAsia="Arial" w:hAnsi="Arial"/>
          <w:sz w:val="22"/>
          <w:szCs w:val="22"/>
          <w:u w:val="single" w:color="auto"/>
          <w:color w:val="auto"/>
        </w:rPr>
        <w:t xml:space="preserve"> </w:t>
      </w:r>
      <w:r>
        <w:rPr>
          <w:rFonts w:ascii="Arial" w:cs="Arial" w:eastAsia="Arial" w:hAnsi="Arial"/>
          <w:sz w:val="22"/>
          <w:szCs w:val="22"/>
          <w:color w:val="auto"/>
        </w:rPr>
        <w:t>be in writing and will be deemed to have been given or made and sufficient in all respects when delivered by reputable international courier to the following addresses: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To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-152400</wp:posOffset>
            </wp:positionV>
            <wp:extent cx="6202045" cy="11080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6202045" cy="1108075"/>
                    </a:xfrm>
                    <a:prstGeom prst="rect">
                      <a:avLst/>
                    </a:prstGeom>
                    <a:noFill/>
                  </pic:spPr>
                </pic:pic>
              </a:graphicData>
            </a:graphic>
          </wp:anchor>
        </w:drawing>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To WuXi Biologics:</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740" w:hanging="732"/>
        <w:spacing w:after="0" w:line="238" w:lineRule="auto"/>
        <w:tabs>
          <w:tab w:leader="none" w:pos="740" w:val="left"/>
        </w:tabs>
        <w:numPr>
          <w:ilvl w:val="0"/>
          <w:numId w:val="39"/>
        </w:numPr>
        <w:rPr>
          <w:rFonts w:ascii="Calibri" w:cs="Calibri" w:eastAsia="Calibri" w:hAnsi="Calibri"/>
          <w:sz w:val="22"/>
          <w:szCs w:val="22"/>
          <w:color w:val="auto"/>
        </w:rPr>
      </w:pPr>
      <w:r>
        <w:rPr>
          <w:rFonts w:ascii="Arial" w:cs="Arial" w:eastAsia="Arial" w:hAnsi="Arial"/>
          <w:sz w:val="22"/>
          <w:szCs w:val="22"/>
          <w:color w:val="auto"/>
        </w:rPr>
        <w:t>Except as expressly amended by this Amendment No. 3, the License Agreement is and shall remain unchanged and in full force and effect in accordance with its terms and the Parties hereto hereby ratify and reaffirm the License Agreement as amended hereby.</w:t>
      </w:r>
    </w:p>
    <w:p>
      <w:pPr>
        <w:spacing w:after="0" w:line="176" w:lineRule="exact"/>
        <w:rPr>
          <w:rFonts w:ascii="Calibri" w:cs="Calibri" w:eastAsia="Calibri" w:hAnsi="Calibri"/>
          <w:sz w:val="22"/>
          <w:szCs w:val="22"/>
          <w:color w:val="auto"/>
        </w:rPr>
      </w:pPr>
    </w:p>
    <w:p>
      <w:pPr>
        <w:jc w:val="both"/>
        <w:ind w:left="740" w:hanging="732"/>
        <w:spacing w:after="0" w:line="236" w:lineRule="auto"/>
        <w:tabs>
          <w:tab w:leader="none" w:pos="740" w:val="left"/>
        </w:tabs>
        <w:numPr>
          <w:ilvl w:val="0"/>
          <w:numId w:val="39"/>
        </w:numPr>
        <w:rPr>
          <w:rFonts w:ascii="Calibri" w:cs="Calibri" w:eastAsia="Calibri" w:hAnsi="Calibri"/>
          <w:sz w:val="22"/>
          <w:szCs w:val="22"/>
          <w:color w:val="auto"/>
        </w:rPr>
      </w:pPr>
      <w:r>
        <w:rPr>
          <w:rFonts w:ascii="Arial" w:cs="Arial" w:eastAsia="Arial" w:hAnsi="Arial"/>
          <w:sz w:val="22"/>
          <w:szCs w:val="22"/>
          <w:color w:val="auto"/>
        </w:rPr>
        <w:t>The laws of the State of New York, USA, without giving effect to principles of conflict of laws, govern all matters relating to this Amendment No. 3 and the enforcement and interpretation thereof. Any dispute arising out of or in connection with this Amendment No. 3 shall be resolved in accordance with Section 14.6 of the License Agreement.</w:t>
      </w:r>
    </w:p>
    <w:p>
      <w:pPr>
        <w:spacing w:after="0" w:line="177" w:lineRule="exact"/>
        <w:rPr>
          <w:rFonts w:ascii="Calibri" w:cs="Calibri" w:eastAsia="Calibri" w:hAnsi="Calibri"/>
          <w:sz w:val="22"/>
          <w:szCs w:val="22"/>
          <w:color w:val="auto"/>
        </w:rPr>
      </w:pPr>
    </w:p>
    <w:p>
      <w:pPr>
        <w:jc w:val="both"/>
        <w:ind w:left="740" w:hanging="732"/>
        <w:spacing w:after="0" w:line="236" w:lineRule="auto"/>
        <w:tabs>
          <w:tab w:leader="none" w:pos="740" w:val="left"/>
        </w:tabs>
        <w:numPr>
          <w:ilvl w:val="0"/>
          <w:numId w:val="39"/>
        </w:numPr>
        <w:rPr>
          <w:rFonts w:ascii="Calibri" w:cs="Calibri" w:eastAsia="Calibri" w:hAnsi="Calibri"/>
          <w:sz w:val="22"/>
          <w:szCs w:val="22"/>
          <w:color w:val="auto"/>
        </w:rPr>
      </w:pPr>
      <w:r>
        <w:rPr>
          <w:rFonts w:ascii="Arial" w:cs="Arial" w:eastAsia="Arial" w:hAnsi="Arial"/>
          <w:sz w:val="22"/>
          <w:szCs w:val="22"/>
          <w:color w:val="auto"/>
        </w:rPr>
        <w:t>This Amendment No. 3 may be executed in two or more counterparts, each of which shall be deemed an original, but all of which together shall constitute one and the same instrument. Each Party may rely on the delivery of executed electronic copies of counterpart execution pages of this Amendment No. 3 and such electronic copies shall be legally effective to create a valid and binding agreement among the Parties.</w:t>
      </w:r>
    </w:p>
    <w:p>
      <w:pPr>
        <w:spacing w:after="0" w:line="177" w:lineRule="exact"/>
        <w:rPr>
          <w:rFonts w:ascii="Calibri" w:cs="Calibri" w:eastAsia="Calibri" w:hAnsi="Calibri"/>
          <w:sz w:val="22"/>
          <w:szCs w:val="22"/>
          <w:color w:val="auto"/>
        </w:rPr>
      </w:pPr>
    </w:p>
    <w:p>
      <w:pPr>
        <w:ind w:left="740" w:hanging="732"/>
        <w:spacing w:after="0" w:line="244" w:lineRule="auto"/>
        <w:tabs>
          <w:tab w:leader="none" w:pos="740" w:val="left"/>
        </w:tabs>
        <w:numPr>
          <w:ilvl w:val="0"/>
          <w:numId w:val="39"/>
        </w:numPr>
        <w:rPr>
          <w:rFonts w:ascii="Calibri" w:cs="Calibri" w:eastAsia="Calibri" w:hAnsi="Calibri"/>
          <w:sz w:val="22"/>
          <w:szCs w:val="22"/>
          <w:color w:val="auto"/>
        </w:rPr>
      </w:pPr>
      <w:r>
        <w:rPr>
          <w:rFonts w:ascii="Arial" w:cs="Arial" w:eastAsia="Arial" w:hAnsi="Arial"/>
          <w:sz w:val="22"/>
          <w:szCs w:val="22"/>
          <w:color w:val="auto"/>
        </w:rPr>
        <w:t>Any capitalized term used in this Amendment No. 3 and not otherwise defined herein shall have the meaning given to that term in the License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2"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Amendment No. 3 to be duly executed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No. 3 Effective Date set forth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720" w:type="dxa"/>
            <w:vAlign w:val="bottom"/>
            <w:gridSpan w:val="7"/>
          </w:tcPr>
          <w:p>
            <w:pPr>
              <w:ind w:left="100"/>
              <w:spacing w:after="0"/>
              <w:rPr>
                <w:sz w:val="20"/>
                <w:szCs w:val="20"/>
                <w:color w:val="auto"/>
              </w:rPr>
            </w:pPr>
            <w:r>
              <w:rPr>
                <w:rFonts w:ascii="Arial" w:cs="Arial" w:eastAsia="Arial" w:hAnsi="Arial"/>
                <w:sz w:val="22"/>
                <w:szCs w:val="22"/>
                <w:b w:val="1"/>
                <w:bCs w:val="1"/>
                <w:color w:val="auto"/>
              </w:rPr>
              <w:t>WuXi Biologics (Hong Kong) Limited</w:t>
            </w:r>
          </w:p>
        </w:tc>
        <w:tc>
          <w:tcPr>
            <w:tcW w:w="900" w:type="dxa"/>
            <w:vAlign w:val="bottom"/>
          </w:tcPr>
          <w:p>
            <w:pPr>
              <w:spacing w:after="0"/>
              <w:rPr>
                <w:sz w:val="24"/>
                <w:szCs w:val="24"/>
                <w:color w:val="auto"/>
              </w:rPr>
            </w:pPr>
          </w:p>
        </w:tc>
        <w:tc>
          <w:tcPr>
            <w:tcW w:w="5620" w:type="dxa"/>
            <w:vAlign w:val="bottom"/>
            <w:gridSpan w:val="7"/>
          </w:tcPr>
          <w:p>
            <w:pPr>
              <w:ind w:left="100"/>
              <w:spacing w:after="0"/>
              <w:rPr>
                <w:sz w:val="20"/>
                <w:szCs w:val="20"/>
                <w:color w:val="auto"/>
              </w:rPr>
            </w:pPr>
            <w:r>
              <w:rPr>
                <w:rFonts w:ascii="Arial" w:cs="Arial" w:eastAsia="Arial" w:hAnsi="Arial"/>
                <w:sz w:val="22"/>
                <w:szCs w:val="22"/>
                <w:b w:val="1"/>
                <w:bCs w:val="1"/>
                <w:color w:val="auto"/>
              </w:rPr>
              <w:t>Invivyd, Inc.</w:t>
            </w:r>
          </w:p>
        </w:tc>
      </w:tr>
      <w:tr>
        <w:trPr>
          <w:trHeight w:val="187"/>
        </w:trPr>
        <w:tc>
          <w:tcPr>
            <w:tcW w:w="500" w:type="dxa"/>
            <w:vAlign w:val="bottom"/>
            <w:tcBorders>
              <w:bottom w:val="single" w:sz="8" w:color="F2F2F2"/>
            </w:tcBorders>
          </w:tcPr>
          <w:p>
            <w:pPr>
              <w:spacing w:after="0"/>
              <w:rPr>
                <w:sz w:val="16"/>
                <w:szCs w:val="16"/>
                <w:color w:val="auto"/>
              </w:rPr>
            </w:pPr>
          </w:p>
        </w:tc>
        <w:tc>
          <w:tcPr>
            <w:tcW w:w="200" w:type="dxa"/>
            <w:vAlign w:val="bottom"/>
            <w:tcBorders>
              <w:bottom w:val="single" w:sz="8" w:color="F2F2F2"/>
            </w:tcBorders>
          </w:tcPr>
          <w:p>
            <w:pPr>
              <w:spacing w:after="0"/>
              <w:rPr>
                <w:sz w:val="16"/>
                <w:szCs w:val="16"/>
                <w:color w:val="auto"/>
              </w:rPr>
            </w:pPr>
          </w:p>
        </w:tc>
        <w:tc>
          <w:tcPr>
            <w:tcW w:w="160" w:type="dxa"/>
            <w:vAlign w:val="bottom"/>
            <w:tcBorders>
              <w:bottom w:val="single" w:sz="8" w:color="F2F2F2"/>
            </w:tcBorders>
          </w:tcPr>
          <w:p>
            <w:pPr>
              <w:spacing w:after="0"/>
              <w:rPr>
                <w:sz w:val="16"/>
                <w:szCs w:val="16"/>
                <w:color w:val="auto"/>
              </w:rPr>
            </w:pPr>
          </w:p>
        </w:tc>
        <w:tc>
          <w:tcPr>
            <w:tcW w:w="220" w:type="dxa"/>
            <w:vAlign w:val="bottom"/>
            <w:tcBorders>
              <w:bottom w:val="single" w:sz="8" w:color="F2F2F2"/>
            </w:tcBorders>
          </w:tcPr>
          <w:p>
            <w:pPr>
              <w:spacing w:after="0"/>
              <w:rPr>
                <w:sz w:val="16"/>
                <w:szCs w:val="16"/>
                <w:color w:val="auto"/>
              </w:rPr>
            </w:pPr>
          </w:p>
        </w:tc>
        <w:tc>
          <w:tcPr>
            <w:tcW w:w="380" w:type="dxa"/>
            <w:vAlign w:val="bottom"/>
            <w:tcBorders>
              <w:bottom w:val="single" w:sz="8" w:color="F2F2F2"/>
            </w:tcBorders>
          </w:tcPr>
          <w:p>
            <w:pPr>
              <w:spacing w:after="0"/>
              <w:rPr>
                <w:sz w:val="16"/>
                <w:szCs w:val="16"/>
                <w:color w:val="auto"/>
              </w:rPr>
            </w:pPr>
          </w:p>
        </w:tc>
        <w:tc>
          <w:tcPr>
            <w:tcW w:w="620" w:type="dxa"/>
            <w:vAlign w:val="bottom"/>
            <w:tcBorders>
              <w:bottom w:val="single" w:sz="8" w:color="F2F2F2"/>
            </w:tcBorders>
          </w:tcPr>
          <w:p>
            <w:pPr>
              <w:spacing w:after="0"/>
              <w:rPr>
                <w:sz w:val="16"/>
                <w:szCs w:val="16"/>
                <w:color w:val="auto"/>
              </w:rPr>
            </w:pPr>
          </w:p>
        </w:tc>
        <w:tc>
          <w:tcPr>
            <w:tcW w:w="2640" w:type="dxa"/>
            <w:vAlign w:val="bottom"/>
            <w:tcBorders>
              <w:bottom w:val="single" w:sz="8" w:color="F2F2F2"/>
            </w:tcBorders>
          </w:tcPr>
          <w:p>
            <w:pPr>
              <w:spacing w:after="0"/>
              <w:rPr>
                <w:sz w:val="16"/>
                <w:szCs w:val="16"/>
                <w:color w:val="auto"/>
              </w:rPr>
            </w:pPr>
          </w:p>
        </w:tc>
        <w:tc>
          <w:tcPr>
            <w:tcW w:w="900" w:type="dxa"/>
            <w:vAlign w:val="bottom"/>
            <w:tcBorders>
              <w:bottom w:val="single" w:sz="8" w:color="F2F2F2"/>
            </w:tcBorders>
          </w:tcPr>
          <w:p>
            <w:pPr>
              <w:spacing w:after="0"/>
              <w:rPr>
                <w:sz w:val="16"/>
                <w:szCs w:val="16"/>
                <w:color w:val="auto"/>
              </w:rPr>
            </w:pPr>
          </w:p>
        </w:tc>
        <w:tc>
          <w:tcPr>
            <w:tcW w:w="480" w:type="dxa"/>
            <w:vAlign w:val="bottom"/>
            <w:tcBorders>
              <w:bottom w:val="single" w:sz="8" w:color="F2F2F2"/>
            </w:tcBorders>
          </w:tcPr>
          <w:p>
            <w:pPr>
              <w:spacing w:after="0"/>
              <w:rPr>
                <w:sz w:val="16"/>
                <w:szCs w:val="16"/>
                <w:color w:val="auto"/>
              </w:rPr>
            </w:pPr>
          </w:p>
        </w:tc>
        <w:tc>
          <w:tcPr>
            <w:tcW w:w="200" w:type="dxa"/>
            <w:vAlign w:val="bottom"/>
            <w:tcBorders>
              <w:bottom w:val="single" w:sz="8" w:color="F2F2F2"/>
            </w:tcBorders>
          </w:tcPr>
          <w:p>
            <w:pPr>
              <w:spacing w:after="0"/>
              <w:rPr>
                <w:sz w:val="16"/>
                <w:szCs w:val="16"/>
                <w:color w:val="auto"/>
              </w:rPr>
            </w:pPr>
          </w:p>
        </w:tc>
        <w:tc>
          <w:tcPr>
            <w:tcW w:w="160" w:type="dxa"/>
            <w:vAlign w:val="bottom"/>
            <w:tcBorders>
              <w:bottom w:val="single" w:sz="8" w:color="F2F2F2"/>
            </w:tcBorders>
          </w:tcPr>
          <w:p>
            <w:pPr>
              <w:spacing w:after="0"/>
              <w:rPr>
                <w:sz w:val="16"/>
                <w:szCs w:val="16"/>
                <w:color w:val="auto"/>
              </w:rPr>
            </w:pPr>
          </w:p>
        </w:tc>
        <w:tc>
          <w:tcPr>
            <w:tcW w:w="220" w:type="dxa"/>
            <w:vAlign w:val="bottom"/>
            <w:tcBorders>
              <w:bottom w:val="single" w:sz="8" w:color="F2F2F2"/>
            </w:tcBorders>
          </w:tcPr>
          <w:p>
            <w:pPr>
              <w:spacing w:after="0"/>
              <w:rPr>
                <w:sz w:val="16"/>
                <w:szCs w:val="16"/>
                <w:color w:val="auto"/>
              </w:rPr>
            </w:pPr>
          </w:p>
        </w:tc>
        <w:tc>
          <w:tcPr>
            <w:tcW w:w="380" w:type="dxa"/>
            <w:vAlign w:val="bottom"/>
            <w:tcBorders>
              <w:bottom w:val="single" w:sz="8" w:color="F2F2F2"/>
            </w:tcBorders>
          </w:tcPr>
          <w:p>
            <w:pPr>
              <w:spacing w:after="0"/>
              <w:rPr>
                <w:sz w:val="16"/>
                <w:szCs w:val="16"/>
                <w:color w:val="auto"/>
              </w:rPr>
            </w:pPr>
          </w:p>
        </w:tc>
        <w:tc>
          <w:tcPr>
            <w:tcW w:w="80" w:type="dxa"/>
            <w:vAlign w:val="bottom"/>
            <w:tcBorders>
              <w:bottom w:val="single" w:sz="8" w:color="F2F2F2"/>
            </w:tcBorders>
          </w:tcPr>
          <w:p>
            <w:pPr>
              <w:spacing w:after="0"/>
              <w:rPr>
                <w:sz w:val="16"/>
                <w:szCs w:val="16"/>
                <w:color w:val="auto"/>
              </w:rPr>
            </w:pPr>
          </w:p>
        </w:tc>
        <w:tc>
          <w:tcPr>
            <w:tcW w:w="4100" w:type="dxa"/>
            <w:vAlign w:val="bottom"/>
            <w:tcBorders>
              <w:bottom w:val="single" w:sz="8" w:color="F2F2F2"/>
            </w:tcBorders>
          </w:tcPr>
          <w:p>
            <w:pPr>
              <w:spacing w:after="0"/>
              <w:rPr>
                <w:sz w:val="16"/>
                <w:szCs w:val="16"/>
                <w:color w:val="auto"/>
              </w:rPr>
            </w:pPr>
          </w:p>
        </w:tc>
      </w:tr>
      <w:tr>
        <w:trPr>
          <w:trHeight w:val="658"/>
        </w:trPr>
        <w:tc>
          <w:tcPr>
            <w:tcW w:w="1080" w:type="dxa"/>
            <w:vAlign w:val="bottom"/>
            <w:tcBorders>
              <w:left w:val="single" w:sz="8" w:color="F2F2F2"/>
            </w:tcBorders>
            <w:gridSpan w:val="4"/>
          </w:tcPr>
          <w:p>
            <w:pPr>
              <w:ind w:left="120"/>
              <w:spacing w:after="0"/>
              <w:rPr>
                <w:sz w:val="20"/>
                <w:szCs w:val="20"/>
                <w:color w:val="auto"/>
              </w:rPr>
            </w:pPr>
            <w:r>
              <w:rPr>
                <w:rFonts w:ascii="Arial" w:cs="Arial" w:eastAsia="Arial" w:hAnsi="Arial"/>
                <w:sz w:val="22"/>
                <w:szCs w:val="22"/>
                <w:color w:val="auto"/>
              </w:rPr>
              <w:t>By: [***]</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Borders>
              <w:right w:val="single" w:sz="8" w:color="F2F2F2"/>
            </w:tcBorders>
          </w:tcPr>
          <w:p>
            <w:pPr>
              <w:spacing w:after="0"/>
              <w:rPr>
                <w:sz w:val="24"/>
                <w:szCs w:val="24"/>
                <w:color w:val="auto"/>
              </w:rPr>
            </w:pPr>
          </w:p>
        </w:tc>
        <w:tc>
          <w:tcPr>
            <w:tcW w:w="840" w:type="dxa"/>
            <w:vAlign w:val="bottom"/>
            <w:gridSpan w:val="3"/>
          </w:tcPr>
          <w:p>
            <w:pPr>
              <w:ind w:left="100"/>
              <w:spacing w:after="0"/>
              <w:rPr>
                <w:sz w:val="20"/>
                <w:szCs w:val="20"/>
                <w:color w:val="auto"/>
              </w:rPr>
            </w:pPr>
            <w:r>
              <w:rPr>
                <w:rFonts w:ascii="Arial" w:cs="Arial" w:eastAsia="Arial" w:hAnsi="Arial"/>
                <w:sz w:val="22"/>
                <w:szCs w:val="22"/>
                <w:color w:val="auto"/>
                <w:w w:val="94"/>
              </w:rPr>
              <w:t>By: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tcBorders>
              <w:right w:val="single" w:sz="8" w:color="F2F2F2"/>
            </w:tcBorders>
          </w:tcPr>
          <w:p>
            <w:pPr>
              <w:spacing w:after="0"/>
              <w:rPr>
                <w:sz w:val="24"/>
                <w:szCs w:val="24"/>
                <w:color w:val="auto"/>
              </w:rPr>
            </w:pPr>
          </w:p>
        </w:tc>
      </w:tr>
      <w:tr>
        <w:trPr>
          <w:trHeight w:val="20"/>
        </w:trPr>
        <w:tc>
          <w:tcPr>
            <w:tcW w:w="500" w:type="dxa"/>
            <w:vAlign w:val="bottom"/>
            <w:tcBorders>
              <w:left w:val="single" w:sz="8" w:color="F2F2F2"/>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Borders>
              <w:right w:val="single" w:sz="8" w:color="F2F2F2"/>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00" w:type="dxa"/>
            <w:vAlign w:val="bottom"/>
            <w:tcBorders>
              <w:right w:val="single" w:sz="8" w:color="F2F2F2"/>
            </w:tcBorders>
          </w:tcPr>
          <w:p>
            <w:pPr>
              <w:spacing w:after="0" w:line="20" w:lineRule="exact"/>
              <w:rPr>
                <w:sz w:val="1"/>
                <w:szCs w:val="1"/>
                <w:color w:val="auto"/>
              </w:rPr>
            </w:pPr>
          </w:p>
        </w:tc>
      </w:tr>
      <w:tr>
        <w:trPr>
          <w:trHeight w:val="439"/>
        </w:trPr>
        <w:tc>
          <w:tcPr>
            <w:tcW w:w="1080" w:type="dxa"/>
            <w:vAlign w:val="bottom"/>
            <w:tcBorders>
              <w:left w:val="single" w:sz="8" w:color="F2F2F2"/>
            </w:tcBorders>
            <w:gridSpan w:val="4"/>
          </w:tcPr>
          <w:p>
            <w:pPr>
              <w:ind w:left="120"/>
              <w:spacing w:after="0"/>
              <w:rPr>
                <w:sz w:val="20"/>
                <w:szCs w:val="20"/>
                <w:color w:val="auto"/>
              </w:rPr>
            </w:pPr>
            <w:r>
              <w:rPr>
                <w:rFonts w:ascii="Arial" w:cs="Arial" w:eastAsia="Arial" w:hAnsi="Arial"/>
                <w:sz w:val="22"/>
                <w:szCs w:val="22"/>
                <w:color w:val="auto"/>
              </w:rPr>
              <w:t>Name: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w:t>
            </w: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Borders>
              <w:right w:val="single" w:sz="8" w:color="F2F2F2"/>
            </w:tcBorders>
          </w:tcPr>
          <w:p>
            <w:pPr>
              <w:spacing w:after="0"/>
              <w:rPr>
                <w:sz w:val="24"/>
                <w:szCs w:val="24"/>
                <w:color w:val="auto"/>
              </w:rPr>
            </w:pPr>
          </w:p>
        </w:tc>
        <w:tc>
          <w:tcPr>
            <w:tcW w:w="840" w:type="dxa"/>
            <w:vAlign w:val="bottom"/>
            <w:gridSpan w:val="3"/>
          </w:tcPr>
          <w:p>
            <w:pPr>
              <w:ind w:left="100"/>
              <w:spacing w:after="0"/>
              <w:rPr>
                <w:sz w:val="20"/>
                <w:szCs w:val="20"/>
                <w:color w:val="auto"/>
              </w:rPr>
            </w:pPr>
            <w:r>
              <w:rPr>
                <w:rFonts w:ascii="Arial" w:cs="Arial" w:eastAsia="Arial" w:hAnsi="Arial"/>
                <w:sz w:val="22"/>
                <w:szCs w:val="22"/>
                <w:color w:val="auto"/>
              </w:rPr>
              <w:t>Name:</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w:t>
            </w:r>
          </w:p>
        </w:tc>
        <w:tc>
          <w:tcPr>
            <w:tcW w:w="80" w:type="dxa"/>
            <w:vAlign w:val="bottom"/>
          </w:tcPr>
          <w:p>
            <w:pPr>
              <w:spacing w:after="0"/>
              <w:rPr>
                <w:sz w:val="24"/>
                <w:szCs w:val="24"/>
                <w:color w:val="auto"/>
              </w:rPr>
            </w:pPr>
          </w:p>
        </w:tc>
        <w:tc>
          <w:tcPr>
            <w:tcW w:w="4100" w:type="dxa"/>
            <w:vAlign w:val="bottom"/>
            <w:tcBorders>
              <w:right w:val="single" w:sz="8" w:color="F2F2F2"/>
            </w:tcBorders>
          </w:tcPr>
          <w:p>
            <w:pPr>
              <w:spacing w:after="0"/>
              <w:rPr>
                <w:sz w:val="24"/>
                <w:szCs w:val="24"/>
                <w:color w:val="auto"/>
              </w:rPr>
            </w:pPr>
          </w:p>
        </w:tc>
      </w:tr>
      <w:tr>
        <w:trPr>
          <w:trHeight w:val="439"/>
        </w:trPr>
        <w:tc>
          <w:tcPr>
            <w:tcW w:w="1080" w:type="dxa"/>
            <w:vAlign w:val="bottom"/>
            <w:tcBorders>
              <w:left w:val="single" w:sz="8" w:color="F2F2F2"/>
            </w:tcBorders>
            <w:gridSpan w:val="4"/>
          </w:tcPr>
          <w:p>
            <w:pPr>
              <w:ind w:left="120"/>
              <w:spacing w:after="0"/>
              <w:rPr>
                <w:sz w:val="20"/>
                <w:szCs w:val="20"/>
                <w:color w:val="auto"/>
              </w:rPr>
            </w:pPr>
            <w:r>
              <w:rPr>
                <w:rFonts w:ascii="Arial" w:cs="Arial" w:eastAsia="Arial" w:hAnsi="Arial"/>
                <w:sz w:val="22"/>
                <w:szCs w:val="22"/>
                <w:color w:val="auto"/>
              </w:rPr>
              <w:t>Title: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w:t>
            </w: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Borders>
              <w:right w:val="single" w:sz="8" w:color="F2F2F2"/>
            </w:tcBorders>
          </w:tcPr>
          <w:p>
            <w:pPr>
              <w:spacing w:after="0"/>
              <w:rPr>
                <w:sz w:val="24"/>
                <w:szCs w:val="24"/>
                <w:color w:val="auto"/>
              </w:rPr>
            </w:pPr>
          </w:p>
        </w:tc>
        <w:tc>
          <w:tcPr>
            <w:tcW w:w="840" w:type="dxa"/>
            <w:vAlign w:val="bottom"/>
            <w:gridSpan w:val="3"/>
          </w:tcPr>
          <w:p>
            <w:pPr>
              <w:ind w:left="100"/>
              <w:spacing w:after="0"/>
              <w:rPr>
                <w:sz w:val="20"/>
                <w:szCs w:val="20"/>
                <w:color w:val="auto"/>
              </w:rPr>
            </w:pPr>
            <w:r>
              <w:rPr>
                <w:rFonts w:ascii="Arial" w:cs="Arial" w:eastAsia="Arial" w:hAnsi="Arial"/>
                <w:sz w:val="22"/>
                <w:szCs w:val="22"/>
                <w:color w:val="auto"/>
              </w:rPr>
              <w:t>Title:</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w:t>
            </w:r>
          </w:p>
        </w:tc>
        <w:tc>
          <w:tcPr>
            <w:tcW w:w="80" w:type="dxa"/>
            <w:vAlign w:val="bottom"/>
          </w:tcPr>
          <w:p>
            <w:pPr>
              <w:spacing w:after="0"/>
              <w:rPr>
                <w:sz w:val="24"/>
                <w:szCs w:val="24"/>
                <w:color w:val="auto"/>
              </w:rPr>
            </w:pPr>
          </w:p>
        </w:tc>
        <w:tc>
          <w:tcPr>
            <w:tcW w:w="4100" w:type="dxa"/>
            <w:vAlign w:val="bottom"/>
            <w:tcBorders>
              <w:right w:val="single" w:sz="8" w:color="F2F2F2"/>
            </w:tcBorders>
          </w:tcPr>
          <w:p>
            <w:pPr>
              <w:spacing w:after="0"/>
              <w:rPr>
                <w:sz w:val="24"/>
                <w:szCs w:val="24"/>
                <w:color w:val="auto"/>
              </w:rPr>
            </w:pPr>
          </w:p>
        </w:tc>
      </w:tr>
      <w:tr>
        <w:trPr>
          <w:trHeight w:val="439"/>
        </w:trPr>
        <w:tc>
          <w:tcPr>
            <w:tcW w:w="4720" w:type="dxa"/>
            <w:vAlign w:val="bottom"/>
            <w:tcBorders>
              <w:left w:val="single" w:sz="8" w:color="F2F2F2"/>
            </w:tcBorders>
            <w:gridSpan w:val="7"/>
          </w:tcPr>
          <w:p>
            <w:pPr>
              <w:ind w:left="120"/>
              <w:spacing w:after="0"/>
              <w:rPr>
                <w:sz w:val="20"/>
                <w:szCs w:val="20"/>
                <w:color w:val="auto"/>
              </w:rPr>
            </w:pPr>
            <w:r>
              <w:rPr>
                <w:rFonts w:ascii="Arial" w:cs="Arial" w:eastAsia="Arial" w:hAnsi="Arial"/>
                <w:sz w:val="22"/>
                <w:szCs w:val="22"/>
                <w:color w:val="auto"/>
              </w:rPr>
              <w:t>Date: 4 March, 2026</w:t>
            </w:r>
          </w:p>
        </w:tc>
        <w:tc>
          <w:tcPr>
            <w:tcW w:w="900" w:type="dxa"/>
            <w:vAlign w:val="bottom"/>
            <w:tcBorders>
              <w:right w:val="single" w:sz="8" w:color="F2F2F2"/>
            </w:tcBorders>
          </w:tcPr>
          <w:p>
            <w:pPr>
              <w:spacing w:after="0"/>
              <w:rPr>
                <w:sz w:val="24"/>
                <w:szCs w:val="24"/>
                <w:color w:val="auto"/>
              </w:rPr>
            </w:pPr>
          </w:p>
        </w:tc>
        <w:tc>
          <w:tcPr>
            <w:tcW w:w="5620" w:type="dxa"/>
            <w:vAlign w:val="bottom"/>
            <w:tcBorders>
              <w:right w:val="single" w:sz="8" w:color="F2F2F2"/>
            </w:tcBorders>
            <w:gridSpan w:val="7"/>
          </w:tcPr>
          <w:p>
            <w:pPr>
              <w:ind w:left="100"/>
              <w:spacing w:after="0"/>
              <w:rPr>
                <w:sz w:val="20"/>
                <w:szCs w:val="20"/>
                <w:color w:val="auto"/>
              </w:rPr>
            </w:pPr>
            <w:r>
              <w:rPr>
                <w:rFonts w:ascii="Arial" w:cs="Arial" w:eastAsia="Arial" w:hAnsi="Arial"/>
                <w:sz w:val="22"/>
                <w:szCs w:val="22"/>
                <w:color w:val="auto"/>
              </w:rPr>
              <w:t>Date: 3/4/2026</w:t>
            </w:r>
          </w:p>
        </w:tc>
      </w:tr>
      <w:tr>
        <w:trPr>
          <w:trHeight w:val="233"/>
        </w:trPr>
        <w:tc>
          <w:tcPr>
            <w:tcW w:w="500" w:type="dxa"/>
            <w:vAlign w:val="bottom"/>
            <w:tcBorders>
              <w:left w:val="single" w:sz="8" w:color="F2F2F2"/>
              <w:bottom w:val="single" w:sz="8" w:color="F2F2F2"/>
            </w:tcBorders>
          </w:tcPr>
          <w:p>
            <w:pPr>
              <w:spacing w:after="0"/>
              <w:rPr>
                <w:sz w:val="20"/>
                <w:szCs w:val="20"/>
                <w:color w:val="auto"/>
              </w:rPr>
            </w:pPr>
          </w:p>
        </w:tc>
        <w:tc>
          <w:tcPr>
            <w:tcW w:w="200" w:type="dxa"/>
            <w:vAlign w:val="bottom"/>
            <w:tcBorders>
              <w:bottom w:val="single" w:sz="8" w:color="F2F2F2"/>
            </w:tcBorders>
          </w:tcPr>
          <w:p>
            <w:pPr>
              <w:spacing w:after="0"/>
              <w:rPr>
                <w:sz w:val="20"/>
                <w:szCs w:val="20"/>
                <w:color w:val="auto"/>
              </w:rPr>
            </w:pPr>
          </w:p>
        </w:tc>
        <w:tc>
          <w:tcPr>
            <w:tcW w:w="160" w:type="dxa"/>
            <w:vAlign w:val="bottom"/>
            <w:tcBorders>
              <w:top w:val="single" w:sz="8" w:color="auto"/>
              <w:bottom w:val="single" w:sz="8" w:color="F2F2F2"/>
            </w:tcBorders>
          </w:tcPr>
          <w:p>
            <w:pPr>
              <w:spacing w:after="0"/>
              <w:rPr>
                <w:sz w:val="20"/>
                <w:szCs w:val="20"/>
                <w:color w:val="auto"/>
              </w:rPr>
            </w:pPr>
          </w:p>
        </w:tc>
        <w:tc>
          <w:tcPr>
            <w:tcW w:w="220" w:type="dxa"/>
            <w:vAlign w:val="bottom"/>
            <w:tcBorders>
              <w:top w:val="single" w:sz="8" w:color="auto"/>
              <w:bottom w:val="single" w:sz="8" w:color="F2F2F2"/>
            </w:tcBorders>
          </w:tcPr>
          <w:p>
            <w:pPr>
              <w:spacing w:after="0"/>
              <w:rPr>
                <w:sz w:val="20"/>
                <w:szCs w:val="20"/>
                <w:color w:val="auto"/>
              </w:rPr>
            </w:pPr>
          </w:p>
        </w:tc>
        <w:tc>
          <w:tcPr>
            <w:tcW w:w="380" w:type="dxa"/>
            <w:vAlign w:val="bottom"/>
            <w:tcBorders>
              <w:top w:val="single" w:sz="8" w:color="auto"/>
              <w:bottom w:val="single" w:sz="8" w:color="F2F2F2"/>
            </w:tcBorders>
          </w:tcPr>
          <w:p>
            <w:pPr>
              <w:spacing w:after="0"/>
              <w:rPr>
                <w:sz w:val="20"/>
                <w:szCs w:val="20"/>
                <w:color w:val="auto"/>
              </w:rPr>
            </w:pPr>
          </w:p>
        </w:tc>
        <w:tc>
          <w:tcPr>
            <w:tcW w:w="620" w:type="dxa"/>
            <w:vAlign w:val="bottom"/>
            <w:tcBorders>
              <w:top w:val="single" w:sz="8" w:color="auto"/>
              <w:bottom w:val="single" w:sz="8" w:color="F2F2F2"/>
            </w:tcBorders>
          </w:tcPr>
          <w:p>
            <w:pPr>
              <w:spacing w:after="0"/>
              <w:rPr>
                <w:sz w:val="20"/>
                <w:szCs w:val="20"/>
                <w:color w:val="auto"/>
              </w:rPr>
            </w:pPr>
          </w:p>
        </w:tc>
        <w:tc>
          <w:tcPr>
            <w:tcW w:w="2640" w:type="dxa"/>
            <w:vAlign w:val="bottom"/>
            <w:tcBorders>
              <w:bottom w:val="single" w:sz="8" w:color="F2F2F2"/>
            </w:tcBorders>
          </w:tcPr>
          <w:p>
            <w:pPr>
              <w:spacing w:after="0"/>
              <w:rPr>
                <w:sz w:val="20"/>
                <w:szCs w:val="20"/>
                <w:color w:val="auto"/>
              </w:rPr>
            </w:pPr>
          </w:p>
        </w:tc>
        <w:tc>
          <w:tcPr>
            <w:tcW w:w="900" w:type="dxa"/>
            <w:vAlign w:val="bottom"/>
            <w:tcBorders>
              <w:bottom w:val="single" w:sz="8" w:color="F2F2F2"/>
              <w:right w:val="single" w:sz="8" w:color="F2F2F2"/>
            </w:tcBorders>
          </w:tcPr>
          <w:p>
            <w:pPr>
              <w:spacing w:after="0"/>
              <w:rPr>
                <w:sz w:val="20"/>
                <w:szCs w:val="20"/>
                <w:color w:val="auto"/>
              </w:rPr>
            </w:pPr>
          </w:p>
        </w:tc>
        <w:tc>
          <w:tcPr>
            <w:tcW w:w="480" w:type="dxa"/>
            <w:vAlign w:val="bottom"/>
            <w:tcBorders>
              <w:bottom w:val="single" w:sz="8" w:color="F2F2F2"/>
            </w:tcBorders>
          </w:tcPr>
          <w:p>
            <w:pPr>
              <w:spacing w:after="0"/>
              <w:rPr>
                <w:sz w:val="20"/>
                <w:szCs w:val="20"/>
                <w:color w:val="auto"/>
              </w:rPr>
            </w:pPr>
          </w:p>
        </w:tc>
        <w:tc>
          <w:tcPr>
            <w:tcW w:w="200" w:type="dxa"/>
            <w:vAlign w:val="bottom"/>
            <w:tcBorders>
              <w:bottom w:val="single" w:sz="8" w:color="F2F2F2"/>
            </w:tcBorders>
          </w:tcPr>
          <w:p>
            <w:pPr>
              <w:spacing w:after="0"/>
              <w:rPr>
                <w:sz w:val="20"/>
                <w:szCs w:val="20"/>
                <w:color w:val="auto"/>
              </w:rPr>
            </w:pPr>
          </w:p>
        </w:tc>
        <w:tc>
          <w:tcPr>
            <w:tcW w:w="160" w:type="dxa"/>
            <w:vAlign w:val="bottom"/>
            <w:tcBorders>
              <w:top w:val="single" w:sz="8" w:color="auto"/>
              <w:bottom w:val="single" w:sz="8" w:color="F2F2F2"/>
            </w:tcBorders>
          </w:tcPr>
          <w:p>
            <w:pPr>
              <w:spacing w:after="0"/>
              <w:rPr>
                <w:sz w:val="20"/>
                <w:szCs w:val="20"/>
                <w:color w:val="auto"/>
              </w:rPr>
            </w:pPr>
          </w:p>
        </w:tc>
        <w:tc>
          <w:tcPr>
            <w:tcW w:w="220" w:type="dxa"/>
            <w:vAlign w:val="bottom"/>
            <w:tcBorders>
              <w:top w:val="single" w:sz="8" w:color="auto"/>
              <w:bottom w:val="single" w:sz="8" w:color="F2F2F2"/>
            </w:tcBorders>
          </w:tcPr>
          <w:p>
            <w:pPr>
              <w:spacing w:after="0"/>
              <w:rPr>
                <w:sz w:val="20"/>
                <w:szCs w:val="20"/>
                <w:color w:val="auto"/>
              </w:rPr>
            </w:pPr>
          </w:p>
        </w:tc>
        <w:tc>
          <w:tcPr>
            <w:tcW w:w="380" w:type="dxa"/>
            <w:vAlign w:val="bottom"/>
            <w:tcBorders>
              <w:top w:val="single" w:sz="8" w:color="auto"/>
              <w:bottom w:val="single" w:sz="8" w:color="F2F2F2"/>
            </w:tcBorders>
          </w:tcPr>
          <w:p>
            <w:pPr>
              <w:spacing w:after="0"/>
              <w:rPr>
                <w:sz w:val="20"/>
                <w:szCs w:val="20"/>
                <w:color w:val="auto"/>
              </w:rPr>
            </w:pPr>
          </w:p>
        </w:tc>
        <w:tc>
          <w:tcPr>
            <w:tcW w:w="80" w:type="dxa"/>
            <w:vAlign w:val="bottom"/>
            <w:tcBorders>
              <w:top w:val="single" w:sz="8" w:color="auto"/>
              <w:bottom w:val="single" w:sz="8" w:color="F2F2F2"/>
            </w:tcBorders>
          </w:tcPr>
          <w:p>
            <w:pPr>
              <w:spacing w:after="0"/>
              <w:rPr>
                <w:sz w:val="20"/>
                <w:szCs w:val="20"/>
                <w:color w:val="auto"/>
              </w:rPr>
            </w:pPr>
          </w:p>
        </w:tc>
        <w:tc>
          <w:tcPr>
            <w:tcW w:w="4100" w:type="dxa"/>
            <w:vAlign w:val="bottom"/>
            <w:tcBorders>
              <w:bottom w:val="single" w:sz="8" w:color="F2F2F2"/>
              <w:right w:val="single" w:sz="8" w:color="F2F2F2"/>
            </w:tcBorders>
          </w:tcPr>
          <w:p>
            <w:pPr>
              <w:spacing w:after="0"/>
              <w:rPr>
                <w:sz w:val="20"/>
                <w:szCs w:val="20"/>
                <w:color w:val="auto"/>
              </w:rPr>
            </w:pPr>
          </w:p>
        </w:tc>
      </w:tr>
      <w:tr>
        <w:trPr>
          <w:trHeight w:val="848"/>
        </w:trPr>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80" w:type="dxa"/>
            <w:vAlign w:val="bottom"/>
            <w:gridSpan w:val="2"/>
          </w:tcPr>
          <w:p>
            <w:pPr>
              <w:jc w:val="right"/>
              <w:ind w:right="312"/>
              <w:spacing w:after="0"/>
              <w:rPr>
                <w:sz w:val="20"/>
                <w:szCs w:val="20"/>
                <w:color w:val="auto"/>
              </w:rPr>
            </w:pPr>
            <w:r>
              <w:rPr>
                <w:rFonts w:ascii="Arial" w:cs="Arial" w:eastAsia="Arial" w:hAnsi="Arial"/>
                <w:sz w:val="22"/>
                <w:szCs w:val="22"/>
                <w:color w:val="auto"/>
              </w:rPr>
              <w:t>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965"/>
        </w:trPr>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2" w:name="page53"/>
    <w:bookmarkEnd w:id="52"/>
    <w:p>
      <w:pPr>
        <w:ind w:left="10120"/>
        <w:spacing w:after="0"/>
        <w:rPr>
          <w:sz w:val="20"/>
          <w:szCs w:val="20"/>
          <w:color w:val="auto"/>
        </w:rPr>
      </w:pPr>
      <w:r>
        <w:rPr>
          <w:rFonts w:ascii="Arial" w:cs="Arial" w:eastAsia="Arial" w:hAnsi="Arial"/>
          <w:sz w:val="21"/>
          <w:szCs w:val="21"/>
          <w:color w:val="auto"/>
        </w:rPr>
        <w:t>Exhibit 10.8</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CERTAIN CONFIDENTIAL INFORMATION CONTAINED IN THIS DOCUMENT, MARKED BY “[***]”, HAS BEEN</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OMITTED BECAUSE IT IS BOTH (I) NOT MATERIAL AND (II) THE TYPE OF INFORMATION THAT THE REGISTRANT TREATS AS PRIVATE OR CONFIDENTIAL.</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CONFIDENTIAL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AMENDMENT NO. 1 TO THE MASTER SERVICES AGREEMENT</w:t>
      </w:r>
    </w:p>
    <w:p>
      <w:pPr>
        <w:spacing w:after="0" w:line="22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b w:val="1"/>
          <w:bCs w:val="1"/>
          <w:color w:val="auto"/>
        </w:rPr>
        <w:t xml:space="preserve">THIS AMENDMENT NO. 1 TO THE MASTER SERVICES AGREEMENT </w:t>
      </w:r>
      <w:r>
        <w:rPr>
          <w:rFonts w:ascii="Arial" w:cs="Arial" w:eastAsia="Arial" w:hAnsi="Arial"/>
          <w:sz w:val="22"/>
          <w:szCs w:val="22"/>
          <w:color w:val="auto"/>
        </w:rPr>
        <w:t>(this “</w:t>
      </w:r>
      <w:r>
        <w:rPr>
          <w:rFonts w:ascii="Arial" w:cs="Arial" w:eastAsia="Arial" w:hAnsi="Arial"/>
          <w:sz w:val="22"/>
          <w:szCs w:val="22"/>
          <w:b w:val="1"/>
          <w:bCs w:val="1"/>
          <w:color w:val="auto"/>
        </w:rPr>
        <w:t>Amendment No. 1</w:t>
      </w:r>
      <w:r>
        <w:rPr>
          <w:rFonts w:ascii="Arial" w:cs="Arial" w:eastAsia="Arial" w:hAnsi="Arial"/>
          <w:sz w:val="22"/>
          <w:szCs w:val="22"/>
          <w:color w:val="auto"/>
        </w:rPr>
        <w:t>”), effective as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March 4, 2026 (“the </w:t>
      </w:r>
      <w:r>
        <w:rPr>
          <w:rFonts w:ascii="Arial" w:cs="Arial" w:eastAsia="Arial" w:hAnsi="Arial"/>
          <w:sz w:val="22"/>
          <w:szCs w:val="22"/>
          <w:b w:val="1"/>
          <w:bCs w:val="1"/>
          <w:color w:val="auto"/>
        </w:rPr>
        <w:t>Amendment No. 1 Effective Date</w:t>
      </w:r>
      <w:r>
        <w:rPr>
          <w:rFonts w:ascii="Arial" w:cs="Arial" w:eastAsia="Arial" w:hAnsi="Arial"/>
          <w:sz w:val="22"/>
          <w:szCs w:val="22"/>
          <w:color w:val="auto"/>
        </w:rPr>
        <w:t xml:space="preserve">”), is entered and made by and between </w:t>
      </w:r>
      <w:r>
        <w:rPr>
          <w:rFonts w:ascii="Arial" w:cs="Arial" w:eastAsia="Arial" w:hAnsi="Arial"/>
          <w:sz w:val="22"/>
          <w:szCs w:val="22"/>
          <w:b w:val="1"/>
          <w:bCs w:val="1"/>
          <w:color w:val="auto"/>
        </w:rPr>
        <w:t>WuXi Biologics</w:t>
      </w:r>
      <w:r>
        <w:rPr>
          <w:rFonts w:ascii="Arial" w:cs="Arial" w:eastAsia="Arial" w:hAnsi="Arial"/>
          <w:sz w:val="22"/>
          <w:szCs w:val="22"/>
          <w:color w:val="auto"/>
        </w:rPr>
        <w:t xml:space="preserve"> </w:t>
      </w:r>
      <w:r>
        <w:rPr>
          <w:rFonts w:ascii="Arial" w:cs="Arial" w:eastAsia="Arial" w:hAnsi="Arial"/>
          <w:sz w:val="22"/>
          <w:szCs w:val="22"/>
          <w:b w:val="1"/>
          <w:bCs w:val="1"/>
          <w:color w:val="auto"/>
        </w:rPr>
        <w:t>(Hong Kong) Limited</w:t>
      </w:r>
      <w:r>
        <w:rPr>
          <w:rFonts w:ascii="Arial" w:cs="Arial" w:eastAsia="Arial" w:hAnsi="Arial"/>
          <w:sz w:val="22"/>
          <w:szCs w:val="22"/>
          <w:color w:val="auto"/>
        </w:rPr>
        <w:t>, having an address at Unit 417, 4</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Floor, Lippo Centre Tower Two, No. 89 Queensway,</w:t>
      </w:r>
      <w:r>
        <w:rPr>
          <w:rFonts w:ascii="Arial" w:cs="Arial" w:eastAsia="Arial" w:hAnsi="Arial"/>
          <w:sz w:val="22"/>
          <w:szCs w:val="22"/>
          <w:b w:val="1"/>
          <w:bCs w:val="1"/>
          <w:color w:val="auto"/>
        </w:rPr>
        <w:t xml:space="preserve"> </w:t>
      </w:r>
      <w:r>
        <w:rPr>
          <w:rFonts w:ascii="Arial" w:cs="Arial" w:eastAsia="Arial" w:hAnsi="Arial"/>
          <w:sz w:val="22"/>
          <w:szCs w:val="22"/>
          <w:color w:val="auto"/>
        </w:rPr>
        <w:t>Admiralty, Hong Kong (“</w:t>
      </w:r>
      <w:r>
        <w:rPr>
          <w:rFonts w:ascii="Arial" w:cs="Arial" w:eastAsia="Arial" w:hAnsi="Arial"/>
          <w:sz w:val="22"/>
          <w:szCs w:val="22"/>
          <w:b w:val="1"/>
          <w:bCs w:val="1"/>
          <w:color w:val="auto"/>
        </w:rPr>
        <w:t>Provider</w:t>
      </w:r>
      <w:r>
        <w:rPr>
          <w:rFonts w:ascii="Arial" w:cs="Arial" w:eastAsia="Arial" w:hAnsi="Arial"/>
          <w:sz w:val="22"/>
          <w:szCs w:val="22"/>
          <w:color w:val="auto"/>
        </w:rPr>
        <w:t xml:space="preserve">”), and </w:t>
      </w:r>
      <w:r>
        <w:rPr>
          <w:rFonts w:ascii="Arial" w:cs="Arial" w:eastAsia="Arial" w:hAnsi="Arial"/>
          <w:sz w:val="22"/>
          <w:szCs w:val="22"/>
          <w:b w:val="1"/>
          <w:bCs w:val="1"/>
          <w:color w:val="auto"/>
        </w:rPr>
        <w:t>Invivyd, Inc.</w:t>
      </w:r>
      <w:r>
        <w:rPr>
          <w:rFonts w:ascii="Arial" w:cs="Arial" w:eastAsia="Arial" w:hAnsi="Arial"/>
          <w:sz w:val="22"/>
          <w:szCs w:val="22"/>
          <w:color w:val="auto"/>
        </w:rPr>
        <w:t xml:space="preserve"> having its principal place of business at 209 Church Street, New Haven, CT 06510 (“</w:t>
      </w:r>
      <w:r>
        <w:rPr>
          <w:rFonts w:ascii="Arial" w:cs="Arial" w:eastAsia="Arial" w:hAnsi="Arial"/>
          <w:sz w:val="22"/>
          <w:szCs w:val="22"/>
          <w:b w:val="1"/>
          <w:bCs w:val="1"/>
          <w:color w:val="auto"/>
        </w:rPr>
        <w:t>Client</w:t>
      </w:r>
      <w:r>
        <w:rPr>
          <w:rFonts w:ascii="Arial" w:cs="Arial" w:eastAsia="Arial" w:hAnsi="Arial"/>
          <w:sz w:val="22"/>
          <w:szCs w:val="22"/>
          <w:color w:val="auto"/>
        </w:rPr>
        <w:t>”). Provider and Client may be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Client was formerly known as “Adagio Therapeutics, Inc.” with its principal place of business at 303</w:t>
      </w:r>
      <w:r>
        <w:rPr>
          <w:rFonts w:ascii="Arial" w:cs="Arial" w:eastAsia="Arial" w:hAnsi="Arial"/>
          <w:sz w:val="22"/>
          <w:szCs w:val="22"/>
          <w:b w:val="1"/>
          <w:bCs w:val="1"/>
          <w:color w:val="auto"/>
        </w:rPr>
        <w:t xml:space="preserve"> </w:t>
      </w:r>
      <w:r>
        <w:rPr>
          <w:rFonts w:ascii="Arial" w:cs="Arial" w:eastAsia="Arial" w:hAnsi="Arial"/>
          <w:sz w:val="22"/>
          <w:szCs w:val="22"/>
          <w:color w:val="auto"/>
        </w:rPr>
        <w:t>Wyman Street, Suite 300, Waltham, MA 02451; and</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Provider’s address was formerly at “Flat/RM826, 8/F Ocean Centre Harbour City, 5 Canton Road TST,</w:t>
      </w:r>
      <w:r>
        <w:rPr>
          <w:rFonts w:ascii="Arial" w:cs="Arial" w:eastAsia="Arial" w:hAnsi="Arial"/>
          <w:sz w:val="22"/>
          <w:szCs w:val="22"/>
          <w:b w:val="1"/>
          <w:bCs w:val="1"/>
          <w:color w:val="auto"/>
        </w:rPr>
        <w:t xml:space="preserve"> </w:t>
      </w:r>
      <w:r>
        <w:rPr>
          <w:rFonts w:ascii="Arial" w:cs="Arial" w:eastAsia="Arial" w:hAnsi="Arial"/>
          <w:sz w:val="22"/>
          <w:szCs w:val="22"/>
          <w:color w:val="auto"/>
        </w:rPr>
        <w:t>Hong Kong” and Client’s address was formerly at “1601 Trapelo Road, Suite 178, Waltham, MA 02451”; and</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Provider and Client (then still known as Adagio Therapeutics, Inc.) entered into that certain Master</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Agreement, dated as of July 21, 2020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now desire to amend the Agreement as set forth herein;</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agreements contained herein below, the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is acknowledged by both Parties, the Parties agree as follows:</w:t>
      </w:r>
    </w:p>
    <w:p>
      <w:pPr>
        <w:spacing w:after="0" w:line="154" w:lineRule="exact"/>
        <w:rPr>
          <w:sz w:val="20"/>
          <w:szCs w:val="20"/>
          <w:color w:val="auto"/>
        </w:rPr>
      </w:pPr>
    </w:p>
    <w:p>
      <w:pPr>
        <w:ind w:left="740" w:hanging="732"/>
        <w:spacing w:after="0"/>
        <w:tabs>
          <w:tab w:leader="none" w:pos="740" w:val="left"/>
        </w:tabs>
        <w:numPr>
          <w:ilvl w:val="0"/>
          <w:numId w:val="40"/>
        </w:numPr>
        <w:rPr>
          <w:rFonts w:ascii="Calibri" w:cs="Calibri" w:eastAsia="Calibri" w:hAnsi="Calibri"/>
          <w:sz w:val="22"/>
          <w:szCs w:val="22"/>
          <w:color w:val="auto"/>
        </w:rPr>
      </w:pPr>
      <w:r>
        <w:rPr>
          <w:rFonts w:ascii="Arial" w:cs="Arial" w:eastAsia="Arial" w:hAnsi="Arial"/>
          <w:sz w:val="22"/>
          <w:szCs w:val="22"/>
          <w:color w:val="auto"/>
        </w:rPr>
        <w:t>Section 2.1 of the Agreement is hereby deleted in its entirety and replaced with the following:</w:t>
      </w:r>
    </w:p>
    <w:p>
      <w:pPr>
        <w:spacing w:after="0" w:line="215" w:lineRule="exact"/>
        <w:rPr>
          <w:rFonts w:ascii="Calibri" w:cs="Calibri" w:eastAsia="Calibri" w:hAnsi="Calibri"/>
          <w:sz w:val="22"/>
          <w:szCs w:val="22"/>
          <w:color w:val="auto"/>
        </w:rPr>
      </w:pPr>
    </w:p>
    <w:p>
      <w:pPr>
        <w:jc w:val="both"/>
        <w:ind w:left="1040" w:hanging="265"/>
        <w:spacing w:after="0" w:line="234" w:lineRule="auto"/>
        <w:tabs>
          <w:tab w:leader="none" w:pos="1040" w:val="left"/>
        </w:tabs>
        <w:numPr>
          <w:ilvl w:val="1"/>
          <w:numId w:val="40"/>
        </w:numPr>
        <w:rPr>
          <w:rFonts w:ascii="Calibri" w:cs="Calibri" w:eastAsia="Calibri" w:hAnsi="Calibri"/>
          <w:sz w:val="22"/>
          <w:szCs w:val="22"/>
          <w:color w:val="auto"/>
        </w:rPr>
      </w:pPr>
      <w:r>
        <w:rPr>
          <w:rFonts w:ascii="Arial" w:cs="Arial" w:eastAsia="Arial" w:hAnsi="Arial"/>
          <w:sz w:val="22"/>
          <w:szCs w:val="22"/>
          <w:b w:val="1"/>
          <w:bCs w:val="1"/>
          <w:color w:val="auto"/>
        </w:rPr>
        <w:t>Work Orders</w:t>
      </w:r>
      <w:r>
        <w:rPr>
          <w:rFonts w:ascii="Arial" w:cs="Arial" w:eastAsia="Arial" w:hAnsi="Arial"/>
          <w:sz w:val="22"/>
          <w:szCs w:val="22"/>
          <w:color w:val="auto"/>
        </w:rPr>
        <w:t>. Provider shall provide the Services to Client pursuant to each Work Order that is entered</w:t>
      </w:r>
      <w:r>
        <w:rPr>
          <w:rFonts w:ascii="Arial" w:cs="Arial" w:eastAsia="Arial" w:hAnsi="Arial"/>
          <w:sz w:val="22"/>
          <w:szCs w:val="22"/>
          <w:b w:val="1"/>
          <w:bCs w:val="1"/>
          <w:color w:val="auto"/>
        </w:rPr>
        <w:t xml:space="preserve"> </w:t>
      </w:r>
      <w:r>
        <w:rPr>
          <w:rFonts w:ascii="Arial" w:cs="Arial" w:eastAsia="Arial" w:hAnsi="Arial"/>
          <w:sz w:val="22"/>
          <w:szCs w:val="22"/>
          <w:color w:val="auto"/>
        </w:rPr>
        <w:t>into during the term of this Agreement. The preferred form of Work Order is provided in Exhibit A. Each Work Order will automatically incorporate the terms of this Agreement. Work Order(s), when approved in writing by both Parties, shall be deemed an integral part hereof. Work Order(s) may be updated from time to time by mutual agreement. If there is a contradiction between a provision of this Agreement and a Work Order, then the provision in this Agreement will take precedence unless the Work Order specifically states that it takes precedence over the provision.</w:t>
      </w:r>
    </w:p>
    <w:p>
      <w:pPr>
        <w:spacing w:after="0" w:line="177" w:lineRule="exact"/>
        <w:rPr>
          <w:rFonts w:ascii="Calibri" w:cs="Calibri" w:eastAsia="Calibri" w:hAnsi="Calibri"/>
          <w:sz w:val="22"/>
          <w:szCs w:val="22"/>
          <w:color w:val="auto"/>
        </w:rPr>
      </w:pPr>
    </w:p>
    <w:p>
      <w:pPr>
        <w:ind w:left="740" w:hanging="732"/>
        <w:spacing w:after="0"/>
        <w:tabs>
          <w:tab w:leader="none" w:pos="740" w:val="left"/>
        </w:tabs>
        <w:numPr>
          <w:ilvl w:val="0"/>
          <w:numId w:val="40"/>
        </w:numPr>
        <w:rPr>
          <w:rFonts w:ascii="Calibri" w:cs="Calibri" w:eastAsia="Calibri" w:hAnsi="Calibri"/>
          <w:sz w:val="22"/>
          <w:szCs w:val="22"/>
          <w:color w:val="auto"/>
        </w:rPr>
      </w:pPr>
      <w:r>
        <w:rPr>
          <w:rFonts w:ascii="Arial" w:cs="Arial" w:eastAsia="Arial" w:hAnsi="Arial"/>
          <w:sz w:val="22"/>
          <w:szCs w:val="22"/>
          <w:color w:val="auto"/>
        </w:rPr>
        <w:t>Section 7.4 of the Agreement is hereby deleted in its entirety and replaced with the following:</w:t>
      </w:r>
    </w:p>
    <w:p>
      <w:pPr>
        <w:spacing w:after="0" w:line="215" w:lineRule="exact"/>
        <w:rPr>
          <w:sz w:val="20"/>
          <w:szCs w:val="20"/>
          <w:color w:val="auto"/>
        </w:rPr>
      </w:pPr>
    </w:p>
    <w:p>
      <w:pPr>
        <w:jc w:val="both"/>
        <w:ind w:left="1220" w:hanging="748"/>
        <w:spacing w:after="0" w:line="245" w:lineRule="auto"/>
        <w:tabs>
          <w:tab w:leader="none" w:pos="1200" w:val="left"/>
        </w:tabs>
        <w:rPr>
          <w:sz w:val="20"/>
          <w:szCs w:val="20"/>
          <w:color w:val="auto"/>
        </w:rPr>
      </w:pPr>
      <w:r>
        <w:rPr>
          <w:rFonts w:ascii="Calibri" w:cs="Calibri" w:eastAsia="Calibri" w:hAnsi="Calibri"/>
          <w:sz w:val="22"/>
          <w:szCs w:val="22"/>
          <w:color w:val="auto"/>
        </w:rPr>
        <w:t>7.4</w:t>
      </w:r>
      <w:r>
        <w:rPr>
          <w:sz w:val="20"/>
          <w:szCs w:val="20"/>
          <w:color w:val="auto"/>
        </w:rPr>
        <w:tab/>
      </w:r>
      <w:r>
        <w:rPr>
          <w:rFonts w:ascii="Arial" w:cs="Arial" w:eastAsia="Arial" w:hAnsi="Arial"/>
          <w:sz w:val="22"/>
          <w:szCs w:val="22"/>
          <w:b w:val="1"/>
          <w:bCs w:val="1"/>
          <w:color w:val="auto"/>
        </w:rPr>
        <w:t xml:space="preserve">Technology Transfer. </w:t>
      </w:r>
      <w:r>
        <w:rPr>
          <w:rFonts w:ascii="Arial" w:cs="Arial" w:eastAsia="Arial" w:hAnsi="Arial"/>
          <w:sz w:val="22"/>
          <w:szCs w:val="22"/>
          <w:color w:val="auto"/>
        </w:rPr>
        <w:t>During the Term of this Agreement and for a period of [***] following expiration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this Agreement, Client may request transfer of a Product to an alternative or second-source developer or manufacturer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3" w:name="page54"/>
    <w:bookmarkEnd w:id="53"/>
    <w:p>
      <w:pPr>
        <w:ind w:left="9660"/>
        <w:spacing w:after="0"/>
        <w:rPr>
          <w:sz w:val="20"/>
          <w:szCs w:val="20"/>
          <w:color w:val="auto"/>
        </w:rPr>
      </w:pPr>
      <w:r>
        <w:rPr>
          <w:rFonts w:ascii="Arial" w:cs="Arial" w:eastAsia="Arial" w:hAnsi="Arial"/>
          <w:sz w:val="21"/>
          <w:szCs w:val="21"/>
          <w:color w:val="auto"/>
        </w:rPr>
        <w:t>CONFIDENTIAL</w:t>
      </w:r>
    </w:p>
    <w:p>
      <w:pPr>
        <w:spacing w:after="0" w:line="200" w:lineRule="exact"/>
        <w:rPr>
          <w:sz w:val="20"/>
          <w:szCs w:val="20"/>
          <w:color w:val="auto"/>
        </w:rPr>
      </w:pPr>
    </w:p>
    <w:p>
      <w:pPr>
        <w:spacing w:after="0" w:line="396" w:lineRule="exact"/>
        <w:rPr>
          <w:sz w:val="20"/>
          <w:szCs w:val="20"/>
          <w:color w:val="auto"/>
        </w:rPr>
      </w:pPr>
    </w:p>
    <w:p>
      <w:pPr>
        <w:jc w:val="both"/>
        <w:ind w:left="1220"/>
        <w:spacing w:after="0" w:line="244" w:lineRule="auto"/>
        <w:rPr>
          <w:sz w:val="20"/>
          <w:szCs w:val="20"/>
          <w:color w:val="auto"/>
        </w:rPr>
      </w:pPr>
      <w:r>
        <w:rPr>
          <w:rFonts w:ascii="Arial" w:cs="Arial" w:eastAsia="Arial" w:hAnsi="Arial"/>
          <w:sz w:val="21"/>
          <w:szCs w:val="21"/>
          <w:color w:val="auto"/>
        </w:rPr>
        <w:t>testing laboratory. Subject to Client and Provider agreeing to commercially reasonable terms that have been negotiated in good faith on the scope and duration of the technology transfer and at Provider’s then current charge-out rates for similar activities, such agreement to be set out in a separate Work Order and at Client’s expense, Provider shall provide its full support and cooperation, including but not limited to training, consulting, and troubleshooting of the Technology Transfer (as defined below) reasonably necessary for properly skilled personnel of Client, Client’s Affiliate, or a third party manufacturer to develop, manufacture, test, and release Product. The “Technology Transfer” shall include any information specific to the relevant Client Product and reasonably necessary for the manufacturing of the Product, including, but not limited to, as applicable, all relevant and Product-specific protocols, batch records, test methods, data, results, interpretation of results, and Specifications, and will include the cell line and cell banks, subject to a license and executed License Agreement. Client shall be liable for the costs of such Technology Transfer. Additionally, in connection with Technology Transfer pursuant to this Section 7.4, Provider shall, upon receiving corresponding payment, grant to Client and its Affiliates and designees a perpetual, fully-paid, non-exclusive license to all Necessary IP and Optional IP that has been embedded by Provider without Client’s consent pursuant to the terms of Section 7.2(c) solely to the extent necessary for the development, manufacture, and testing of each Product.</w:t>
      </w:r>
    </w:p>
    <w:p>
      <w:pPr>
        <w:spacing w:after="0" w:line="176" w:lineRule="exact"/>
        <w:rPr>
          <w:sz w:val="20"/>
          <w:szCs w:val="20"/>
          <w:color w:val="auto"/>
        </w:rPr>
      </w:pPr>
    </w:p>
    <w:p>
      <w:pPr>
        <w:ind w:left="740" w:hanging="732"/>
        <w:spacing w:after="0"/>
        <w:tabs>
          <w:tab w:leader="none" w:pos="740" w:val="left"/>
        </w:tabs>
        <w:numPr>
          <w:ilvl w:val="0"/>
          <w:numId w:val="41"/>
        </w:numPr>
        <w:rPr>
          <w:rFonts w:ascii="Calibri" w:cs="Calibri" w:eastAsia="Calibri" w:hAnsi="Calibri"/>
          <w:sz w:val="22"/>
          <w:szCs w:val="22"/>
          <w:color w:val="auto"/>
        </w:rPr>
      </w:pPr>
      <w:r>
        <w:rPr>
          <w:rFonts w:ascii="Arial" w:cs="Arial" w:eastAsia="Arial" w:hAnsi="Arial"/>
          <w:sz w:val="22"/>
          <w:szCs w:val="22"/>
          <w:color w:val="auto"/>
        </w:rPr>
        <w:t>Section 11.1 of the Agreement is hereby deleted in its entirety and replaced with the following:</w:t>
      </w:r>
    </w:p>
    <w:p>
      <w:pPr>
        <w:spacing w:after="0" w:line="205" w:lineRule="exact"/>
        <w:rPr>
          <w:sz w:val="20"/>
          <w:szCs w:val="20"/>
          <w:color w:val="auto"/>
        </w:rPr>
      </w:pPr>
    </w:p>
    <w:p>
      <w:pPr>
        <w:ind w:left="500"/>
        <w:spacing w:after="0"/>
        <w:tabs>
          <w:tab w:leader="none" w:pos="1200" w:val="left"/>
        </w:tabs>
        <w:rPr>
          <w:sz w:val="20"/>
          <w:szCs w:val="20"/>
          <w:color w:val="auto"/>
        </w:rPr>
      </w:pPr>
      <w:r>
        <w:rPr>
          <w:rFonts w:ascii="Calibri" w:cs="Calibri" w:eastAsia="Calibri" w:hAnsi="Calibri"/>
          <w:sz w:val="22"/>
          <w:szCs w:val="22"/>
          <w:color w:val="auto"/>
        </w:rPr>
        <w:t>11.1</w:t>
      </w:r>
      <w:r>
        <w:rPr>
          <w:sz w:val="20"/>
          <w:szCs w:val="20"/>
          <w:color w:val="auto"/>
        </w:rPr>
        <w:tab/>
      </w:r>
      <w:r>
        <w:rPr>
          <w:rFonts w:ascii="Arial" w:cs="Arial" w:eastAsia="Arial" w:hAnsi="Arial"/>
          <w:sz w:val="21"/>
          <w:szCs w:val="21"/>
          <w:b w:val="1"/>
          <w:bCs w:val="1"/>
          <w:color w:val="auto"/>
        </w:rPr>
        <w:t>Term.</w:t>
      </w:r>
    </w:p>
    <w:p>
      <w:pPr>
        <w:spacing w:after="0" w:line="230" w:lineRule="exact"/>
        <w:rPr>
          <w:sz w:val="20"/>
          <w:szCs w:val="20"/>
          <w:color w:val="auto"/>
        </w:rPr>
      </w:pPr>
    </w:p>
    <w:p>
      <w:pPr>
        <w:jc w:val="both"/>
        <w:ind w:left="1700" w:hanging="267"/>
        <w:spacing w:after="0" w:line="239" w:lineRule="auto"/>
        <w:tabs>
          <w:tab w:leader="none" w:pos="1700" w:val="left"/>
        </w:tabs>
        <w:numPr>
          <w:ilvl w:val="1"/>
          <w:numId w:val="42"/>
        </w:numPr>
        <w:rPr>
          <w:rFonts w:ascii="Calibri" w:cs="Calibri" w:eastAsia="Calibri" w:hAnsi="Calibri"/>
          <w:sz w:val="22"/>
          <w:szCs w:val="22"/>
          <w:color w:val="auto"/>
        </w:rPr>
      </w:pPr>
      <w:r>
        <w:rPr>
          <w:rFonts w:ascii="Arial" w:cs="Arial" w:eastAsia="Arial" w:hAnsi="Arial"/>
          <w:sz w:val="22"/>
          <w:szCs w:val="22"/>
          <w:color w:val="auto"/>
        </w:rPr>
        <w:t>The term of this Agreement commences on the Effective Date and, unless terminated earlier in accordance with this Agreement, expires March 1, 2036 (the “</w:t>
      </w:r>
      <w:r>
        <w:rPr>
          <w:rFonts w:ascii="Arial" w:cs="Arial" w:eastAsia="Arial" w:hAnsi="Arial"/>
          <w:sz w:val="22"/>
          <w:szCs w:val="22"/>
          <w:b w:val="1"/>
          <w:bCs w:val="1"/>
          <w:color w:val="auto"/>
        </w:rPr>
        <w:t>Initial Term</w:t>
      </w:r>
      <w:r>
        <w:rPr>
          <w:rFonts w:ascii="Arial" w:cs="Arial" w:eastAsia="Arial" w:hAnsi="Arial"/>
          <w:sz w:val="22"/>
          <w:szCs w:val="22"/>
          <w:color w:val="auto"/>
        </w:rPr>
        <w:t>”), and thereafter may be renewed for further periods to be agreed to by the Parties in a written amendment (the “</w:t>
      </w:r>
      <w:r>
        <w:rPr>
          <w:rFonts w:ascii="Arial" w:cs="Arial" w:eastAsia="Arial" w:hAnsi="Arial"/>
          <w:sz w:val="22"/>
          <w:szCs w:val="22"/>
          <w:b w:val="1"/>
          <w:bCs w:val="1"/>
          <w:color w:val="auto"/>
        </w:rPr>
        <w:t>Renewal</w:t>
      </w:r>
      <w:r>
        <w:rPr>
          <w:rFonts w:ascii="Arial" w:cs="Arial" w:eastAsia="Arial" w:hAnsi="Arial"/>
          <w:sz w:val="22"/>
          <w:szCs w:val="22"/>
          <w:color w:val="auto"/>
        </w:rPr>
        <w:t xml:space="preserve"> </w:t>
      </w:r>
      <w:r>
        <w:rPr>
          <w:rFonts w:ascii="Arial" w:cs="Arial" w:eastAsia="Arial" w:hAnsi="Arial"/>
          <w:sz w:val="22"/>
          <w:szCs w:val="22"/>
          <w:b w:val="1"/>
          <w:bCs w:val="1"/>
          <w:color w:val="auto"/>
        </w:rPr>
        <w:t>Term(s)</w:t>
      </w:r>
      <w:r>
        <w:rPr>
          <w:rFonts w:ascii="Arial" w:cs="Arial" w:eastAsia="Arial" w:hAnsi="Arial"/>
          <w:sz w:val="22"/>
          <w:szCs w:val="22"/>
          <w:color w:val="auto"/>
        </w:rPr>
        <w:t>” and together with the Initial Term,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64" w:lineRule="exact"/>
        <w:rPr>
          <w:rFonts w:ascii="Calibri" w:cs="Calibri" w:eastAsia="Calibri" w:hAnsi="Calibri"/>
          <w:sz w:val="22"/>
          <w:szCs w:val="22"/>
          <w:color w:val="auto"/>
        </w:rPr>
      </w:pPr>
    </w:p>
    <w:p>
      <w:pPr>
        <w:jc w:val="both"/>
        <w:ind w:left="1700" w:hanging="272"/>
        <w:spacing w:after="0" w:line="238" w:lineRule="auto"/>
        <w:tabs>
          <w:tab w:leader="none" w:pos="1700" w:val="left"/>
        </w:tabs>
        <w:numPr>
          <w:ilvl w:val="1"/>
          <w:numId w:val="42"/>
        </w:numPr>
        <w:rPr>
          <w:rFonts w:ascii="Calibri" w:cs="Calibri" w:eastAsia="Calibri" w:hAnsi="Calibri"/>
          <w:sz w:val="22"/>
          <w:szCs w:val="22"/>
          <w:color w:val="auto"/>
        </w:rPr>
      </w:pPr>
      <w:r>
        <w:rPr>
          <w:rFonts w:ascii="Arial" w:cs="Arial" w:eastAsia="Arial" w:hAnsi="Arial"/>
          <w:sz w:val="22"/>
          <w:szCs w:val="22"/>
          <w:color w:val="auto"/>
        </w:rPr>
        <w:t>Unless terminated earlier in accordance with this Agreement, the term of each Work Order commences on the date indicated in the Work Order and will terminate upon completion of the Services under such Work Order.</w:t>
      </w:r>
    </w:p>
    <w:p>
      <w:pPr>
        <w:spacing w:after="0" w:line="176" w:lineRule="exact"/>
        <w:rPr>
          <w:rFonts w:ascii="Calibri" w:cs="Calibri" w:eastAsia="Calibri" w:hAnsi="Calibri"/>
          <w:sz w:val="22"/>
          <w:szCs w:val="22"/>
          <w:color w:val="auto"/>
        </w:rPr>
      </w:pPr>
    </w:p>
    <w:p>
      <w:pPr>
        <w:ind w:left="740" w:hanging="732"/>
        <w:spacing w:after="0"/>
        <w:tabs>
          <w:tab w:leader="none" w:pos="740" w:val="left"/>
        </w:tabs>
        <w:numPr>
          <w:ilvl w:val="0"/>
          <w:numId w:val="43"/>
        </w:numPr>
        <w:rPr>
          <w:rFonts w:ascii="Calibri" w:cs="Calibri" w:eastAsia="Calibri" w:hAnsi="Calibri"/>
          <w:sz w:val="22"/>
          <w:szCs w:val="22"/>
          <w:color w:val="auto"/>
        </w:rPr>
      </w:pPr>
      <w:r>
        <w:rPr>
          <w:rFonts w:ascii="Arial" w:cs="Arial" w:eastAsia="Arial" w:hAnsi="Arial"/>
          <w:sz w:val="22"/>
          <w:szCs w:val="22"/>
          <w:color w:val="auto"/>
        </w:rPr>
        <w:t>A new Section 11.6 is hereby inserted immediately following Section 11.5 as follows:</w:t>
      </w:r>
    </w:p>
    <w:p>
      <w:pPr>
        <w:spacing w:after="0" w:line="215" w:lineRule="exact"/>
        <w:rPr>
          <w:sz w:val="20"/>
          <w:szCs w:val="20"/>
          <w:color w:val="auto"/>
        </w:rPr>
      </w:pPr>
    </w:p>
    <w:p>
      <w:pPr>
        <w:jc w:val="both"/>
        <w:ind w:left="1220" w:hanging="748"/>
        <w:spacing w:after="0" w:line="235"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b w:val="1"/>
          <w:bCs w:val="1"/>
          <w:color w:val="auto"/>
        </w:rPr>
        <w:t>Termination Due to Legal Reasons.</w:t>
      </w:r>
      <w:r>
        <w:rPr>
          <w:rFonts w:ascii="Arial" w:cs="Arial" w:eastAsia="Arial" w:hAnsi="Arial"/>
          <w:sz w:val="22"/>
          <w:szCs w:val="22"/>
          <w:color w:val="auto"/>
        </w:rPr>
        <w:t xml:space="preserve"> If any applicable law (including any Applicable Law) rule, regulation, guideline, or order in effect and as amended from time-to-time, or any newly enacted and in effect applicable law, rule, regulation, guideline, or order, materially prevents Client from being able to enter into or maintain a contract with a United States governmental entity, or from receiving grant funds from such a US governmental entity, or materially affects Client’s ability to obtain government insurance coverage, including but not limited to [***], of any Product, in each case, as a result of Provider providing the Services to Client under this Agreement or any Work Order or as a result of Client being a party to this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4" w:lineRule="exact"/>
        <w:rPr>
          <w:sz w:val="20"/>
          <w:szCs w:val="20"/>
          <w:color w:val="auto"/>
        </w:rPr>
      </w:pPr>
    </w:p>
    <w:p>
      <w:pPr>
        <w:jc w:val="both"/>
        <w:ind w:left="1220"/>
        <w:spacing w:after="0" w:line="232" w:lineRule="auto"/>
        <w:rPr>
          <w:sz w:val="20"/>
          <w:szCs w:val="20"/>
          <w:color w:val="auto"/>
        </w:rPr>
      </w:pPr>
      <w:r>
        <w:rPr>
          <w:rFonts w:ascii="Arial" w:cs="Arial" w:eastAsia="Arial" w:hAnsi="Arial"/>
          <w:sz w:val="22"/>
          <w:szCs w:val="22"/>
          <w:color w:val="auto"/>
        </w:rPr>
        <w:t>Agreement (any such law, rule, regulation, guideline, or order, new or existing, or any change to any of the foregoing, an “</w:t>
      </w:r>
      <w:r>
        <w:rPr>
          <w:rFonts w:ascii="Arial" w:cs="Arial" w:eastAsia="Arial" w:hAnsi="Arial"/>
          <w:sz w:val="22"/>
          <w:szCs w:val="22"/>
          <w:b w:val="1"/>
          <w:bCs w:val="1"/>
          <w:color w:val="auto"/>
        </w:rPr>
        <w:t>Interfering Law</w:t>
      </w:r>
      <w:r>
        <w:rPr>
          <w:rFonts w:ascii="Arial" w:cs="Arial" w:eastAsia="Arial" w:hAnsi="Arial"/>
          <w:sz w:val="22"/>
          <w:szCs w:val="22"/>
          <w:color w:val="auto"/>
        </w:rPr>
        <w:t>”), Client may terminate this Agreement and/or any Work Orders, solely to the extent this Agreement or such Work Orders specifically relate to Product intended for sale or use in the US market, upon written notice to Provider, effective immediately, with such written notice to describe: (i) the Interfering Law; (ii) the expected adverse effect such Interfering Law could reasonably be expected to have on this Agreement and/or Work Order; and (iii) why Client must terminate this Agreement and/or Work Order to avoid or mitigate such adverse effect. Neither Party will have any liability to the other whatsoever for such termination under this Section 11.6, and, for clarity, Client shall have no further liability with respect to the cancellation of any outstanding Work Orders or purchase orders, and no termination or cancellation fees shall apply. However, Client shall remain responsible for payment for all Services rendered and non-recoverable costs incurred prior to termination pursuant to this Section to the extent Provider, using commercially reasonable efforts, cannot fill Client’s slot(s) with a third party’s reasonable comparable production (including scale, process, duration) and/or return, re-sell or reallocate raw materials, as applicable, to mitigate costs and to the extent such raw materials or work in progress are not included in a Technology Transfer. Upon such termination, at Client’s option and expense, Provider shall use commercially reasonable efforts to conduct a full Technology Transfer to Client or any of its Affiliates or any third-party designee, of all materials and information per the terms of Section 7.4.</w:t>
      </w:r>
    </w:p>
    <w:p>
      <w:pPr>
        <w:spacing w:after="0" w:line="188" w:lineRule="exact"/>
        <w:rPr>
          <w:sz w:val="20"/>
          <w:szCs w:val="20"/>
          <w:color w:val="auto"/>
        </w:rPr>
      </w:pPr>
    </w:p>
    <w:p>
      <w:pPr>
        <w:ind w:left="740" w:hanging="732"/>
        <w:spacing w:after="0"/>
        <w:tabs>
          <w:tab w:leader="none" w:pos="740" w:val="left"/>
        </w:tabs>
        <w:numPr>
          <w:ilvl w:val="0"/>
          <w:numId w:val="44"/>
        </w:numPr>
        <w:rPr>
          <w:rFonts w:ascii="Calibri" w:cs="Calibri" w:eastAsia="Calibri" w:hAnsi="Calibri"/>
          <w:sz w:val="22"/>
          <w:szCs w:val="22"/>
          <w:color w:val="auto"/>
        </w:rPr>
      </w:pPr>
      <w:r>
        <w:rPr>
          <w:rFonts w:ascii="Arial" w:cs="Arial" w:eastAsia="Arial" w:hAnsi="Arial"/>
          <w:sz w:val="22"/>
          <w:szCs w:val="22"/>
          <w:color w:val="auto"/>
        </w:rPr>
        <w:t>Section 14.3 of the Agreement is hereby deleted in its entirety and replaced with the following:</w:t>
      </w:r>
    </w:p>
    <w:p>
      <w:pPr>
        <w:spacing w:after="0" w:line="215" w:lineRule="exact"/>
        <w:rPr>
          <w:sz w:val="20"/>
          <w:szCs w:val="20"/>
          <w:color w:val="auto"/>
        </w:rPr>
      </w:pPr>
    </w:p>
    <w:p>
      <w:pPr>
        <w:jc w:val="both"/>
        <w:ind w:left="1220" w:hanging="748"/>
        <w:spacing w:after="0" w:line="245"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b w:val="1"/>
          <w:bCs w:val="1"/>
          <w:color w:val="auto"/>
        </w:rPr>
        <w:t>Notices.</w:t>
      </w:r>
      <w:r>
        <w:rPr>
          <w:rFonts w:ascii="Arial" w:cs="Arial" w:eastAsia="Arial" w:hAnsi="Arial"/>
          <w:sz w:val="22"/>
          <w:szCs w:val="22"/>
          <w:color w:val="auto"/>
        </w:rPr>
        <w:t xml:space="preserve"> All notices, requests, demands and other communications required under this Agreement must be in writing and will be deemed to have been given or made and sufficient in all respects when delivered by reputable international courier to the following addresses: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To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-152400</wp:posOffset>
            </wp:positionV>
            <wp:extent cx="6202045" cy="11080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6202045" cy="110807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To Provider:</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740" w:hanging="732"/>
        <w:spacing w:after="0" w:line="238" w:lineRule="auto"/>
        <w:tabs>
          <w:tab w:leader="none" w:pos="740" w:val="left"/>
        </w:tabs>
        <w:numPr>
          <w:ilvl w:val="0"/>
          <w:numId w:val="45"/>
        </w:numPr>
        <w:rPr>
          <w:rFonts w:ascii="Calibri" w:cs="Calibri" w:eastAsia="Calibri" w:hAnsi="Calibri"/>
          <w:sz w:val="22"/>
          <w:szCs w:val="22"/>
          <w:color w:val="auto"/>
        </w:rPr>
      </w:pPr>
      <w:r>
        <w:rPr>
          <w:rFonts w:ascii="Arial" w:cs="Arial" w:eastAsia="Arial" w:hAnsi="Arial"/>
          <w:sz w:val="22"/>
          <w:szCs w:val="22"/>
          <w:color w:val="auto"/>
        </w:rPr>
        <w:t>Except as expressly amended by this Amendment No. 1, the Agreement is and shall remain unchanged and in full force and effect in accordance with its terms and the Parties hereto hereby ratify and reaffirm the Agreement as amended hereby.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4" w:lineRule="exact"/>
        <w:rPr>
          <w:sz w:val="20"/>
          <w:szCs w:val="20"/>
          <w:color w:val="auto"/>
        </w:rPr>
      </w:pPr>
    </w:p>
    <w:p>
      <w:pPr>
        <w:jc w:val="both"/>
        <w:ind w:left="740" w:hanging="732"/>
        <w:spacing w:after="0" w:line="236" w:lineRule="auto"/>
        <w:tabs>
          <w:tab w:leader="none" w:pos="740" w:val="left"/>
        </w:tabs>
        <w:numPr>
          <w:ilvl w:val="0"/>
          <w:numId w:val="46"/>
        </w:numPr>
        <w:rPr>
          <w:rFonts w:ascii="Calibri" w:cs="Calibri" w:eastAsia="Calibri" w:hAnsi="Calibri"/>
          <w:sz w:val="22"/>
          <w:szCs w:val="22"/>
          <w:color w:val="auto"/>
        </w:rPr>
      </w:pPr>
      <w:r>
        <w:rPr>
          <w:rFonts w:ascii="Arial" w:cs="Arial" w:eastAsia="Arial" w:hAnsi="Arial"/>
          <w:sz w:val="22"/>
          <w:szCs w:val="22"/>
          <w:color w:val="auto"/>
        </w:rPr>
        <w:t>The laws of the State of New York, USA, without giving effect to principles of conflict of laws, govern all matters relating to this Amendment No. 3 and the enforcement and interpretation thereof. Any dispute arising out of or in connection with this Amendment No. 1 shall be resolved in accordance with Section 14.7 of the Agreement.</w:t>
      </w:r>
    </w:p>
    <w:p>
      <w:pPr>
        <w:spacing w:after="0" w:line="177" w:lineRule="exact"/>
        <w:rPr>
          <w:rFonts w:ascii="Calibri" w:cs="Calibri" w:eastAsia="Calibri" w:hAnsi="Calibri"/>
          <w:sz w:val="22"/>
          <w:szCs w:val="22"/>
          <w:color w:val="auto"/>
        </w:rPr>
      </w:pPr>
    </w:p>
    <w:p>
      <w:pPr>
        <w:jc w:val="both"/>
        <w:ind w:left="740" w:hanging="732"/>
        <w:spacing w:after="0" w:line="236" w:lineRule="auto"/>
        <w:tabs>
          <w:tab w:leader="none" w:pos="740" w:val="left"/>
        </w:tabs>
        <w:numPr>
          <w:ilvl w:val="0"/>
          <w:numId w:val="46"/>
        </w:numPr>
        <w:rPr>
          <w:rFonts w:ascii="Calibri" w:cs="Calibri" w:eastAsia="Calibri" w:hAnsi="Calibri"/>
          <w:sz w:val="22"/>
          <w:szCs w:val="22"/>
          <w:color w:val="auto"/>
        </w:rPr>
      </w:pPr>
      <w:r>
        <w:rPr>
          <w:rFonts w:ascii="Arial" w:cs="Arial" w:eastAsia="Arial" w:hAnsi="Arial"/>
          <w:sz w:val="22"/>
          <w:szCs w:val="22"/>
          <w:color w:val="auto"/>
        </w:rPr>
        <w:t>This Amendment No. 1 may be executed in two or more counterparts, each of which shall be deemed an original, but all of which together shall constitute one and the same instrument. Each Party may rely on the delivery of executed electronic copies of counterpart execution pages of this Amendment No. 1 and such electronic copies shall be legally effective to create a valid and binding agreement among the Parties.</w:t>
      </w:r>
    </w:p>
    <w:p>
      <w:pPr>
        <w:spacing w:after="0" w:line="177" w:lineRule="exact"/>
        <w:rPr>
          <w:rFonts w:ascii="Calibri" w:cs="Calibri" w:eastAsia="Calibri" w:hAnsi="Calibri"/>
          <w:sz w:val="22"/>
          <w:szCs w:val="22"/>
          <w:color w:val="auto"/>
        </w:rPr>
      </w:pPr>
    </w:p>
    <w:p>
      <w:pPr>
        <w:ind w:left="740" w:hanging="732"/>
        <w:spacing w:after="0" w:line="244" w:lineRule="auto"/>
        <w:tabs>
          <w:tab w:leader="none" w:pos="740" w:val="left"/>
        </w:tabs>
        <w:numPr>
          <w:ilvl w:val="0"/>
          <w:numId w:val="46"/>
        </w:numPr>
        <w:rPr>
          <w:rFonts w:ascii="Calibri" w:cs="Calibri" w:eastAsia="Calibri" w:hAnsi="Calibri"/>
          <w:sz w:val="22"/>
          <w:szCs w:val="22"/>
          <w:color w:val="auto"/>
        </w:rPr>
      </w:pPr>
      <w:r>
        <w:rPr>
          <w:rFonts w:ascii="Arial" w:cs="Arial" w:eastAsia="Arial" w:hAnsi="Arial"/>
          <w:sz w:val="22"/>
          <w:szCs w:val="22"/>
          <w:color w:val="auto"/>
        </w:rPr>
        <w:t>Any capitalized term used in this Amendment No. 1 and not otherwise defined herein shall have the meaning given to that term in the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2"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Amendment No. 1 to be duly executed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No. 1 Effective Date set forth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720" w:type="dxa"/>
            <w:vAlign w:val="bottom"/>
            <w:gridSpan w:val="7"/>
          </w:tcPr>
          <w:p>
            <w:pPr>
              <w:ind w:left="100"/>
              <w:spacing w:after="0"/>
              <w:rPr>
                <w:sz w:val="20"/>
                <w:szCs w:val="20"/>
                <w:color w:val="auto"/>
              </w:rPr>
            </w:pPr>
            <w:r>
              <w:rPr>
                <w:rFonts w:ascii="Arial" w:cs="Arial" w:eastAsia="Arial" w:hAnsi="Arial"/>
                <w:sz w:val="22"/>
                <w:szCs w:val="22"/>
                <w:b w:val="1"/>
                <w:bCs w:val="1"/>
                <w:color w:val="auto"/>
              </w:rPr>
              <w:t>WuXi Biologics (Hong Kong) Limited</w:t>
            </w:r>
          </w:p>
        </w:tc>
        <w:tc>
          <w:tcPr>
            <w:tcW w:w="900" w:type="dxa"/>
            <w:vAlign w:val="bottom"/>
          </w:tcPr>
          <w:p>
            <w:pPr>
              <w:spacing w:after="0"/>
              <w:rPr>
                <w:sz w:val="24"/>
                <w:szCs w:val="24"/>
                <w:color w:val="auto"/>
              </w:rPr>
            </w:pPr>
          </w:p>
        </w:tc>
        <w:tc>
          <w:tcPr>
            <w:tcW w:w="5620" w:type="dxa"/>
            <w:vAlign w:val="bottom"/>
            <w:gridSpan w:val="7"/>
          </w:tcPr>
          <w:p>
            <w:pPr>
              <w:ind w:left="100"/>
              <w:spacing w:after="0"/>
              <w:rPr>
                <w:sz w:val="20"/>
                <w:szCs w:val="20"/>
                <w:color w:val="auto"/>
              </w:rPr>
            </w:pPr>
            <w:r>
              <w:rPr>
                <w:rFonts w:ascii="Arial" w:cs="Arial" w:eastAsia="Arial" w:hAnsi="Arial"/>
                <w:sz w:val="22"/>
                <w:szCs w:val="22"/>
                <w:b w:val="1"/>
                <w:bCs w:val="1"/>
                <w:color w:val="auto"/>
              </w:rPr>
              <w:t>Invivyd, Inc.</w:t>
            </w:r>
          </w:p>
        </w:tc>
      </w:tr>
      <w:tr>
        <w:trPr>
          <w:trHeight w:val="187"/>
        </w:trPr>
        <w:tc>
          <w:tcPr>
            <w:tcW w:w="560" w:type="dxa"/>
            <w:vAlign w:val="bottom"/>
            <w:tcBorders>
              <w:bottom w:val="single" w:sz="8" w:color="F2F2F2"/>
            </w:tcBorders>
          </w:tcPr>
          <w:p>
            <w:pPr>
              <w:spacing w:after="0"/>
              <w:rPr>
                <w:sz w:val="16"/>
                <w:szCs w:val="16"/>
                <w:color w:val="auto"/>
              </w:rPr>
            </w:pPr>
          </w:p>
        </w:tc>
        <w:tc>
          <w:tcPr>
            <w:tcW w:w="140" w:type="dxa"/>
            <w:vAlign w:val="bottom"/>
            <w:tcBorders>
              <w:bottom w:val="single" w:sz="8" w:color="F2F2F2"/>
            </w:tcBorders>
          </w:tcPr>
          <w:p>
            <w:pPr>
              <w:spacing w:after="0"/>
              <w:rPr>
                <w:sz w:val="16"/>
                <w:szCs w:val="16"/>
                <w:color w:val="auto"/>
              </w:rPr>
            </w:pPr>
          </w:p>
        </w:tc>
        <w:tc>
          <w:tcPr>
            <w:tcW w:w="160" w:type="dxa"/>
            <w:vAlign w:val="bottom"/>
            <w:tcBorders>
              <w:bottom w:val="single" w:sz="8" w:color="F2F2F2"/>
            </w:tcBorders>
          </w:tcPr>
          <w:p>
            <w:pPr>
              <w:spacing w:after="0"/>
              <w:rPr>
                <w:sz w:val="16"/>
                <w:szCs w:val="16"/>
                <w:color w:val="auto"/>
              </w:rPr>
            </w:pPr>
          </w:p>
        </w:tc>
        <w:tc>
          <w:tcPr>
            <w:tcW w:w="220" w:type="dxa"/>
            <w:vAlign w:val="bottom"/>
            <w:tcBorders>
              <w:bottom w:val="single" w:sz="8" w:color="F2F2F2"/>
            </w:tcBorders>
          </w:tcPr>
          <w:p>
            <w:pPr>
              <w:spacing w:after="0"/>
              <w:rPr>
                <w:sz w:val="16"/>
                <w:szCs w:val="16"/>
                <w:color w:val="auto"/>
              </w:rPr>
            </w:pPr>
          </w:p>
        </w:tc>
        <w:tc>
          <w:tcPr>
            <w:tcW w:w="380" w:type="dxa"/>
            <w:vAlign w:val="bottom"/>
            <w:tcBorders>
              <w:bottom w:val="single" w:sz="8" w:color="F2F2F2"/>
            </w:tcBorders>
          </w:tcPr>
          <w:p>
            <w:pPr>
              <w:spacing w:after="0"/>
              <w:rPr>
                <w:sz w:val="16"/>
                <w:szCs w:val="16"/>
                <w:color w:val="auto"/>
              </w:rPr>
            </w:pPr>
          </w:p>
        </w:tc>
        <w:tc>
          <w:tcPr>
            <w:tcW w:w="620" w:type="dxa"/>
            <w:vAlign w:val="bottom"/>
            <w:tcBorders>
              <w:bottom w:val="single" w:sz="8" w:color="F2F2F2"/>
            </w:tcBorders>
          </w:tcPr>
          <w:p>
            <w:pPr>
              <w:spacing w:after="0"/>
              <w:rPr>
                <w:sz w:val="16"/>
                <w:szCs w:val="16"/>
                <w:color w:val="auto"/>
              </w:rPr>
            </w:pPr>
          </w:p>
        </w:tc>
        <w:tc>
          <w:tcPr>
            <w:tcW w:w="2640" w:type="dxa"/>
            <w:vAlign w:val="bottom"/>
            <w:tcBorders>
              <w:bottom w:val="single" w:sz="8" w:color="F2F2F2"/>
            </w:tcBorders>
          </w:tcPr>
          <w:p>
            <w:pPr>
              <w:spacing w:after="0"/>
              <w:rPr>
                <w:sz w:val="16"/>
                <w:szCs w:val="16"/>
                <w:color w:val="auto"/>
              </w:rPr>
            </w:pPr>
          </w:p>
        </w:tc>
        <w:tc>
          <w:tcPr>
            <w:tcW w:w="900" w:type="dxa"/>
            <w:vAlign w:val="bottom"/>
            <w:tcBorders>
              <w:bottom w:val="single" w:sz="8" w:color="F2F2F2"/>
            </w:tcBorders>
          </w:tcPr>
          <w:p>
            <w:pPr>
              <w:spacing w:after="0"/>
              <w:rPr>
                <w:sz w:val="16"/>
                <w:szCs w:val="16"/>
                <w:color w:val="auto"/>
              </w:rPr>
            </w:pPr>
          </w:p>
        </w:tc>
        <w:tc>
          <w:tcPr>
            <w:tcW w:w="540" w:type="dxa"/>
            <w:vAlign w:val="bottom"/>
            <w:tcBorders>
              <w:bottom w:val="single" w:sz="8" w:color="F2F2F2"/>
            </w:tcBorders>
          </w:tcPr>
          <w:p>
            <w:pPr>
              <w:spacing w:after="0"/>
              <w:rPr>
                <w:sz w:val="16"/>
                <w:szCs w:val="16"/>
                <w:color w:val="auto"/>
              </w:rPr>
            </w:pPr>
          </w:p>
        </w:tc>
        <w:tc>
          <w:tcPr>
            <w:tcW w:w="140" w:type="dxa"/>
            <w:vAlign w:val="bottom"/>
            <w:tcBorders>
              <w:bottom w:val="single" w:sz="8" w:color="F2F2F2"/>
            </w:tcBorders>
          </w:tcPr>
          <w:p>
            <w:pPr>
              <w:spacing w:after="0"/>
              <w:rPr>
                <w:sz w:val="16"/>
                <w:szCs w:val="16"/>
                <w:color w:val="auto"/>
              </w:rPr>
            </w:pPr>
          </w:p>
        </w:tc>
        <w:tc>
          <w:tcPr>
            <w:tcW w:w="160" w:type="dxa"/>
            <w:vAlign w:val="bottom"/>
            <w:tcBorders>
              <w:bottom w:val="single" w:sz="8" w:color="F2F2F2"/>
            </w:tcBorders>
          </w:tcPr>
          <w:p>
            <w:pPr>
              <w:spacing w:after="0"/>
              <w:rPr>
                <w:sz w:val="16"/>
                <w:szCs w:val="16"/>
                <w:color w:val="auto"/>
              </w:rPr>
            </w:pPr>
          </w:p>
        </w:tc>
        <w:tc>
          <w:tcPr>
            <w:tcW w:w="220" w:type="dxa"/>
            <w:vAlign w:val="bottom"/>
            <w:tcBorders>
              <w:bottom w:val="single" w:sz="8" w:color="F2F2F2"/>
            </w:tcBorders>
          </w:tcPr>
          <w:p>
            <w:pPr>
              <w:spacing w:after="0"/>
              <w:rPr>
                <w:sz w:val="16"/>
                <w:szCs w:val="16"/>
                <w:color w:val="auto"/>
              </w:rPr>
            </w:pPr>
          </w:p>
        </w:tc>
        <w:tc>
          <w:tcPr>
            <w:tcW w:w="380" w:type="dxa"/>
            <w:vAlign w:val="bottom"/>
            <w:tcBorders>
              <w:bottom w:val="single" w:sz="8" w:color="F2F2F2"/>
            </w:tcBorders>
          </w:tcPr>
          <w:p>
            <w:pPr>
              <w:spacing w:after="0"/>
              <w:rPr>
                <w:sz w:val="16"/>
                <w:szCs w:val="16"/>
                <w:color w:val="auto"/>
              </w:rPr>
            </w:pPr>
          </w:p>
        </w:tc>
        <w:tc>
          <w:tcPr>
            <w:tcW w:w="80" w:type="dxa"/>
            <w:vAlign w:val="bottom"/>
            <w:tcBorders>
              <w:bottom w:val="single" w:sz="8" w:color="F2F2F2"/>
            </w:tcBorders>
          </w:tcPr>
          <w:p>
            <w:pPr>
              <w:spacing w:after="0"/>
              <w:rPr>
                <w:sz w:val="16"/>
                <w:szCs w:val="16"/>
                <w:color w:val="auto"/>
              </w:rPr>
            </w:pPr>
          </w:p>
        </w:tc>
        <w:tc>
          <w:tcPr>
            <w:tcW w:w="4100" w:type="dxa"/>
            <w:vAlign w:val="bottom"/>
            <w:tcBorders>
              <w:bottom w:val="single" w:sz="8" w:color="F2F2F2"/>
            </w:tcBorders>
          </w:tcPr>
          <w:p>
            <w:pPr>
              <w:spacing w:after="0"/>
              <w:rPr>
                <w:sz w:val="16"/>
                <w:szCs w:val="16"/>
                <w:color w:val="auto"/>
              </w:rPr>
            </w:pPr>
          </w:p>
        </w:tc>
      </w:tr>
      <w:tr>
        <w:trPr>
          <w:trHeight w:val="658"/>
        </w:trPr>
        <w:tc>
          <w:tcPr>
            <w:tcW w:w="860" w:type="dxa"/>
            <w:vAlign w:val="bottom"/>
            <w:tcBorders>
              <w:left w:val="single" w:sz="8" w:color="F2F2F2"/>
            </w:tcBorders>
            <w:gridSpan w:val="3"/>
          </w:tcPr>
          <w:p>
            <w:pPr>
              <w:ind w:left="120"/>
              <w:spacing w:after="0"/>
              <w:rPr>
                <w:sz w:val="20"/>
                <w:szCs w:val="20"/>
                <w:color w:val="auto"/>
              </w:rPr>
            </w:pPr>
            <w:r>
              <w:rPr>
                <w:rFonts w:ascii="Arial" w:cs="Arial" w:eastAsia="Arial" w:hAnsi="Arial"/>
                <w:sz w:val="22"/>
                <w:szCs w:val="22"/>
                <w:color w:val="auto"/>
                <w:w w:val="94"/>
              </w:rPr>
              <w:t>By: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Borders>
              <w:right w:val="single" w:sz="8" w:color="F2F2F2"/>
            </w:tcBorders>
          </w:tcPr>
          <w:p>
            <w:pPr>
              <w:spacing w:after="0"/>
              <w:rPr>
                <w:sz w:val="24"/>
                <w:szCs w:val="24"/>
                <w:color w:val="auto"/>
              </w:rPr>
            </w:pPr>
          </w:p>
        </w:tc>
        <w:tc>
          <w:tcPr>
            <w:tcW w:w="840" w:type="dxa"/>
            <w:vAlign w:val="bottom"/>
            <w:gridSpan w:val="3"/>
          </w:tcPr>
          <w:p>
            <w:pPr>
              <w:ind w:left="100"/>
              <w:spacing w:after="0"/>
              <w:rPr>
                <w:sz w:val="20"/>
                <w:szCs w:val="20"/>
                <w:color w:val="auto"/>
              </w:rPr>
            </w:pPr>
            <w:r>
              <w:rPr>
                <w:rFonts w:ascii="Arial" w:cs="Arial" w:eastAsia="Arial" w:hAnsi="Arial"/>
                <w:sz w:val="22"/>
                <w:szCs w:val="22"/>
                <w:color w:val="auto"/>
                <w:w w:val="94"/>
              </w:rPr>
              <w:t>By: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tcBorders>
              <w:right w:val="single" w:sz="8" w:color="F2F2F2"/>
            </w:tcBorders>
          </w:tcPr>
          <w:p>
            <w:pPr>
              <w:spacing w:after="0"/>
              <w:rPr>
                <w:sz w:val="24"/>
                <w:szCs w:val="24"/>
                <w:color w:val="auto"/>
              </w:rPr>
            </w:pPr>
          </w:p>
        </w:tc>
      </w:tr>
      <w:tr>
        <w:trPr>
          <w:trHeight w:val="20"/>
        </w:trPr>
        <w:tc>
          <w:tcPr>
            <w:tcW w:w="560" w:type="dxa"/>
            <w:vAlign w:val="bottom"/>
            <w:tcBorders>
              <w:left w:val="single" w:sz="8" w:color="F2F2F2"/>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Borders>
              <w:right w:val="single" w:sz="8" w:color="F2F2F2"/>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00" w:type="dxa"/>
            <w:vAlign w:val="bottom"/>
            <w:tcBorders>
              <w:right w:val="single" w:sz="8" w:color="F2F2F2"/>
            </w:tcBorders>
          </w:tcPr>
          <w:p>
            <w:pPr>
              <w:spacing w:after="0" w:line="20" w:lineRule="exact"/>
              <w:rPr>
                <w:sz w:val="1"/>
                <w:szCs w:val="1"/>
                <w:color w:val="auto"/>
              </w:rPr>
            </w:pPr>
          </w:p>
        </w:tc>
      </w:tr>
      <w:tr>
        <w:trPr>
          <w:trHeight w:val="439"/>
        </w:trPr>
        <w:tc>
          <w:tcPr>
            <w:tcW w:w="860" w:type="dxa"/>
            <w:vAlign w:val="bottom"/>
            <w:tcBorders>
              <w:left w:val="single" w:sz="8" w:color="F2F2F2"/>
            </w:tcBorders>
            <w:gridSpan w:val="3"/>
          </w:tcPr>
          <w:p>
            <w:pPr>
              <w:ind w:left="120"/>
              <w:spacing w:after="0"/>
              <w:rPr>
                <w:sz w:val="20"/>
                <w:szCs w:val="20"/>
                <w:color w:val="auto"/>
              </w:rPr>
            </w:pPr>
            <w:r>
              <w:rPr>
                <w:rFonts w:ascii="Arial" w:cs="Arial" w:eastAsia="Arial" w:hAnsi="Arial"/>
                <w:sz w:val="22"/>
                <w:szCs w:val="22"/>
                <w:color w:val="auto"/>
              </w:rPr>
              <w:t>Name:</w:t>
            </w:r>
          </w:p>
        </w:tc>
        <w:tc>
          <w:tcPr>
            <w:tcW w:w="6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Borders>
              <w:right w:val="single" w:sz="8" w:color="F2F2F2"/>
            </w:tcBorders>
          </w:tcPr>
          <w:p>
            <w:pPr>
              <w:spacing w:after="0"/>
              <w:rPr>
                <w:sz w:val="24"/>
                <w:szCs w:val="24"/>
                <w:color w:val="auto"/>
              </w:rPr>
            </w:pPr>
          </w:p>
        </w:tc>
        <w:tc>
          <w:tcPr>
            <w:tcW w:w="840" w:type="dxa"/>
            <w:vAlign w:val="bottom"/>
            <w:gridSpan w:val="3"/>
          </w:tcPr>
          <w:p>
            <w:pPr>
              <w:ind w:left="100"/>
              <w:spacing w:after="0"/>
              <w:rPr>
                <w:sz w:val="20"/>
                <w:szCs w:val="20"/>
                <w:color w:val="auto"/>
              </w:rPr>
            </w:pPr>
            <w:r>
              <w:rPr>
                <w:rFonts w:ascii="Arial" w:cs="Arial" w:eastAsia="Arial" w:hAnsi="Arial"/>
                <w:sz w:val="22"/>
                <w:szCs w:val="22"/>
                <w:color w:val="auto"/>
              </w:rPr>
              <w:t>Name:</w:t>
            </w:r>
          </w:p>
        </w:tc>
        <w:tc>
          <w:tcPr>
            <w:tcW w:w="68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4100" w:type="dxa"/>
            <w:vAlign w:val="bottom"/>
            <w:tcBorders>
              <w:right w:val="single" w:sz="8" w:color="F2F2F2"/>
            </w:tcBorders>
          </w:tcPr>
          <w:p>
            <w:pPr>
              <w:spacing w:after="0"/>
              <w:rPr>
                <w:sz w:val="24"/>
                <w:szCs w:val="24"/>
                <w:color w:val="auto"/>
              </w:rPr>
            </w:pPr>
          </w:p>
        </w:tc>
      </w:tr>
      <w:tr>
        <w:trPr>
          <w:trHeight w:val="20"/>
        </w:trPr>
        <w:tc>
          <w:tcPr>
            <w:tcW w:w="700" w:type="dxa"/>
            <w:vAlign w:val="bottom"/>
            <w:tcBorders>
              <w:left w:val="single" w:sz="8" w:color="F2F2F2"/>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Borders>
              <w:right w:val="single" w:sz="8" w:color="F2F2F2"/>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00" w:type="dxa"/>
            <w:vAlign w:val="bottom"/>
            <w:tcBorders>
              <w:right w:val="single" w:sz="8" w:color="F2F2F2"/>
            </w:tcBorders>
          </w:tcPr>
          <w:p>
            <w:pPr>
              <w:spacing w:after="0" w:line="20" w:lineRule="exact"/>
              <w:rPr>
                <w:sz w:val="1"/>
                <w:szCs w:val="1"/>
                <w:color w:val="auto"/>
              </w:rPr>
            </w:pPr>
          </w:p>
        </w:tc>
      </w:tr>
      <w:tr>
        <w:trPr>
          <w:trHeight w:val="439"/>
        </w:trPr>
        <w:tc>
          <w:tcPr>
            <w:tcW w:w="860" w:type="dxa"/>
            <w:vAlign w:val="bottom"/>
            <w:tcBorders>
              <w:left w:val="single" w:sz="8" w:color="F2F2F2"/>
            </w:tcBorders>
            <w:gridSpan w:val="3"/>
          </w:tcPr>
          <w:p>
            <w:pPr>
              <w:ind w:left="120"/>
              <w:spacing w:after="0"/>
              <w:rPr>
                <w:sz w:val="20"/>
                <w:szCs w:val="20"/>
                <w:color w:val="auto"/>
              </w:rPr>
            </w:pPr>
            <w:r>
              <w:rPr>
                <w:rFonts w:ascii="Arial" w:cs="Arial" w:eastAsia="Arial" w:hAnsi="Arial"/>
                <w:sz w:val="22"/>
                <w:szCs w:val="22"/>
                <w:color w:val="auto"/>
              </w:rPr>
              <w:t>Title:</w:t>
            </w:r>
          </w:p>
        </w:tc>
        <w:tc>
          <w:tcPr>
            <w:tcW w:w="6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Borders>
              <w:right w:val="single" w:sz="8" w:color="F2F2F2"/>
            </w:tcBorders>
          </w:tcPr>
          <w:p>
            <w:pPr>
              <w:spacing w:after="0"/>
              <w:rPr>
                <w:sz w:val="24"/>
                <w:szCs w:val="24"/>
                <w:color w:val="auto"/>
              </w:rPr>
            </w:pPr>
          </w:p>
        </w:tc>
        <w:tc>
          <w:tcPr>
            <w:tcW w:w="840" w:type="dxa"/>
            <w:vAlign w:val="bottom"/>
            <w:gridSpan w:val="3"/>
          </w:tcPr>
          <w:p>
            <w:pPr>
              <w:ind w:left="100"/>
              <w:spacing w:after="0"/>
              <w:rPr>
                <w:sz w:val="20"/>
                <w:szCs w:val="20"/>
                <w:color w:val="auto"/>
              </w:rPr>
            </w:pPr>
            <w:r>
              <w:rPr>
                <w:rFonts w:ascii="Arial" w:cs="Arial" w:eastAsia="Arial" w:hAnsi="Arial"/>
                <w:sz w:val="22"/>
                <w:szCs w:val="22"/>
                <w:color w:val="auto"/>
              </w:rPr>
              <w:t>Title:</w:t>
            </w:r>
          </w:p>
        </w:tc>
        <w:tc>
          <w:tcPr>
            <w:tcW w:w="68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4100" w:type="dxa"/>
            <w:vAlign w:val="bottom"/>
            <w:tcBorders>
              <w:right w:val="single" w:sz="8" w:color="F2F2F2"/>
            </w:tcBorders>
          </w:tcPr>
          <w:p>
            <w:pPr>
              <w:spacing w:after="0"/>
              <w:rPr>
                <w:sz w:val="24"/>
                <w:szCs w:val="24"/>
                <w:color w:val="auto"/>
              </w:rPr>
            </w:pPr>
          </w:p>
        </w:tc>
      </w:tr>
      <w:tr>
        <w:trPr>
          <w:trHeight w:val="20"/>
        </w:trPr>
        <w:tc>
          <w:tcPr>
            <w:tcW w:w="700" w:type="dxa"/>
            <w:vAlign w:val="bottom"/>
            <w:tcBorders>
              <w:left w:val="single" w:sz="8" w:color="F2F2F2"/>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Borders>
              <w:right w:val="single" w:sz="8" w:color="F2F2F2"/>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00" w:type="dxa"/>
            <w:vAlign w:val="bottom"/>
            <w:tcBorders>
              <w:right w:val="single" w:sz="8" w:color="F2F2F2"/>
            </w:tcBorders>
          </w:tcPr>
          <w:p>
            <w:pPr>
              <w:spacing w:after="0" w:line="20" w:lineRule="exact"/>
              <w:rPr>
                <w:sz w:val="1"/>
                <w:szCs w:val="1"/>
                <w:color w:val="auto"/>
              </w:rPr>
            </w:pPr>
          </w:p>
        </w:tc>
      </w:tr>
      <w:tr>
        <w:trPr>
          <w:trHeight w:val="439"/>
        </w:trPr>
        <w:tc>
          <w:tcPr>
            <w:tcW w:w="4720" w:type="dxa"/>
            <w:vAlign w:val="bottom"/>
            <w:tcBorders>
              <w:left w:val="single" w:sz="8" w:color="F2F2F2"/>
            </w:tcBorders>
            <w:gridSpan w:val="7"/>
          </w:tcPr>
          <w:p>
            <w:pPr>
              <w:ind w:left="120"/>
              <w:spacing w:after="0"/>
              <w:rPr>
                <w:sz w:val="20"/>
                <w:szCs w:val="20"/>
                <w:color w:val="auto"/>
              </w:rPr>
            </w:pPr>
            <w:r>
              <w:rPr>
                <w:rFonts w:ascii="Arial" w:cs="Arial" w:eastAsia="Arial" w:hAnsi="Arial"/>
                <w:sz w:val="22"/>
                <w:szCs w:val="22"/>
                <w:color w:val="auto"/>
              </w:rPr>
              <w:t>Date: 4 March, 2026</w:t>
            </w:r>
          </w:p>
        </w:tc>
        <w:tc>
          <w:tcPr>
            <w:tcW w:w="900" w:type="dxa"/>
            <w:vAlign w:val="bottom"/>
            <w:tcBorders>
              <w:right w:val="single" w:sz="8" w:color="F2F2F2"/>
            </w:tcBorders>
          </w:tcPr>
          <w:p>
            <w:pPr>
              <w:spacing w:after="0"/>
              <w:rPr>
                <w:sz w:val="24"/>
                <w:szCs w:val="24"/>
                <w:color w:val="auto"/>
              </w:rPr>
            </w:pPr>
          </w:p>
        </w:tc>
        <w:tc>
          <w:tcPr>
            <w:tcW w:w="5620" w:type="dxa"/>
            <w:vAlign w:val="bottom"/>
            <w:tcBorders>
              <w:right w:val="single" w:sz="8" w:color="F2F2F2"/>
            </w:tcBorders>
            <w:gridSpan w:val="7"/>
          </w:tcPr>
          <w:p>
            <w:pPr>
              <w:ind w:left="100"/>
              <w:spacing w:after="0"/>
              <w:rPr>
                <w:sz w:val="20"/>
                <w:szCs w:val="20"/>
                <w:color w:val="auto"/>
              </w:rPr>
            </w:pPr>
            <w:r>
              <w:rPr>
                <w:rFonts w:ascii="Arial" w:cs="Arial" w:eastAsia="Arial" w:hAnsi="Arial"/>
                <w:sz w:val="22"/>
                <w:szCs w:val="22"/>
                <w:color w:val="auto"/>
              </w:rPr>
              <w:t>Date: 3/4/2026</w:t>
            </w:r>
          </w:p>
        </w:tc>
      </w:tr>
      <w:tr>
        <w:trPr>
          <w:trHeight w:val="233"/>
        </w:trPr>
        <w:tc>
          <w:tcPr>
            <w:tcW w:w="560" w:type="dxa"/>
            <w:vAlign w:val="bottom"/>
            <w:tcBorders>
              <w:left w:val="single" w:sz="8" w:color="F2F2F2"/>
              <w:bottom w:val="single" w:sz="8" w:color="F2F2F2"/>
            </w:tcBorders>
          </w:tcPr>
          <w:p>
            <w:pPr>
              <w:spacing w:after="0"/>
              <w:rPr>
                <w:sz w:val="20"/>
                <w:szCs w:val="20"/>
                <w:color w:val="auto"/>
              </w:rPr>
            </w:pPr>
          </w:p>
        </w:tc>
        <w:tc>
          <w:tcPr>
            <w:tcW w:w="140" w:type="dxa"/>
            <w:vAlign w:val="bottom"/>
            <w:tcBorders>
              <w:bottom w:val="single" w:sz="8" w:color="F2F2F2"/>
            </w:tcBorders>
          </w:tcPr>
          <w:p>
            <w:pPr>
              <w:spacing w:after="0"/>
              <w:rPr>
                <w:sz w:val="20"/>
                <w:szCs w:val="20"/>
                <w:color w:val="auto"/>
              </w:rPr>
            </w:pPr>
          </w:p>
        </w:tc>
        <w:tc>
          <w:tcPr>
            <w:tcW w:w="160" w:type="dxa"/>
            <w:vAlign w:val="bottom"/>
            <w:tcBorders>
              <w:top w:val="single" w:sz="8" w:color="auto"/>
              <w:bottom w:val="single" w:sz="8" w:color="F2F2F2"/>
            </w:tcBorders>
          </w:tcPr>
          <w:p>
            <w:pPr>
              <w:spacing w:after="0"/>
              <w:rPr>
                <w:sz w:val="20"/>
                <w:szCs w:val="20"/>
                <w:color w:val="auto"/>
              </w:rPr>
            </w:pPr>
          </w:p>
        </w:tc>
        <w:tc>
          <w:tcPr>
            <w:tcW w:w="220" w:type="dxa"/>
            <w:vAlign w:val="bottom"/>
            <w:tcBorders>
              <w:top w:val="single" w:sz="8" w:color="auto"/>
              <w:bottom w:val="single" w:sz="8" w:color="F2F2F2"/>
            </w:tcBorders>
          </w:tcPr>
          <w:p>
            <w:pPr>
              <w:spacing w:after="0"/>
              <w:rPr>
                <w:sz w:val="20"/>
                <w:szCs w:val="20"/>
                <w:color w:val="auto"/>
              </w:rPr>
            </w:pPr>
          </w:p>
        </w:tc>
        <w:tc>
          <w:tcPr>
            <w:tcW w:w="380" w:type="dxa"/>
            <w:vAlign w:val="bottom"/>
            <w:tcBorders>
              <w:top w:val="single" w:sz="8" w:color="auto"/>
              <w:bottom w:val="single" w:sz="8" w:color="F2F2F2"/>
            </w:tcBorders>
          </w:tcPr>
          <w:p>
            <w:pPr>
              <w:spacing w:after="0"/>
              <w:rPr>
                <w:sz w:val="20"/>
                <w:szCs w:val="20"/>
                <w:color w:val="auto"/>
              </w:rPr>
            </w:pPr>
          </w:p>
        </w:tc>
        <w:tc>
          <w:tcPr>
            <w:tcW w:w="620" w:type="dxa"/>
            <w:vAlign w:val="bottom"/>
            <w:tcBorders>
              <w:top w:val="single" w:sz="8" w:color="auto"/>
              <w:bottom w:val="single" w:sz="8" w:color="F2F2F2"/>
            </w:tcBorders>
          </w:tcPr>
          <w:p>
            <w:pPr>
              <w:spacing w:after="0"/>
              <w:rPr>
                <w:sz w:val="20"/>
                <w:szCs w:val="20"/>
                <w:color w:val="auto"/>
              </w:rPr>
            </w:pPr>
          </w:p>
        </w:tc>
        <w:tc>
          <w:tcPr>
            <w:tcW w:w="2640" w:type="dxa"/>
            <w:vAlign w:val="bottom"/>
            <w:tcBorders>
              <w:bottom w:val="single" w:sz="8" w:color="F2F2F2"/>
            </w:tcBorders>
          </w:tcPr>
          <w:p>
            <w:pPr>
              <w:spacing w:after="0"/>
              <w:rPr>
                <w:sz w:val="20"/>
                <w:szCs w:val="20"/>
                <w:color w:val="auto"/>
              </w:rPr>
            </w:pPr>
          </w:p>
        </w:tc>
        <w:tc>
          <w:tcPr>
            <w:tcW w:w="900" w:type="dxa"/>
            <w:vAlign w:val="bottom"/>
            <w:tcBorders>
              <w:bottom w:val="single" w:sz="8" w:color="F2F2F2"/>
              <w:right w:val="single" w:sz="8" w:color="F2F2F2"/>
            </w:tcBorders>
          </w:tcPr>
          <w:p>
            <w:pPr>
              <w:spacing w:after="0"/>
              <w:rPr>
                <w:sz w:val="20"/>
                <w:szCs w:val="20"/>
                <w:color w:val="auto"/>
              </w:rPr>
            </w:pPr>
          </w:p>
        </w:tc>
        <w:tc>
          <w:tcPr>
            <w:tcW w:w="540" w:type="dxa"/>
            <w:vAlign w:val="bottom"/>
            <w:tcBorders>
              <w:bottom w:val="single" w:sz="8" w:color="F2F2F2"/>
            </w:tcBorders>
          </w:tcPr>
          <w:p>
            <w:pPr>
              <w:spacing w:after="0"/>
              <w:rPr>
                <w:sz w:val="20"/>
                <w:szCs w:val="20"/>
                <w:color w:val="auto"/>
              </w:rPr>
            </w:pPr>
          </w:p>
        </w:tc>
        <w:tc>
          <w:tcPr>
            <w:tcW w:w="140" w:type="dxa"/>
            <w:vAlign w:val="bottom"/>
            <w:tcBorders>
              <w:bottom w:val="single" w:sz="8" w:color="F2F2F2"/>
            </w:tcBorders>
          </w:tcPr>
          <w:p>
            <w:pPr>
              <w:spacing w:after="0"/>
              <w:rPr>
                <w:sz w:val="20"/>
                <w:szCs w:val="20"/>
                <w:color w:val="auto"/>
              </w:rPr>
            </w:pPr>
          </w:p>
        </w:tc>
        <w:tc>
          <w:tcPr>
            <w:tcW w:w="160" w:type="dxa"/>
            <w:vAlign w:val="bottom"/>
            <w:tcBorders>
              <w:top w:val="single" w:sz="8" w:color="auto"/>
              <w:bottom w:val="single" w:sz="8" w:color="F2F2F2"/>
            </w:tcBorders>
          </w:tcPr>
          <w:p>
            <w:pPr>
              <w:spacing w:after="0"/>
              <w:rPr>
                <w:sz w:val="20"/>
                <w:szCs w:val="20"/>
                <w:color w:val="auto"/>
              </w:rPr>
            </w:pPr>
          </w:p>
        </w:tc>
        <w:tc>
          <w:tcPr>
            <w:tcW w:w="220" w:type="dxa"/>
            <w:vAlign w:val="bottom"/>
            <w:tcBorders>
              <w:top w:val="single" w:sz="8" w:color="auto"/>
              <w:bottom w:val="single" w:sz="8" w:color="F2F2F2"/>
            </w:tcBorders>
          </w:tcPr>
          <w:p>
            <w:pPr>
              <w:spacing w:after="0"/>
              <w:rPr>
                <w:sz w:val="20"/>
                <w:szCs w:val="20"/>
                <w:color w:val="auto"/>
              </w:rPr>
            </w:pPr>
          </w:p>
        </w:tc>
        <w:tc>
          <w:tcPr>
            <w:tcW w:w="380" w:type="dxa"/>
            <w:vAlign w:val="bottom"/>
            <w:tcBorders>
              <w:top w:val="single" w:sz="8" w:color="auto"/>
              <w:bottom w:val="single" w:sz="8" w:color="F2F2F2"/>
            </w:tcBorders>
          </w:tcPr>
          <w:p>
            <w:pPr>
              <w:spacing w:after="0"/>
              <w:rPr>
                <w:sz w:val="20"/>
                <w:szCs w:val="20"/>
                <w:color w:val="auto"/>
              </w:rPr>
            </w:pPr>
          </w:p>
        </w:tc>
        <w:tc>
          <w:tcPr>
            <w:tcW w:w="80" w:type="dxa"/>
            <w:vAlign w:val="bottom"/>
            <w:tcBorders>
              <w:top w:val="single" w:sz="8" w:color="auto"/>
              <w:bottom w:val="single" w:sz="8" w:color="F2F2F2"/>
            </w:tcBorders>
          </w:tcPr>
          <w:p>
            <w:pPr>
              <w:spacing w:after="0"/>
              <w:rPr>
                <w:sz w:val="20"/>
                <w:szCs w:val="20"/>
                <w:color w:val="auto"/>
              </w:rPr>
            </w:pPr>
          </w:p>
        </w:tc>
        <w:tc>
          <w:tcPr>
            <w:tcW w:w="4100" w:type="dxa"/>
            <w:vAlign w:val="bottom"/>
            <w:tcBorders>
              <w:bottom w:val="single" w:sz="8" w:color="F2F2F2"/>
              <w:right w:val="single" w:sz="8" w:color="F2F2F2"/>
            </w:tcBorders>
          </w:tcPr>
          <w:p>
            <w:pPr>
              <w:spacing w:after="0"/>
              <w:rPr>
                <w:sz w:val="20"/>
                <w:szCs w:val="20"/>
                <w:color w:val="auto"/>
              </w:rPr>
            </w:pPr>
          </w:p>
        </w:tc>
      </w:tr>
      <w:tr>
        <w:trPr>
          <w:trHeight w:val="848"/>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40" w:type="dxa"/>
            <w:vAlign w:val="bottom"/>
            <w:gridSpan w:val="2"/>
          </w:tcPr>
          <w:p>
            <w:pPr>
              <w:jc w:val="right"/>
              <w:ind w:right="372"/>
              <w:spacing w:after="0"/>
              <w:rPr>
                <w:sz w:val="20"/>
                <w:szCs w:val="20"/>
                <w:color w:val="auto"/>
              </w:rPr>
            </w:pPr>
            <w:r>
              <w:rPr>
                <w:rFonts w:ascii="Arial" w:cs="Arial" w:eastAsia="Arial" w:hAnsi="Arial"/>
                <w:sz w:val="22"/>
                <w:szCs w:val="22"/>
                <w:color w:val="auto"/>
              </w:rPr>
              <w:t>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965"/>
        </w:trPr>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Duke, Jr., certify that:</w:t>
      </w:r>
    </w:p>
    <w:p>
      <w:pPr>
        <w:spacing w:after="0" w:line="225"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Invivyd,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Invivyd, Inc. (the “Company”) on Form 10-Q for the period ended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
      <w:numFmt w:val="bullet"/>
      <w:start w:val="1"/>
    </w:lvl>
    <w:lvl w:ilvl="1">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2"/>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lowerLetter"/>
      <w:start w:val="3"/>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2"/>
    </w:lvl>
  </w:abstractNum>
  <w:abstractNum w:abstractNumId="31">
    <w:nsid w:val="2D517796"/>
    <w:multiLevelType w:val="hybridMultilevel"/>
    <w:lvl w:ilvl="0">
      <w:lvlJc w:val="left"/>
      <w:lvlText w:val="%1."/>
      <w:numFmt w:val="decimal"/>
      <w:start w:val="3"/>
    </w:lvl>
  </w:abstractNum>
  <w:abstractNum w:abstractNumId="32">
    <w:nsid w:val="580BD78F"/>
    <w:multiLevelType w:val="hybridMultilevel"/>
    <w:lvl w:ilvl="0">
      <w:lvlJc w:val="left"/>
      <w:lvlText w:val="%1."/>
      <w:numFmt w:val="decimal"/>
      <w:start w:val="4"/>
    </w:lvl>
  </w:abstractNum>
  <w:abstractNum w:abstractNumId="33">
    <w:nsid w:val="153EA438"/>
    <w:multiLevelType w:val="hybridMultilevel"/>
    <w:lvl w:ilvl="0">
      <w:lvlJc w:val="left"/>
      <w:lvlText w:val="%1."/>
      <w:numFmt w:val="decimal"/>
      <w:start w:val="5"/>
    </w:lvl>
  </w:abstractNum>
  <w:abstractNum w:abstractNumId="34">
    <w:nsid w:val="3855585C"/>
    <w:multiLevelType w:val="hybridMultilevel"/>
    <w:lvl w:ilvl="0">
      <w:lvlJc w:val="left"/>
      <w:lvlText w:val="%1."/>
      <w:numFmt w:val="decimal"/>
      <w:start w:val="6"/>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2"/>
    </w:lvl>
  </w:abstractNum>
  <w:abstractNum w:abstractNumId="37">
    <w:nsid w:val="2A487CB0"/>
    <w:multiLevelType w:val="hybridMultilevel"/>
    <w:lvl w:ilvl="0">
      <w:lvlJc w:val="left"/>
      <w:lvlText w:val="%1."/>
      <w:numFmt w:val="decimal"/>
      <w:start w:val="3"/>
    </w:lvl>
  </w:abstractNum>
  <w:abstractNum w:abstractNumId="38">
    <w:nsid w:val="1D4ED43B"/>
    <w:multiLevelType w:val="hybridMultilevel"/>
    <w:lvl w:ilvl="0">
      <w:lvlJc w:val="left"/>
      <w:lvlText w:val="%1."/>
      <w:numFmt w:val="decimal"/>
      <w:start w:val="4"/>
    </w:lvl>
  </w:abstractNum>
  <w:abstractNum w:abstractNumId="39">
    <w:nsid w:val="725A06FB"/>
    <w:multiLevelType w:val="hybridMultilevel"/>
    <w:lvl w:ilvl="0">
      <w:lvlJc w:val="left"/>
      <w:lvlText w:val="%1."/>
      <w:numFmt w:val="decimal"/>
      <w:start w:val="1"/>
    </w:lvl>
    <w:lvl w:ilvl="1">
      <w:lvlJc w:val="left"/>
      <w:lvlText w:val="(%2)"/>
      <w:numFmt w:val="lowerLetter"/>
      <w:start w:val="1"/>
    </w:lvl>
  </w:abstractNum>
  <w:abstractNum w:abstractNumId="40">
    <w:nsid w:val="2CD89A32"/>
    <w:multiLevelType w:val="hybridMultilevel"/>
    <w:lvl w:ilvl="0">
      <w:lvlJc w:val="left"/>
      <w:lvlText w:val="%1."/>
      <w:numFmt w:val="decimal"/>
      <w:start w:val="3"/>
    </w:lvl>
  </w:abstractNum>
  <w:abstractNum w:abstractNumId="41">
    <w:nsid w:val="57E4CCAF"/>
    <w:multiLevelType w:val="hybridMultilevel"/>
    <w:lvl w:ilvl="0">
      <w:lvlJc w:val="left"/>
      <w:lvlText w:val="%1"/>
      <w:numFmt w:val="decimal"/>
      <w:start w:val="1"/>
    </w:lvl>
    <w:lvl w:ilvl="1">
      <w:lvlJc w:val="left"/>
      <w:lvlText w:val="(%2)"/>
      <w:numFmt w:val="lowerLetter"/>
      <w:start w:val="1"/>
    </w:lvl>
  </w:abstractNum>
  <w:abstractNum w:abstractNumId="42">
    <w:nsid w:val="7A6D8D3C"/>
    <w:multiLevelType w:val="hybridMultilevel"/>
    <w:lvl w:ilvl="0">
      <w:lvlJc w:val="left"/>
      <w:lvlText w:val="%1."/>
      <w:numFmt w:val="decimal"/>
      <w:start w:val="4"/>
    </w:lvl>
    <w:lvl w:ilvl="1">
      <w:lvlJc w:val="left"/>
      <w:lvlText w:val="%2"/>
      <w:numFmt w:val="lowerLetter"/>
      <w:start w:val="1"/>
    </w:lvl>
  </w:abstractNum>
  <w:abstractNum w:abstractNumId="43">
    <w:nsid w:val="4B588F54"/>
    <w:multiLevelType w:val="hybridMultilevel"/>
    <w:lvl w:ilvl="0">
      <w:lvlJc w:val="left"/>
      <w:lvlText w:val="%1."/>
      <w:numFmt w:val="decimal"/>
      <w:start w:val="5"/>
    </w:lvl>
  </w:abstractNum>
  <w:abstractNum w:abstractNumId="44">
    <w:nsid w:val="542289EC"/>
    <w:multiLevelType w:val="hybridMultilevel"/>
    <w:lvl w:ilvl="0">
      <w:lvlJc w:val="left"/>
      <w:lvlText w:val="%1."/>
      <w:numFmt w:val="decimal"/>
      <w:start w:val="6"/>
    </w:lvl>
  </w:abstractNum>
  <w:abstractNum w:abstractNumId="45">
    <w:nsid w:val="6DE91B18"/>
    <w:multiLevelType w:val="hybridMultilevel"/>
    <w:lvl w:ilvl="0">
      <w:lvlJc w:val="left"/>
      <w:lvlText w:val="%1."/>
      <w:numFmt w:val="decimal"/>
      <w:start w:val="7"/>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13" Type="http://schemas.openxmlformats.org/officeDocument/2006/relationships/hyperlink" Target="https://www.sec.gov/Archives/edgar/data/1832038/000119312521242044/d211424dex31.htm" TargetMode="External"/><Relationship Id="rId214" Type="http://schemas.openxmlformats.org/officeDocument/2006/relationships/hyperlink" Target="https://www.sec.gov/Archives/edgar/data/1832038/000119312522243285/d388436dex31.htm" TargetMode="External"/><Relationship Id="rId215" Type="http://schemas.openxmlformats.org/officeDocument/2006/relationships/hyperlink" Target="https://www.sec.gov/Archives/edgar/data/1832038/000119312523154233/d473409dex31.htm" TargetMode="External"/><Relationship Id="rId216" Type="http://schemas.openxmlformats.org/officeDocument/2006/relationships/hyperlink" Target="https://www.sec.gov/Archives/edgar/data/1832038/000119312522243285/d388436dex32.htm" TargetMode="External"/><Relationship Id="rId217" Type="http://schemas.openxmlformats.org/officeDocument/2006/relationships/hyperlink" Target="https://www.sec.gov/Archives/edgar/data/1832038/000119312523154233/d473409dex32.htm" TargetMode="External"/><Relationship Id="rId218" Type="http://schemas.openxmlformats.org/officeDocument/2006/relationships/hyperlink" Target="https://www.sec.gov/Archives/edgar/data/1832038/000119312522253372/d392092dex33.htm" TargetMode="External"/><Relationship Id="rId219" Type="http://schemas.openxmlformats.org/officeDocument/2006/relationships/hyperlink" Target="https://www.sec.gov/Archives/edgar/data/1832038/000119312526092547/ivvd-ex10_7.htm" TargetMode="External"/><Relationship Id="rId220" Type="http://schemas.openxmlformats.org/officeDocument/2006/relationships/hyperlink" Target="https://www.sec.gov/Archives/edgar/data/1832038/000119312526092547/ivvd-ex10_9.htm" TargetMode="External"/><Relationship Id="rId221" Type="http://schemas.openxmlformats.org/officeDocument/2006/relationships/hyperlink" Target="https://www.sec.gov/Archives/edgar/data/1832038/000119312526092547/ivvd-ex10_11.htm" TargetMode="External"/><Relationship Id="rId222" Type="http://schemas.openxmlformats.org/officeDocument/2006/relationships/hyperlink" Target="https://www.sec.gov/Archives/edgar/data/1832038/000119312526092547/ivvd-ex10_14.htm" TargetMode="External"/><Relationship Id="rId223" Type="http://schemas.openxmlformats.org/officeDocument/2006/relationships/hyperlink" Target="https://www.sec.gov/Archives/edgar/data/1832038/000119312526092547/ivvd-ex10_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2026-05-14T06:22:44Z</dcterms:created>
  <dcterms:modified xsi:type="dcterms:W3CDTF">2026-05-14T06:22:44Z</dcterms:modified>
</cp:coreProperties>
</file>