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520322d8k.htm"/>
      <w:bookmarkStart w:id="1" w:name="ksd520322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160" w:after="0"/>
        <w:jc w:val="center"/>
        <w:rPr>
          <w:rFonts w:ascii="Times New Roman" w:hAnsi="Times New Roman"/>
          <w:b/>
          <w:sz w:val="24"/>
        </w:rPr>
      </w:pPr>
      <w:r>
        <w:rPr>
          <w:rFonts w:ascii="Times New Roman" w:hAnsi="Times New Roman"/>
          <w:b/>
          <w:sz w:val="24"/>
        </w:rPr>
        <w:t>Date of Report (Date of earliest event reported): May 13, 2022</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48"/>
        </w:rPr>
      </w:pPr>
      <w:r>
        <w:rPr>
          <w:rFonts w:ascii="Times New Roman" w:hAnsi="Times New Roman"/>
          <w:b/>
          <w:sz w:val="48"/>
        </w:rPr>
        <w:t xml:space="preserve">ADAGIO THERAPEUTICS, INC.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6480" w:type="dxa"/>
        <w:jc w:val="left"/>
        <w:tblInd w:w="0" w:type="dxa"/>
        <w:tblCellMar>
          <w:top w:w="0" w:type="dxa"/>
          <w:left w:w="0" w:type="dxa"/>
          <w:bottom w:w="0" w:type="dxa"/>
          <w:right w:w="0" w:type="dxa"/>
        </w:tblCellMar>
      </w:tblPr>
      <w:tblGrid>
        <w:gridCol w:w="3935"/>
        <w:gridCol w:w="60"/>
        <w:gridCol w:w="1055"/>
        <w:gridCol w:w="60"/>
        <w:gridCol w:w="1370"/>
      </w:tblGrid>
      <w:tr>
        <w:trPr/>
        <w:tc>
          <w:tcPr>
            <w:tcW w:w="3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001-40703</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83-1403134</w:t>
            </w:r>
          </w:p>
        </w:tc>
      </w:tr>
      <w:tr>
        <w:trPr/>
        <w:tc>
          <w:tcPr>
            <w:tcW w:w="393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r>
        <w:trPr/>
        <w:tc>
          <w:tcPr>
            <w:tcW w:w="3935" w:type="dxa"/>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1430" w:type="dxa"/>
            <w:gridSpan w:val="2"/>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1601 Trapelo Road, Suite 178</w:t>
            </w:r>
          </w:p>
          <w:p>
            <w:pPr>
              <w:pStyle w:val="TableContents"/>
              <w:spacing w:before="0" w:after="20"/>
              <w:jc w:val="center"/>
              <w:rPr>
                <w:rFonts w:ascii="Times New Roman" w:hAnsi="Times New Roman"/>
                <w:b/>
                <w:sz w:val="20"/>
              </w:rPr>
            </w:pPr>
            <w:r>
              <w:rPr>
                <w:rFonts w:ascii="Times New Roman" w:hAnsi="Times New Roman"/>
                <w:b/>
                <w:sz w:val="20"/>
              </w:rPr>
              <w:t>Waltham, Massachusetts</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02451</w:t>
            </w:r>
          </w:p>
        </w:tc>
      </w:tr>
      <w:tr>
        <w:trPr/>
        <w:tc>
          <w:tcPr>
            <w:tcW w:w="3935"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(Zip Code)</w:t>
            </w:r>
          </w:p>
        </w:tc>
      </w:tr>
    </w:tbl>
    <w:p>
      <w:pPr>
        <w:pStyle w:val="TextBody"/>
        <w:spacing w:before="160" w:after="0"/>
        <w:jc w:val="center"/>
        <w:rPr>
          <w:rFonts w:ascii="Times New Roman" w:hAnsi="Times New Roman"/>
          <w:b/>
          <w:sz w:val="16"/>
        </w:rPr>
      </w:pPr>
      <w:r>
        <w:rPr>
          <w:rFonts w:ascii="Times New Roman" w:hAnsi="Times New Roman"/>
          <w:b/>
          <w:sz w:val="16"/>
        </w:rPr>
        <w:t>(Registrant’s telephone number, including area code): (781) 819-0080</w:t>
      </w:r>
    </w:p>
    <w:p>
      <w:pPr>
        <w:pStyle w:val="TextBody"/>
        <w:spacing w:before="16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715" w:type="dxa"/>
        <w:jc w:val="left"/>
        <w:tblInd w:w="0" w:type="dxa"/>
        <w:tblCellMar>
          <w:top w:w="0" w:type="dxa"/>
          <w:left w:w="0" w:type="dxa"/>
          <w:bottom w:w="0" w:type="dxa"/>
          <w:right w:w="0" w:type="dxa"/>
        </w:tblCellMar>
      </w:tblPr>
      <w:tblGrid>
        <w:gridCol w:w="4550"/>
        <w:gridCol w:w="60"/>
        <w:gridCol w:w="740"/>
        <w:gridCol w:w="60"/>
        <w:gridCol w:w="3305"/>
      </w:tblGrid>
      <w:tr>
        <w:trPr/>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05" w:type="dxa"/>
            <w:tcBorders/>
            <w:shd w:fill="auto" w:val="clear"/>
            <w:vAlign w:val="center"/>
          </w:tcPr>
          <w:p>
            <w:pPr>
              <w:pStyle w:val="TableContents"/>
              <w:spacing w:before="0" w:after="283"/>
              <w:rPr>
                <w:sz w:val="4"/>
                <w:szCs w:val="4"/>
              </w:rPr>
            </w:pPr>
            <w:r>
              <w:rPr>
                <w:sz w:val="4"/>
                <w:szCs w:val="4"/>
              </w:rPr>
            </w:r>
          </w:p>
        </w:tc>
      </w:tr>
      <w:tr>
        <w:trPr/>
        <w:tc>
          <w:tcPr>
            <w:tcW w:w="455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330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550" w:type="dxa"/>
            <w:tcBorders/>
            <w:shd w:fill="auto" w:val="clear"/>
            <w:vAlign w:val="center"/>
          </w:tcPr>
          <w:p>
            <w:pPr>
              <w:pStyle w:val="TableContents"/>
              <w:spacing w:before="0" w:after="283"/>
              <w:jc w:val="center"/>
              <w:rPr>
                <w:b/>
              </w:rPr>
            </w:pPr>
            <w:r>
              <w:rPr>
                <w:b/>
              </w:rPr>
              <w:t>Common Stock, par value $0.0001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b/>
              </w:rPr>
            </w:pPr>
            <w:r>
              <w:rPr>
                <w:b/>
              </w:rPr>
              <w:t>ADGI</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283"/>
              <w:jc w:val="center"/>
              <w:rPr>
                <w:b/>
              </w:rPr>
            </w:pPr>
            <w:r>
              <w:rPr>
                <w:b/>
              </w:rPr>
              <w:t>The Nasdaq Stock Market LLC</w:t>
            </w:r>
          </w:p>
        </w:tc>
      </w:tr>
    </w:tbl>
    <w:p>
      <w:pPr>
        <w:pStyle w:val="TextBody"/>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160" w:after="0"/>
        <w:jc w:val="left"/>
        <w:rPr>
          <w:rFonts w:ascii="Times New Roman" w:hAnsi="Times New Roman"/>
          <w:sz w:val="20"/>
        </w:rPr>
      </w:pPr>
      <w:r>
        <w:rPr>
          <w:rFonts w:ascii="Times New Roman" w:hAnsi="Times New Roman"/>
          <w:sz w:val="20"/>
        </w:rPr>
        <w:t>Emerging growth company  ☒</w:t>
      </w:r>
    </w:p>
    <w:p>
      <w:pPr>
        <w:pStyle w:val="TextBody"/>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5005" w:type="dxa"/>
        <w:jc w:val="left"/>
        <w:tblInd w:w="0" w:type="dxa"/>
        <w:tblCellMar>
          <w:top w:w="0" w:type="dxa"/>
          <w:left w:w="0" w:type="dxa"/>
          <w:bottom w:w="0" w:type="dxa"/>
          <w:right w:w="0" w:type="dxa"/>
        </w:tblCellMar>
      </w:tblPr>
      <w:tblGrid>
        <w:gridCol w:w="980"/>
        <w:gridCol w:w="4025"/>
      </w:tblGrid>
      <w:tr>
        <w:trPr/>
        <w:tc>
          <w:tcPr>
            <w:tcW w:w="980" w:type="dxa"/>
            <w:tcBorders/>
            <w:shd w:fill="auto" w:val="clear"/>
            <w:vAlign w:val="center"/>
          </w:tcPr>
          <w:p>
            <w:pPr>
              <w:pStyle w:val="TableContents"/>
              <w:spacing w:before="0" w:after="283"/>
              <w:jc w:val="left"/>
              <w:rPr>
                <w:b/>
              </w:rPr>
            </w:pPr>
            <w:r>
              <w:rPr>
                <w:b/>
              </w:rPr>
              <w:t>Item 2.02</w:t>
            </w:r>
          </w:p>
        </w:tc>
        <w:tc>
          <w:tcPr>
            <w:tcW w:w="40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120" w:after="0"/>
        <w:jc w:val="left"/>
        <w:rPr>
          <w:rFonts w:ascii="Times New Roman" w:hAnsi="Times New Roman"/>
          <w:sz w:val="20"/>
        </w:rPr>
      </w:pPr>
      <w:r>
        <w:rPr>
          <w:rFonts w:ascii="Times New Roman" w:hAnsi="Times New Roman"/>
          <w:sz w:val="20"/>
        </w:rPr>
        <w:t xml:space="preserve">On May 13, 2022, Adagio Therapeutics, Inc. (the “Company”) provided a corporate update and announced its financial results for the quarter ended March 31, 2022, in the press release attached hereto as Exhibit 99.1, which is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The information in this Item 2.02, including the attached Exhibit 99.1, is being furnished and shall not be deemed “filed” for the purposes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expressly set forth by specific reference in such a filing. </w:t>
      </w:r>
    </w:p>
    <w:p>
      <w:pPr>
        <w:pStyle w:val="TextBody"/>
        <w:spacing w:before="0" w:after="0"/>
        <w:jc w:val="left"/>
        <w:rPr/>
      </w:pPr>
      <w:r>
        <w:rPr/>
        <w:t> </w:t>
      </w:r>
    </w:p>
    <w:tbl>
      <w:tblPr>
        <w:tblW w:w="3985" w:type="dxa"/>
        <w:jc w:val="left"/>
        <w:tblInd w:w="0" w:type="dxa"/>
        <w:tblCellMar>
          <w:top w:w="0" w:type="dxa"/>
          <w:left w:w="0" w:type="dxa"/>
          <w:bottom w:w="0" w:type="dxa"/>
          <w:right w:w="0" w:type="dxa"/>
        </w:tblCellMar>
      </w:tblPr>
      <w:tblGrid>
        <w:gridCol w:w="980"/>
        <w:gridCol w:w="3005"/>
      </w:tblGrid>
      <w:tr>
        <w:trPr/>
        <w:tc>
          <w:tcPr>
            <w:tcW w:w="980" w:type="dxa"/>
            <w:tcBorders/>
            <w:shd w:fill="auto" w:val="clear"/>
            <w:vAlign w:val="center"/>
          </w:tcPr>
          <w:p>
            <w:pPr>
              <w:pStyle w:val="TableContents"/>
              <w:spacing w:before="0" w:after="283"/>
              <w:jc w:val="left"/>
              <w:rPr>
                <w:b/>
              </w:rPr>
            </w:pPr>
            <w:r>
              <w:rPr>
                <w:b/>
              </w:rPr>
              <w:t>Item 9.01</w:t>
            </w:r>
          </w:p>
        </w:tc>
        <w:tc>
          <w:tcPr>
            <w:tcW w:w="3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sz w:val="20"/>
        </w:rPr>
      </w:pPr>
      <w:r>
        <w:rPr>
          <w:rFonts w:ascii="Times New Roman" w:hAnsi="Times New Roman"/>
          <w:sz w:val="20"/>
        </w:rPr>
        <w:t xml:space="preserve">(d) Exhibits </w:t>
      </w:r>
    </w:p>
    <w:p>
      <w:pPr>
        <w:pStyle w:val="TextBody"/>
        <w:spacing w:before="0" w:after="0"/>
        <w:jc w:val="left"/>
        <w:rPr/>
      </w:pPr>
      <w:r>
        <w:rPr/>
        <w:t> </w:t>
      </w:r>
    </w:p>
    <w:tbl>
      <w:tblPr>
        <w:tblW w:w="8365" w:type="dxa"/>
        <w:jc w:val="left"/>
        <w:tblInd w:w="0" w:type="dxa"/>
        <w:tblCellMar>
          <w:top w:w="0" w:type="dxa"/>
          <w:left w:w="0" w:type="dxa"/>
          <w:bottom w:w="0" w:type="dxa"/>
          <w:right w:w="0" w:type="dxa"/>
        </w:tblCellMar>
      </w:tblPr>
      <w:tblGrid>
        <w:gridCol w:w="560"/>
        <w:gridCol w:w="120"/>
        <w:gridCol w:w="7685"/>
      </w:tblGrid>
      <w:tr>
        <w:trPr/>
        <w:tc>
          <w:tcPr>
            <w:tcW w:w="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8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br/>
              <w:t>No.</w:t>
            </w:r>
          </w:p>
        </w:tc>
        <w:tc>
          <w:tcPr>
            <w:tcW w:w="120" w:type="dxa"/>
            <w:tcBorders/>
            <w:shd w:fill="auto" w:val="clear"/>
            <w:vAlign w:val="center"/>
          </w:tcPr>
          <w:p>
            <w:pPr>
              <w:pStyle w:val="TableContents"/>
              <w:spacing w:before="0" w:after="283"/>
              <w:rPr/>
            </w:pPr>
            <w:r>
              <w:rPr/>
              <w:t>  </w:t>
            </w:r>
          </w:p>
        </w:tc>
        <w:tc>
          <w:tcPr>
            <w:tcW w:w="768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w:t>
            </w:r>
          </w:p>
        </w:tc>
      </w:tr>
      <w:tr>
        <w:trPr/>
        <w:tc>
          <w:tcPr>
            <w:tcW w:w="560" w:type="dxa"/>
            <w:tcBorders/>
            <w:shd w:fill="auto" w:val="clear"/>
            <w:vAlign w:val="center"/>
          </w:tcPr>
          <w:p>
            <w:pPr>
              <w:pStyle w:val="TableContents"/>
              <w:spacing w:before="0" w:after="283"/>
              <w:rPr>
                <w:sz w:val="4"/>
                <w:szCs w:val="4"/>
              </w:rPr>
            </w:pPr>
            <w:r>
              <w:rPr>
                <w:sz w:val="4"/>
                <w:szCs w:val="4"/>
              </w:rPr>
            </w:r>
          </w:p>
        </w:tc>
        <w:tc>
          <w:tcPr>
            <w:tcW w:w="780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7685" w:type="dxa"/>
            <w:tcBorders/>
            <w:shd w:fill="auto" w:val="clear"/>
            <w:vAlign w:val="center"/>
          </w:tcPr>
          <w:p>
            <w:pPr>
              <w:pStyle w:val="TableContents"/>
              <w:spacing w:before="0" w:after="283"/>
              <w:rPr/>
            </w:pPr>
            <w:hyperlink w:anchor="d520322dex991.htm">
              <w:r>
                <w:rPr>
                  <w:rStyle w:val="InternetLink"/>
                </w:rPr>
                <w:t>Press release, dated May 13, 2022.</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780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7685" w:type="dxa"/>
            <w:tcBorders/>
            <w:shd w:fill="auto" w:val="clear"/>
            <w:vAlign w:val="center"/>
          </w:tcPr>
          <w:p>
            <w:pPr>
              <w:pStyle w:val="TableContents"/>
              <w:spacing w:before="0" w:after="283"/>
              <w:rPr/>
            </w:pPr>
            <w:r>
              <w:rPr/>
              <w:t>Cover Page Interactive Data File (embedded within the Inline XBRL document).</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7043" w:type="dxa"/>
        <w:jc w:val="left"/>
        <w:tblInd w:w="0" w:type="dxa"/>
        <w:tblCellMar>
          <w:top w:w="0" w:type="dxa"/>
          <w:left w:w="0" w:type="dxa"/>
          <w:bottom w:w="0" w:type="dxa"/>
          <w:right w:w="0" w:type="dxa"/>
        </w:tblCellMar>
      </w:tblPr>
      <w:tblGrid>
        <w:gridCol w:w="1940"/>
        <w:gridCol w:w="60"/>
        <w:gridCol w:w="23"/>
        <w:gridCol w:w="60"/>
        <w:gridCol w:w="650"/>
        <w:gridCol w:w="60"/>
        <w:gridCol w:w="4250"/>
      </w:tblGrid>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0"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960" w:type="dxa"/>
            <w:gridSpan w:val="3"/>
            <w:tcBorders/>
            <w:shd w:fill="auto" w:val="clear"/>
            <w:vAlign w:val="center"/>
          </w:tcPr>
          <w:p>
            <w:pPr>
              <w:pStyle w:val="TableContents"/>
              <w:spacing w:before="0" w:after="283"/>
              <w:rPr>
                <w:b/>
              </w:rPr>
            </w:pPr>
            <w:r>
              <w:rPr>
                <w:b/>
              </w:rPr>
              <w:t>ADAGIO THERAPEUTICS, INC.</w:t>
            </w:r>
          </w:p>
        </w:tc>
      </w:tr>
      <w:tr>
        <w:trPr/>
        <w:tc>
          <w:tcPr>
            <w:tcW w:w="194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710" w:type="dxa"/>
            <w:gridSpan w:val="2"/>
            <w:tcBorders/>
            <w:shd w:fill="auto" w:val="clear"/>
            <w:vAlign w:val="center"/>
          </w:tcPr>
          <w:p>
            <w:pPr>
              <w:pStyle w:val="TableContents"/>
              <w:spacing w:before="0" w:after="283"/>
              <w:rPr>
                <w:sz w:val="4"/>
                <w:szCs w:val="4"/>
              </w:rPr>
            </w:pPr>
            <w:r>
              <w:rPr>
                <w:sz w:val="4"/>
                <w:szCs w:val="4"/>
              </w:rPr>
            </w:r>
          </w:p>
        </w:tc>
        <w:tc>
          <w:tcPr>
            <w:tcW w:w="4310" w:type="dxa"/>
            <w:gridSpan w:val="2"/>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pPr>
            <w:r>
              <w:rPr/>
              <w:t>Date: May 13, 2022</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Jill Andersen</w:t>
            </w:r>
          </w:p>
        </w:tc>
      </w:tr>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60"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spacing w:before="0" w:after="283"/>
              <w:rPr/>
            </w:pPr>
            <w:r>
              <w:rPr/>
              <w:t>Jill Andersen</w:t>
            </w:r>
          </w:p>
        </w:tc>
      </w:tr>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60"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spacing w:before="0" w:after="283"/>
              <w:rPr/>
            </w:pPr>
            <w:r>
              <w:rPr/>
              <w:t>Chief Legal Officer and Corporate Secretary</w:t>
            </w:r>
          </w:p>
        </w:tc>
      </w:tr>
    </w:tbl>
    <w:p>
      <w:pPr>
        <w:pStyle w:val="TextBody"/>
        <w:spacing w:before="0" w:after="0"/>
        <w:jc w:val="right"/>
        <w:rPr>
          <w:rFonts w:ascii="Times New Roman" w:hAnsi="Times New Roman"/>
          <w:b/>
          <w:sz w:val="20"/>
        </w:rPr>
      </w:pPr>
      <w:r>
        <w:br w:type="page"/>
      </w:r>
      <w:bookmarkStart w:id="2" w:name="d520322dex991.htm"/>
      <w:bookmarkStart w:id="3" w:name="ksd520322dex991"/>
      <w:bookmarkEnd w:id="2"/>
      <w:bookmarkEnd w:id="3"/>
      <w:r>
        <w:rPr>
          <w:rFonts w:ascii="Times New Roman" w:hAnsi="Times New Roman"/>
          <w:b/>
          <w:sz w:val="20"/>
        </w:rPr>
        <w:t xml:space="preserve">Exhibit 99.1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491"/>
        <w:gridCol w:w="310"/>
        <w:gridCol w:w="60"/>
        <w:gridCol w:w="2941"/>
        <w:gridCol w:w="403"/>
      </w:tblGrid>
      <w:tr>
        <w:trPr/>
        <w:tc>
          <w:tcPr>
            <w:tcW w:w="6491"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sz w:val="4"/>
                <w:szCs w:val="4"/>
              </w:rPr>
            </w:pPr>
            <w:r>
              <w:rPr>
                <w:sz w:val="4"/>
                <w:szCs w:val="4"/>
              </w:rPr>
            </w:r>
          </w:p>
        </w:tc>
      </w:tr>
      <w:tr>
        <w:trPr/>
        <w:tc>
          <w:tcPr>
            <w:tcW w:w="6491"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941" w:type="dxa"/>
            <w:tcBorders/>
            <w:shd w:fill="auto" w:val="clear"/>
          </w:tcPr>
          <w:p>
            <w:pPr>
              <w:pStyle w:val="TableContents"/>
              <w:spacing w:before="0" w:after="283"/>
              <w:jc w:val="right"/>
              <w:rPr/>
            </w:pPr>
            <w:r>
              <w:rPr/>
              <w:drawing>
                <wp:inline distT="0" distB="0" distL="0" distR="0">
                  <wp:extent cx="184785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466725"/>
                          </a:xfrm>
                          <a:prstGeom prst="rect">
                            <a:avLst/>
                          </a:prstGeom>
                        </pic:spPr>
                      </pic:pic>
                    </a:graphicData>
                  </a:graphic>
                </wp:inline>
              </w:drawing>
            </w:r>
            <w:r>
              <w:rPr/>
              <w:t xml:space="preserve"> </w:t>
            </w:r>
          </w:p>
        </w:tc>
        <w:tc>
          <w:tcPr>
            <w:tcW w:w="403" w:type="dxa"/>
            <w:tcBorders/>
            <w:shd w:fill="auto" w:val="clear"/>
          </w:tcPr>
          <w:p>
            <w:pPr>
              <w:pStyle w:val="TableContents"/>
              <w:spacing w:before="0" w:after="283"/>
              <w:rPr/>
            </w:pPr>
            <w:r>
              <w:rPr/>
              <w:t> </w:t>
            </w:r>
          </w:p>
        </w:tc>
      </w:tr>
    </w:tbl>
    <w:p>
      <w:pPr>
        <w:pStyle w:val="TextBody"/>
        <w:spacing w:before="240" w:after="0"/>
        <w:jc w:val="center"/>
        <w:rPr>
          <w:rFonts w:ascii="Times New Roman" w:hAnsi="Times New Roman"/>
          <w:b/>
          <w:sz w:val="20"/>
        </w:rPr>
      </w:pPr>
      <w:r>
        <w:rPr>
          <w:rFonts w:ascii="Times New Roman" w:hAnsi="Times New Roman"/>
          <w:b/>
          <w:sz w:val="20"/>
        </w:rPr>
        <w:t xml:space="preserve">Adagio Therapeutics Reports First Quarter 2022 Financial Results </w:t>
      </w:r>
    </w:p>
    <w:p>
      <w:pPr>
        <w:pStyle w:val="TextBody"/>
        <w:spacing w:before="240" w:after="0"/>
        <w:jc w:val="center"/>
        <w:rPr>
          <w:rFonts w:ascii="Times New Roman" w:hAnsi="Times New Roman"/>
          <w:i/>
          <w:sz w:val="20"/>
        </w:rPr>
      </w:pPr>
      <w:r>
        <w:rPr>
          <w:rFonts w:ascii="Times New Roman" w:hAnsi="Times New Roman"/>
          <w:i/>
          <w:sz w:val="20"/>
        </w:rPr>
        <w:t xml:space="preserve">$532.2 Million in Total Cash at Quarter End; Strong Balance Sheet Expected to Support Operations into Second Half of 2024 </w:t>
      </w:r>
    </w:p>
    <w:p>
      <w:pPr>
        <w:pStyle w:val="TextBody"/>
        <w:spacing w:before="240" w:after="0"/>
        <w:jc w:val="center"/>
        <w:rPr>
          <w:rFonts w:ascii="Times New Roman" w:hAnsi="Times New Roman"/>
          <w:i/>
          <w:sz w:val="20"/>
        </w:rPr>
      </w:pPr>
      <w:r>
        <w:rPr>
          <w:rFonts w:ascii="Times New Roman" w:hAnsi="Times New Roman"/>
          <w:i/>
          <w:sz w:val="20"/>
        </w:rPr>
        <w:t xml:space="preserve">Additional Data from Adintrevimab Phase 2/3 STAMP Treatment Trial to be Presented at ASM Annual Meeting </w:t>
      </w:r>
    </w:p>
    <w:p>
      <w:pPr>
        <w:pStyle w:val="TextBody"/>
        <w:spacing w:before="240" w:after="0"/>
        <w:jc w:val="left"/>
        <w:rPr>
          <w:rFonts w:ascii="Times New Roman" w:hAnsi="Times New Roman"/>
          <w:sz w:val="20"/>
        </w:rPr>
      </w:pPr>
      <w:r>
        <w:rPr>
          <w:rFonts w:ascii="Times New Roman" w:hAnsi="Times New Roman"/>
          <w:b/>
          <w:sz w:val="20"/>
        </w:rPr>
        <w:t>Waltham, MA  May</w:t>
      </w:r>
      <w:r>
        <w:rPr>
          <w:rFonts w:ascii="Times New Roman" w:hAnsi="Times New Roman"/>
          <w:sz w:val="20"/>
        </w:rPr>
        <w:t> </w:t>
      </w:r>
      <w:r>
        <w:rPr>
          <w:rFonts w:ascii="Times New Roman" w:hAnsi="Times New Roman"/>
          <w:b/>
          <w:sz w:val="20"/>
        </w:rPr>
        <w:t>13, 2022</w:t>
      </w:r>
      <w:r>
        <w:rPr>
          <w:rFonts w:ascii="Times New Roman" w:hAnsi="Times New Roman"/>
          <w:sz w:val="20"/>
        </w:rPr>
        <w:t xml:space="preserve">  Adagio Therapeutics, Inc. (Nasdaq: ADGI), a clinical-stage biopharmaceutical company focused on the discovery, development and commercialization of antibody-based solutions for infectious diseases, today reported financial results for the quarter ended March 31, 2022. </w:t>
      </w:r>
    </w:p>
    <w:p>
      <w:pPr>
        <w:pStyle w:val="TextBody"/>
        <w:spacing w:before="240" w:after="0"/>
        <w:jc w:val="left"/>
        <w:rPr>
          <w:rFonts w:ascii="Times New Roman" w:hAnsi="Times New Roman"/>
          <w:sz w:val="20"/>
        </w:rPr>
      </w:pPr>
      <w:r>
        <w:rPr>
          <w:rFonts w:ascii="Times New Roman" w:hAnsi="Times New Roman"/>
          <w:sz w:val="20"/>
        </w:rPr>
        <w:t xml:space="preserve">We continue to be encouraged by adintrevimabs potential as a prophylactic and treatment option for certain variants of SARS-CoV-2, which is supported by the positive data that met all primary endpoints from our global EVADE and STAMP trials. We continue to engage with the FDA and are closely monitoring the evolution of the virus and the </w:t>
      </w:r>
      <w:r>
        <w:rPr>
          <w:rFonts w:ascii="Times New Roman" w:hAnsi="Times New Roman"/>
          <w:i/>
          <w:sz w:val="20"/>
        </w:rPr>
        <w:t xml:space="preserve">in vitro </w:t>
      </w:r>
      <w:r>
        <w:rPr>
          <w:rFonts w:ascii="Times New Roman" w:hAnsi="Times New Roman"/>
          <w:sz w:val="20"/>
        </w:rPr>
        <w:t xml:space="preserve">activity of adintrevimab against predominant variants in the U.S. to determine the optimal timing for an EUA request, said David Hering, interim chief executive officer and chief operating officer of Adagio. Our efforts to improve antibody activity to the Omicron variant are ongoing, including modifications to adintrevimab and exploring higher doses in our Phase 1 trial. Additionally, we are advancing efforts to develop next generation monoclonal antibodies and move appropriate candidate(s) into preclinical testing. With capital to fuel our operations into the second half of 2024, we are confident in the road ahead for both Adagio and adintrevimab as we aim to bring differentiated antibody solutions forward for infectious disease. </w:t>
      </w:r>
    </w:p>
    <w:p>
      <w:pPr>
        <w:pStyle w:val="TextBody"/>
        <w:spacing w:before="360" w:after="0"/>
        <w:jc w:val="left"/>
        <w:rPr>
          <w:rFonts w:ascii="Times New Roman" w:hAnsi="Times New Roman"/>
          <w:sz w:val="20"/>
        </w:rPr>
      </w:pPr>
      <w:r>
        <w:rPr>
          <w:rFonts w:ascii="Times New Roman" w:hAnsi="Times New Roman"/>
          <w:b/>
          <w:sz w:val="20"/>
        </w:rPr>
        <w:t xml:space="preserve">Publication in </w:t>
      </w:r>
      <w:r>
        <w:rPr>
          <w:rFonts w:ascii="Times New Roman" w:hAnsi="Times New Roman"/>
          <w:b/>
          <w:i/>
          <w:sz w:val="20"/>
        </w:rPr>
        <w:t>Science Immunology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Research conducted by Adagios chief scientific officer, among others, was recently published online in </w:t>
      </w:r>
      <w:r>
        <w:rPr>
          <w:rFonts w:ascii="Times New Roman" w:hAnsi="Times New Roman"/>
          <w:i/>
          <w:sz w:val="20"/>
          <w:u w:val="single"/>
        </w:rPr>
        <w:t>Science Immunology</w:t>
      </w:r>
      <w:r>
        <w:rPr>
          <w:rFonts w:ascii="Times New Roman" w:hAnsi="Times New Roman"/>
          <w:sz w:val="20"/>
        </w:rPr>
        <w:t xml:space="preserve">. The publication, entitled Recall of pre-existing cross-reactive B cell memory following Omicron BA.1 breakthrough infection, is the first to describe the antibody response induced by Omicron breakthrough infection in molecular detail. </w:t>
      </w:r>
    </w:p>
    <w:p>
      <w:pPr>
        <w:pStyle w:val="TextBody"/>
        <w:spacing w:before="360" w:after="0"/>
        <w:jc w:val="left"/>
        <w:rPr>
          <w:rFonts w:ascii="Times New Roman" w:hAnsi="Times New Roman"/>
          <w:b/>
          <w:sz w:val="20"/>
        </w:rPr>
      </w:pPr>
      <w:r>
        <w:rPr>
          <w:rFonts w:ascii="Times New Roman" w:hAnsi="Times New Roman"/>
          <w:b/>
          <w:sz w:val="20"/>
        </w:rPr>
        <w:t xml:space="preserve">Upcoming Oral Data Presentation </w:t>
      </w:r>
    </w:p>
    <w:p>
      <w:pPr>
        <w:pStyle w:val="TextBody"/>
        <w:spacing w:before="120" w:after="0"/>
        <w:jc w:val="left"/>
        <w:rPr>
          <w:rFonts w:ascii="Times New Roman" w:hAnsi="Times New Roman"/>
          <w:sz w:val="20"/>
        </w:rPr>
      </w:pPr>
      <w:r>
        <w:rPr>
          <w:rFonts w:ascii="Times New Roman" w:hAnsi="Times New Roman"/>
          <w:sz w:val="20"/>
        </w:rPr>
        <w:t xml:space="preserve">Adagio plans to present additional data from its global Phase 2/3 STAMP COVID-19 treatment trial of adintrevimab at the American Society for Microbiology annual meeting taking place June 9-13, 2022, in Washington D.C. Details of the oral presentation are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Title:</w:t>
            </w:r>
            <w:r>
              <w:rPr>
                <w:rFonts w:ascii="Times New Roman" w:hAnsi="Times New Roman"/>
                <w:sz w:val="20"/>
              </w:rPr>
              <w:t xml:space="preserve"> Preliminary Results from the Phase 2/3 Randomized, Double-Blind, Placebo-Controlled Trial to Evaluate the Efficacy and Safety of Adintrevimab in the Treatment of Ambulatory Participants with Mild or Moderate COVID-19 (STAMP)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Date</w:t>
            </w:r>
            <w:r>
              <w:rPr>
                <w:rFonts w:ascii="Times New Roman" w:hAnsi="Times New Roman"/>
                <w:sz w:val="20"/>
              </w:rPr>
              <w:t> </w:t>
            </w:r>
            <w:r>
              <w:rPr>
                <w:rFonts w:ascii="Times New Roman" w:hAnsi="Times New Roman"/>
                <w:b/>
                <w:sz w:val="20"/>
              </w:rPr>
              <w:t>&amp; Time:</w:t>
            </w:r>
            <w:r>
              <w:rPr>
                <w:rFonts w:ascii="Times New Roman" w:hAnsi="Times New Roman"/>
                <w:sz w:val="20"/>
              </w:rPr>
              <w:t xml:space="preserve"> Saturday, June 11, 2022, between 9:15-10:05 a.m. ET </w:t>
            </w:r>
          </w:p>
        </w:tc>
      </w:tr>
    </w:tbl>
    <w:p>
      <w:pPr>
        <w:pStyle w:val="TextBody"/>
        <w:spacing w:before="360" w:after="0"/>
        <w:jc w:val="left"/>
        <w:rPr>
          <w:rFonts w:ascii="Times New Roman" w:hAnsi="Times New Roman"/>
          <w:b/>
          <w:sz w:val="20"/>
        </w:rPr>
      </w:pPr>
      <w:r>
        <w:rPr>
          <w:rFonts w:ascii="Times New Roman" w:hAnsi="Times New Roman"/>
          <w:b/>
          <w:sz w:val="20"/>
        </w:rPr>
        <w:t xml:space="preserve">First Quarter 2022 Financial Results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Cash Position:</w:t>
            </w:r>
            <w:r>
              <w:rPr>
                <w:rFonts w:ascii="Times New Roman" w:hAnsi="Times New Roman"/>
                <w:sz w:val="20"/>
              </w:rPr>
              <w:t xml:space="preserve"> Cash and cash equivalents were $532.2 million as of March 31,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Cash Runway:</w:t>
            </w:r>
            <w:r>
              <w:rPr>
                <w:rFonts w:ascii="Times New Roman" w:hAnsi="Times New Roman"/>
                <w:sz w:val="20"/>
              </w:rPr>
              <w:t xml:space="preserve"> Based on current operating plans, Adagio expects its existing total cash and cash equivalents will enable the company to fund its operating expenses into the second half of 2024.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Research</w:t>
            </w:r>
            <w:r>
              <w:rPr>
                <w:rFonts w:ascii="Times New Roman" w:hAnsi="Times New Roman"/>
                <w:sz w:val="20"/>
              </w:rPr>
              <w:t> </w:t>
            </w:r>
            <w:r>
              <w:rPr>
                <w:rFonts w:ascii="Times New Roman" w:hAnsi="Times New Roman"/>
                <w:b/>
                <w:sz w:val="20"/>
              </w:rPr>
              <w:t>&amp; Development (R&amp;D) Expenses:</w:t>
            </w:r>
            <w:r>
              <w:rPr>
                <w:rFonts w:ascii="Times New Roman" w:hAnsi="Times New Roman"/>
                <w:sz w:val="20"/>
              </w:rPr>
              <w:t xml:space="preserve"> R&amp;D expenses were $92.0 million for the first quarter of 2022, compared to $34.0 million for the comparable period of 2021. These increases are attributable to manufacturing validation and supply activities and ongoing clinical trial expenses. </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4867"/>
        <w:gridCol w:w="121"/>
        <w:gridCol w:w="5217"/>
      </w:tblGrid>
      <w:tr>
        <w:trPr/>
        <w:tc>
          <w:tcPr>
            <w:tcW w:w="486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5217" w:type="dxa"/>
            <w:tcBorders/>
            <w:shd w:fill="auto" w:val="clear"/>
            <w:vAlign w:val="center"/>
          </w:tcPr>
          <w:p>
            <w:pPr>
              <w:pStyle w:val="TableContents"/>
              <w:spacing w:before="0" w:after="283"/>
              <w:rPr>
                <w:sz w:val="4"/>
                <w:szCs w:val="4"/>
              </w:rPr>
            </w:pPr>
            <w:r>
              <w:rPr>
                <w:sz w:val="4"/>
                <w:szCs w:val="4"/>
              </w:rPr>
            </w:r>
          </w:p>
        </w:tc>
      </w:tr>
      <w:tr>
        <w:trPr/>
        <w:tc>
          <w:tcPr>
            <w:tcW w:w="4867"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217" w:type="dxa"/>
            <w:tcBorders/>
            <w:shd w:fill="auto" w:val="clear"/>
          </w:tcPr>
          <w:p>
            <w:pPr>
              <w:pStyle w:val="TableContents"/>
              <w:spacing w:before="0" w:after="283"/>
              <w:jc w:val="right"/>
              <w:rPr/>
            </w:pPr>
            <w:r>
              <w:rPr/>
              <w:drawing>
                <wp:inline distT="0" distB="0" distL="0" distR="0">
                  <wp:extent cx="1847850"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47850" cy="466725"/>
                          </a:xfrm>
                          <a:prstGeom prst="rect">
                            <a:avLst/>
                          </a:prstGeom>
                        </pic:spPr>
                      </pic:pic>
                    </a:graphicData>
                  </a:graphic>
                </wp:inline>
              </w:drawing>
            </w:r>
            <w:r>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Selling, General</w:t>
            </w:r>
            <w:r>
              <w:rPr>
                <w:rFonts w:ascii="Times New Roman" w:hAnsi="Times New Roman"/>
                <w:sz w:val="20"/>
              </w:rPr>
              <w:t> </w:t>
            </w:r>
            <w:r>
              <w:rPr>
                <w:rFonts w:ascii="Times New Roman" w:hAnsi="Times New Roman"/>
                <w:b/>
                <w:sz w:val="20"/>
              </w:rPr>
              <w:t>&amp; Administrative (SG&amp;A) Expenses:</w:t>
            </w:r>
            <w:r>
              <w:rPr>
                <w:rFonts w:ascii="Times New Roman" w:hAnsi="Times New Roman"/>
                <w:sz w:val="20"/>
              </w:rPr>
              <w:t xml:space="preserve"> SG&amp;A expenses were $8.7 million for the first quarter of 2022, compared to $3.7 million for the comparable period of 2021. These increases are attributable to higher expenses due to public company costs and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Net Loss and Net Loss per Share:</w:t>
            </w:r>
            <w:r>
              <w:rPr>
                <w:rFonts w:ascii="Times New Roman" w:hAnsi="Times New Roman"/>
                <w:sz w:val="20"/>
              </w:rPr>
              <w:t xml:space="preserve"> Net loss was $100.7 million for the first quarter of 2022, compared to $38.7 million for the comparable period in 2021. Basic and diluted net loss per share was $0.93 for the first quarter of 2022. </w:t>
            </w:r>
          </w:p>
        </w:tc>
      </w:tr>
    </w:tbl>
    <w:p>
      <w:pPr>
        <w:pStyle w:val="TextBody"/>
        <w:spacing w:before="360" w:after="0"/>
        <w:jc w:val="left"/>
        <w:rPr>
          <w:rFonts w:ascii="Times New Roman" w:hAnsi="Times New Roman"/>
          <w:b/>
          <w:sz w:val="20"/>
        </w:rPr>
      </w:pPr>
      <w:r>
        <w:rPr>
          <w:rFonts w:ascii="Times New Roman" w:hAnsi="Times New Roman"/>
          <w:b/>
          <w:sz w:val="20"/>
        </w:rPr>
        <w:t xml:space="preserve">About Adintrevimab </w:t>
      </w:r>
    </w:p>
    <w:p>
      <w:pPr>
        <w:pStyle w:val="TextBody"/>
        <w:spacing w:before="120" w:after="0"/>
        <w:jc w:val="left"/>
        <w:rPr>
          <w:rFonts w:ascii="Times New Roman" w:hAnsi="Times New Roman"/>
          <w:sz w:val="20"/>
        </w:rPr>
      </w:pPr>
      <w:r>
        <w:rPr>
          <w:rFonts w:ascii="Times New Roman" w:hAnsi="Times New Roman"/>
          <w:sz w:val="20"/>
        </w:rPr>
        <w:t xml:space="preserve">Adintrevimab (ADG20), Adagios lead product candidate, is designed to be a potent, broadly neutralizing antibody for both the prevention and treatment of COVID-19, including disease caused by most variants. Adintrevimab is being assessed in two separate Phase 2/3 clinical trials: the EVADE trial for the prevention of COVID-19 in both the post-exposure and pre-exposure settings, and the STAMP trial for the treatment of COVID-19. Preliminary data from these trials demonstrated that in the pre-Omicron population, adintrevimab met the primary endpoints across all three indications, demonstrating statistically significant and clinically meaningful efficacy. Across each of the trials, intramuscular (IM) administration of adintrevimab at the 300mg dose had a similar safety profile to that of placebo. Adintrevimab is also being evaluated in a Phase 1 study to evaluate safety and pharmacokinetics at higher doses and, as of an interim data cut, no study drug related adverse events, serious adverse events, injection-site reactions or hypersensitivity reactions were reported across all dose levels evaluated. Adintrevimab is an investigational monoclonal antibody that is not approved for use in any country. The safety and efficacy of adintrevimab have not been established. </w:t>
      </w:r>
    </w:p>
    <w:p>
      <w:pPr>
        <w:pStyle w:val="TextBody"/>
        <w:spacing w:before="360" w:after="0"/>
        <w:jc w:val="left"/>
        <w:rPr>
          <w:rFonts w:ascii="Times New Roman" w:hAnsi="Times New Roman"/>
          <w:b/>
          <w:sz w:val="20"/>
        </w:rPr>
      </w:pPr>
      <w:r>
        <w:rPr>
          <w:rFonts w:ascii="Times New Roman" w:hAnsi="Times New Roman"/>
          <w:b/>
          <w:sz w:val="20"/>
        </w:rPr>
        <w:t xml:space="preserve">About Adagio Therapeutics </w:t>
      </w:r>
    </w:p>
    <w:p>
      <w:pPr>
        <w:pStyle w:val="TextBody"/>
        <w:spacing w:before="120" w:after="0"/>
        <w:jc w:val="left"/>
        <w:rPr>
          <w:rFonts w:ascii="Times New Roman" w:hAnsi="Times New Roman"/>
          <w:sz w:val="20"/>
        </w:rPr>
      </w:pPr>
      <w:r>
        <w:rPr>
          <w:rFonts w:ascii="Times New Roman" w:hAnsi="Times New Roman"/>
          <w:sz w:val="20"/>
        </w:rPr>
        <w:t xml:space="preserve">Adagio (Nasdaq: ADGI) is a clinical-stage biopharmaceutical company focused on the discovery, development and commercialization of differentiated products for the prevention and treatment of infectious diseases. The company is developing its lead product candidate, adintrevimab, for the prevention and treatment of COVID-19, the disease caused by the virus SARS-CoV-2 and its variants. Beyond COVID-19, Adagio is leveraging robust antibody discovery and development capabilities that have enabled expedited advancement of adintrevimab into clinical trials to develop therapeutic or preventative options for other infectious diseases, such as additional coronaviruses and influenza. </w:t>
      </w:r>
    </w:p>
    <w:p>
      <w:pPr>
        <w:pStyle w:val="TextBody"/>
        <w:spacing w:before="0" w:after="0"/>
        <w:jc w:val="left"/>
        <w:rPr>
          <w:rFonts w:ascii="Times New Roman" w:hAnsi="Times New Roman"/>
          <w:sz w:val="20"/>
        </w:rPr>
      </w:pPr>
      <w:r>
        <w:rPr>
          <w:rFonts w:ascii="Times New Roman" w:hAnsi="Times New Roman"/>
          <w:sz w:val="20"/>
        </w:rPr>
        <w:t xml:space="preserve">Adintrevimab is an investigational monoclonal antibody that is not approved for use in any country. The safety and efficacy of adintrevimab have not been established. For more information, please visit www.adagiotx.com. </w:t>
      </w:r>
    </w:p>
    <w:p>
      <w:pPr>
        <w:pStyle w:val="TextBody"/>
        <w:spacing w:before="360" w:after="0"/>
        <w:jc w:val="left"/>
        <w:rPr>
          <w:rFonts w:ascii="Times New Roman" w:hAnsi="Times New Roman"/>
          <w:b/>
          <w:sz w:val="20"/>
        </w:rPr>
      </w:pPr>
      <w:r>
        <w:rPr>
          <w:rFonts w:ascii="Times New Roman" w:hAnsi="Times New Roman"/>
          <w:b/>
          <w:sz w:val="20"/>
        </w:rPr>
        <w:t xml:space="preserve">Cautionary Note Regarding Forward Looking Statements </w:t>
      </w:r>
    </w:p>
    <w:p>
      <w:pPr>
        <w:pStyle w:val="TextBody"/>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Words such as anticipates, believes, could, expects, intends, potential, projects, and future or similar expressions are intended to identify forward-looking statements. Forward-looking statements include statements concerning, among other things, our plans and strategies related to our emergency use authorization (EUA) submission for adintrevimab; our plans to advance adintrevimab as a potential prophylaxis and treatment option for COVID-19, including disease caused by most variants; our plans for continued communications with the U.S. Food and Drug Administration; our ongoing research and development plans, including our efforts to evaluate higher doses of adintrevimab to improve efficacy against, and to modify adintrevimab to improve binding to, the Omicron variant and its lineages, including BA.1 and BA.2; our plans to develop therapeutic or preventative options for other infectious diseases, such as additional coronaviruses and influenza; the accuracy of the companys estimates regarding expenses, capital requirements and needs for additional financing; the sufficiency of the companys existing capital resources to fund its future operating expenses and capital expenditure requirements; and other statements that are not historical fact. We may not actually achieve the plans, intentions or expectations disclosed in our forward-looking statements and you should not place undue reliance on our forward-looking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4867"/>
        <w:gridCol w:w="121"/>
        <w:gridCol w:w="5217"/>
      </w:tblGrid>
      <w:tr>
        <w:trPr/>
        <w:tc>
          <w:tcPr>
            <w:tcW w:w="486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5217" w:type="dxa"/>
            <w:tcBorders/>
            <w:shd w:fill="auto" w:val="clear"/>
            <w:vAlign w:val="center"/>
          </w:tcPr>
          <w:p>
            <w:pPr>
              <w:pStyle w:val="TableContents"/>
              <w:spacing w:before="0" w:after="283"/>
              <w:rPr>
                <w:sz w:val="4"/>
                <w:szCs w:val="4"/>
              </w:rPr>
            </w:pPr>
            <w:r>
              <w:rPr>
                <w:sz w:val="4"/>
                <w:szCs w:val="4"/>
              </w:rPr>
            </w:r>
          </w:p>
        </w:tc>
      </w:tr>
      <w:tr>
        <w:trPr/>
        <w:tc>
          <w:tcPr>
            <w:tcW w:w="4867"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217" w:type="dxa"/>
            <w:tcBorders/>
            <w:shd w:fill="auto" w:val="clear"/>
          </w:tcPr>
          <w:p>
            <w:pPr>
              <w:pStyle w:val="TableContents"/>
              <w:spacing w:before="0" w:after="283"/>
              <w:jc w:val="right"/>
              <w:rPr/>
            </w:pPr>
            <w:r>
              <w:rPr/>
              <w:drawing>
                <wp:inline distT="0" distB="0" distL="0" distR="0">
                  <wp:extent cx="1847850"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47850" cy="466725"/>
                          </a:xfrm>
                          <a:prstGeom prst="rect">
                            <a:avLst/>
                          </a:prstGeom>
                        </pic:spPr>
                      </pic:pic>
                    </a:graphicData>
                  </a:graphic>
                </wp:inline>
              </w:drawing>
            </w:r>
            <w:r>
              <w:rPr/>
              <w:t xml:space="preserve">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 and those of our collaborators, our clinical trials and our financial position; unexpected safety or efficacy data observed during preclinical studies or clinical trials; the predictability of clinical success of adintrevimab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and the uncertainties and timing of the regulatory approval process, including the outcome of our discussions with regulatory authorities concerning our Phase 2/3 clinical trials, whether adintrevimab is able to demonstrate activity against predominant SARS-CoV-2 variant(s) in the U.S., whether we are able to successfully submit an emergency use authorization in the future, and the outcome of any such emergency use application submission; whether research and development efforts will improve efficacy of adintrevimab against predominant variants or identify additional monoclonal antibodies for the prevention and treatment of COVID-19 and other infectious diseases; and whether we have adequate funding to meet future operating expenses and capital expenditure requirements into the second half of 2024. Other factors that may cause our actual results to differ materially from those expressed or implied in the forward-looking statements in this press release are described under the heading Risk Factors in our Annual Report on Form 10-K for the year ended December 31, 2021 filed with the Securities and Exchange Commission (the SEC), and in our other filings with the SEC, and in Adagios future reports to be filed with the SEC. Such risks may be amplified by the impacts of the COVID-19 pandemic. Forward-looking statements contained in this press release are made as of this date, and Adagio undertakes no duty to update such information except as required under applicable law. </w:t>
      </w:r>
    </w:p>
    <w:p>
      <w:pPr>
        <w:pStyle w:val="TextBody"/>
        <w:spacing w:before="240" w:after="0"/>
        <w:jc w:val="left"/>
        <w:rPr>
          <w:rFonts w:ascii="Times New Roman" w:hAnsi="Times New Roman"/>
          <w:sz w:val="20"/>
        </w:rPr>
      </w:pPr>
      <w:r>
        <w:rPr>
          <w:rFonts w:ascii="Times New Roman" w:hAnsi="Times New Roman"/>
          <w:sz w:val="20"/>
        </w:rPr>
        <w:t xml:space="preserve">This press release contains hyperlinks to information that is not deemed to be incorporated by reference in this press release. </w:t>
      </w:r>
    </w:p>
    <w:p>
      <w:pPr>
        <w:pStyle w:val="TextBody"/>
        <w:spacing w:before="360" w:after="0"/>
        <w:jc w:val="left"/>
        <w:rPr>
          <w:rFonts w:ascii="Times New Roman" w:hAnsi="Times New Roman"/>
          <w:b/>
          <w:sz w:val="20"/>
        </w:rPr>
      </w:pPr>
      <w:r>
        <w:rPr>
          <w:rFonts w:ascii="Times New Roman" w:hAnsi="Times New Roman"/>
          <w:b/>
          <w:sz w:val="20"/>
        </w:rPr>
        <w:t xml:space="preserve">Contacts </w:t>
      </w:r>
    </w:p>
    <w:tbl>
      <w:tblPr>
        <w:tblW w:w="5000" w:type="pct"/>
        <w:jc w:val="center"/>
        <w:tblInd w:w="0" w:type="dxa"/>
        <w:tblCellMar>
          <w:top w:w="0" w:type="dxa"/>
          <w:left w:w="0" w:type="dxa"/>
          <w:bottom w:w="0" w:type="dxa"/>
          <w:right w:w="0" w:type="dxa"/>
        </w:tblCellMar>
      </w:tblPr>
      <w:tblGrid>
        <w:gridCol w:w="7238"/>
        <w:gridCol w:w="120"/>
        <w:gridCol w:w="655"/>
        <w:gridCol w:w="120"/>
        <w:gridCol w:w="2072"/>
      </w:tblGrid>
      <w:tr>
        <w:trPr/>
        <w:tc>
          <w:tcPr>
            <w:tcW w:w="72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072" w:type="dxa"/>
            <w:tcBorders/>
            <w:shd w:fill="auto" w:val="clear"/>
            <w:vAlign w:val="center"/>
          </w:tcPr>
          <w:p>
            <w:pPr>
              <w:pStyle w:val="TableContents"/>
              <w:spacing w:before="0" w:after="283"/>
              <w:rPr>
                <w:sz w:val="4"/>
                <w:szCs w:val="4"/>
              </w:rPr>
            </w:pPr>
            <w:r>
              <w:rPr>
                <w:sz w:val="4"/>
                <w:szCs w:val="4"/>
              </w:rPr>
            </w:r>
          </w:p>
        </w:tc>
      </w:tr>
      <w:tr>
        <w:trPr/>
        <w:tc>
          <w:tcPr>
            <w:tcW w:w="7238" w:type="dxa"/>
            <w:tcBorders/>
            <w:shd w:fill="auto" w:val="clear"/>
          </w:tcPr>
          <w:p>
            <w:pPr>
              <w:pStyle w:val="TableContents"/>
              <w:spacing w:before="0" w:after="283"/>
              <w:rPr>
                <w:b/>
              </w:rPr>
            </w:pPr>
            <w:r>
              <w:rPr>
                <w:b/>
              </w:rPr>
              <w:t>Investor Contact:</w:t>
            </w:r>
          </w:p>
        </w:tc>
        <w:tc>
          <w:tcPr>
            <w:tcW w:w="120" w:type="dxa"/>
            <w:tcBorders/>
            <w:shd w:fill="auto" w:val="clear"/>
            <w:vAlign w:val="bottom"/>
          </w:tcPr>
          <w:p>
            <w:pPr>
              <w:pStyle w:val="TableContents"/>
              <w:spacing w:before="0" w:after="283"/>
              <w:rPr/>
            </w:pPr>
            <w:r>
              <w:rPr/>
              <w:t>  </w:t>
            </w:r>
          </w:p>
        </w:tc>
        <w:tc>
          <w:tcPr>
            <w:tcW w:w="65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072" w:type="dxa"/>
            <w:tcBorders/>
            <w:shd w:fill="auto" w:val="clear"/>
          </w:tcPr>
          <w:p>
            <w:pPr>
              <w:pStyle w:val="TableContents"/>
              <w:spacing w:before="0" w:after="283"/>
              <w:rPr>
                <w:b/>
              </w:rPr>
            </w:pPr>
            <w:r>
              <w:rPr>
                <w:b/>
              </w:rPr>
              <w:t>Media Contact:</w:t>
            </w:r>
          </w:p>
        </w:tc>
      </w:tr>
      <w:tr>
        <w:trPr/>
        <w:tc>
          <w:tcPr>
            <w:tcW w:w="7238" w:type="dxa"/>
            <w:tcBorders/>
            <w:shd w:fill="auto" w:val="clear"/>
          </w:tcPr>
          <w:p>
            <w:pPr>
              <w:pStyle w:val="TableContents"/>
              <w:spacing w:before="0" w:after="0"/>
              <w:rPr>
                <w:rFonts w:ascii="Times New Roman" w:hAnsi="Times New Roman"/>
                <w:sz w:val="20"/>
              </w:rPr>
            </w:pPr>
            <w:r>
              <w:rPr>
                <w:rFonts w:ascii="Times New Roman" w:hAnsi="Times New Roman"/>
                <w:sz w:val="20"/>
              </w:rPr>
              <w:t>Monique Allaire, THRUST Strategic Communications</w:t>
            </w:r>
          </w:p>
          <w:p>
            <w:pPr>
              <w:pStyle w:val="TableContents"/>
              <w:spacing w:before="0" w:after="20"/>
              <w:rPr>
                <w:rFonts w:ascii="Times New Roman" w:hAnsi="Times New Roman"/>
                <w:sz w:val="20"/>
                <w:u w:val="single"/>
              </w:rPr>
            </w:pPr>
            <w:r>
              <w:rPr>
                <w:rFonts w:ascii="Times New Roman" w:hAnsi="Times New Roman"/>
                <w:sz w:val="20"/>
                <w:u w:val="single"/>
              </w:rPr>
              <w:t xml:space="preserve">monique@thrustsc.com </w:t>
            </w:r>
          </w:p>
        </w:tc>
        <w:tc>
          <w:tcPr>
            <w:tcW w:w="120" w:type="dxa"/>
            <w:tcBorders/>
            <w:shd w:fill="auto" w:val="clear"/>
            <w:vAlign w:val="bottom"/>
          </w:tcPr>
          <w:p>
            <w:pPr>
              <w:pStyle w:val="TableContents"/>
              <w:spacing w:before="0" w:after="283"/>
              <w:rPr/>
            </w:pPr>
            <w:r>
              <w:rPr/>
              <w:t>  </w:t>
            </w:r>
          </w:p>
        </w:tc>
        <w:tc>
          <w:tcPr>
            <w:tcW w:w="65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072" w:type="dxa"/>
            <w:tcBorders/>
            <w:shd w:fill="auto" w:val="clear"/>
          </w:tcPr>
          <w:p>
            <w:pPr>
              <w:pStyle w:val="TableContents"/>
              <w:spacing w:before="0" w:after="0"/>
              <w:rPr>
                <w:rFonts w:ascii="Times New Roman" w:hAnsi="Times New Roman"/>
                <w:sz w:val="20"/>
              </w:rPr>
            </w:pPr>
            <w:r>
              <w:rPr>
                <w:rFonts w:ascii="Times New Roman" w:hAnsi="Times New Roman"/>
                <w:sz w:val="20"/>
              </w:rPr>
              <w:t>Dan Budwick, 1AB</w:t>
            </w:r>
          </w:p>
          <w:p>
            <w:pPr>
              <w:pStyle w:val="TableContents"/>
              <w:spacing w:before="0" w:after="20"/>
              <w:rPr>
                <w:rFonts w:ascii="Times New Roman" w:hAnsi="Times New Roman"/>
                <w:sz w:val="20"/>
              </w:rPr>
            </w:pPr>
            <w:r>
              <w:rPr>
                <w:rFonts w:ascii="Times New Roman" w:hAnsi="Times New Roman"/>
                <w:sz w:val="20"/>
              </w:rPr>
              <w:t>dan</w:t>
            </w:r>
            <w:r>
              <w:rPr>
                <w:rFonts w:ascii="Times New Roman" w:hAnsi="Times New Roman"/>
                <w:sz w:val="20"/>
                <w:u w:val="single"/>
              </w:rPr>
              <w:t>@1abmedia.com</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4867"/>
        <w:gridCol w:w="121"/>
        <w:gridCol w:w="5217"/>
      </w:tblGrid>
      <w:tr>
        <w:trPr/>
        <w:tc>
          <w:tcPr>
            <w:tcW w:w="486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5217" w:type="dxa"/>
            <w:tcBorders/>
            <w:shd w:fill="auto" w:val="clear"/>
            <w:vAlign w:val="center"/>
          </w:tcPr>
          <w:p>
            <w:pPr>
              <w:pStyle w:val="TableContents"/>
              <w:spacing w:before="0" w:after="283"/>
              <w:rPr>
                <w:sz w:val="4"/>
                <w:szCs w:val="4"/>
              </w:rPr>
            </w:pPr>
            <w:r>
              <w:rPr>
                <w:sz w:val="4"/>
                <w:szCs w:val="4"/>
              </w:rPr>
            </w:r>
          </w:p>
        </w:tc>
      </w:tr>
      <w:tr>
        <w:trPr/>
        <w:tc>
          <w:tcPr>
            <w:tcW w:w="4867"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217" w:type="dxa"/>
            <w:tcBorders/>
            <w:shd w:fill="auto" w:val="clear"/>
          </w:tcPr>
          <w:p>
            <w:pPr>
              <w:pStyle w:val="TableContents"/>
              <w:spacing w:before="0" w:after="283"/>
              <w:jc w:val="right"/>
              <w:rPr/>
            </w:pPr>
            <w:r>
              <w:rPr/>
              <w:drawing>
                <wp:inline distT="0" distB="0" distL="0" distR="0">
                  <wp:extent cx="1847850" cy="46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47850" cy="466725"/>
                          </a:xfrm>
                          <a:prstGeom prst="rect">
                            <a:avLst/>
                          </a:prstGeom>
                        </pic:spPr>
                      </pic:pic>
                    </a:graphicData>
                  </a:graphic>
                </wp:inline>
              </w:drawing>
            </w:r>
            <w:r>
              <w:rPr/>
              <w:t xml:space="preserve"> </w:t>
            </w:r>
          </w:p>
        </w:tc>
      </w:tr>
    </w:tbl>
    <w:p>
      <w:pPr>
        <w:pStyle w:val="TextBody"/>
        <w:spacing w:before="0" w:after="0"/>
        <w:jc w:val="left"/>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ADAGIO THERAPEUTICS, INC. </w:t>
      </w:r>
    </w:p>
    <w:p>
      <w:pPr>
        <w:pStyle w:val="TextBody"/>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632"/>
        <w:gridCol w:w="229"/>
        <w:gridCol w:w="140"/>
        <w:gridCol w:w="1084"/>
        <w:gridCol w:w="155"/>
        <w:gridCol w:w="183"/>
        <w:gridCol w:w="140"/>
        <w:gridCol w:w="1483"/>
        <w:gridCol w:w="159"/>
      </w:tblGrid>
      <w:tr>
        <w:trPr/>
        <w:tc>
          <w:tcPr>
            <w:tcW w:w="6632"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632" w:type="dxa"/>
            <w:tcBorders/>
            <w:shd w:fill="CCEEFF" w:val="clear"/>
            <w:vAlign w:val="bottom"/>
          </w:tcPr>
          <w:p>
            <w:pPr>
              <w:pStyle w:val="TableContents"/>
              <w:spacing w:before="0" w:after="283"/>
              <w:rPr>
                <w:sz w:val="4"/>
                <w:szCs w:val="4"/>
              </w:rPr>
            </w:pPr>
            <w:r>
              <w:rPr>
                <w:sz w:val="4"/>
                <w:szCs w:val="4"/>
              </w:rPr>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center"/>
              <w:rPr>
                <w:b/>
              </w:rPr>
            </w:pPr>
            <w:r>
              <w:rPr>
                <w:b/>
              </w:rPr>
              <w:t>March 31,</w:t>
              <w:br/>
              <w:t>2022</w:t>
            </w:r>
          </w:p>
        </w:tc>
        <w:tc>
          <w:tcPr>
            <w:tcW w:w="155" w:type="dxa"/>
            <w:tcBorders/>
            <w:shd w:fill="CCEEFF" w:val="clear"/>
            <w:vAlign w:val="bottom"/>
          </w:tcPr>
          <w:p>
            <w:pPr>
              <w:pStyle w:val="TableContents"/>
              <w:spacing w:before="0" w:after="283"/>
              <w:rPr>
                <w:b/>
              </w:rPr>
            </w:pPr>
            <w:r>
              <w:rPr>
                <w:b/>
              </w:rPr>
              <w:b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83" w:type="dxa"/>
            <w:tcBorders/>
            <w:shd w:fill="CCEEFF" w:val="clear"/>
            <w:vAlign w:val="bottom"/>
          </w:tcPr>
          <w:p>
            <w:pPr>
              <w:pStyle w:val="TableContents"/>
              <w:spacing w:before="0" w:after="283"/>
              <w:jc w:val="center"/>
              <w:rPr>
                <w:b/>
              </w:rPr>
            </w:pPr>
            <w:r>
              <w:rPr>
                <w:b/>
              </w:rPr>
              <w:t>December 31,</w:t>
              <w:br/>
              <w:t>2021</w:t>
            </w:r>
          </w:p>
        </w:tc>
        <w:tc>
          <w:tcPr>
            <w:tcW w:w="159" w:type="dxa"/>
            <w:tcBorders/>
            <w:shd w:fill="CCEEFF" w:val="clear"/>
            <w:vAlign w:val="bottom"/>
          </w:tcPr>
          <w:p>
            <w:pPr>
              <w:pStyle w:val="TableContents"/>
              <w:spacing w:before="0" w:after="283"/>
              <w:rPr>
                <w:b/>
              </w:rPr>
            </w:pPr>
            <w:r>
              <w:rPr>
                <w:b/>
              </w:rPr>
              <w:br/>
              <w:t> </w:t>
            </w:r>
          </w:p>
        </w:tc>
      </w:tr>
      <w:tr>
        <w:trPr/>
        <w:tc>
          <w:tcPr>
            <w:tcW w:w="6632"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Assets</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483"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Current assets:</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8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483"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3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Cash and cash equivalents</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84" w:type="dxa"/>
            <w:tcBorders/>
            <w:shd w:fill="auto" w:val="clear"/>
            <w:vAlign w:val="bottom"/>
          </w:tcPr>
          <w:p>
            <w:pPr>
              <w:pStyle w:val="TableContents"/>
              <w:spacing w:before="0" w:after="283"/>
              <w:jc w:val="right"/>
              <w:rPr/>
            </w:pPr>
            <w:r>
              <w:rPr/>
              <w:t>532,220</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483" w:type="dxa"/>
            <w:tcBorders/>
            <w:shd w:fill="auto" w:val="clear"/>
            <w:vAlign w:val="bottom"/>
          </w:tcPr>
          <w:p>
            <w:pPr>
              <w:pStyle w:val="TableContents"/>
              <w:spacing w:before="0" w:after="283"/>
              <w:jc w:val="right"/>
              <w:rPr/>
            </w:pPr>
            <w:r>
              <w:rPr/>
              <w:t>542,224</w:t>
            </w:r>
          </w:p>
        </w:tc>
        <w:tc>
          <w:tcPr>
            <w:tcW w:w="159" w:type="dxa"/>
            <w:tcBorders/>
            <w:shd w:fill="auto" w:val="clear"/>
            <w:vAlign w:val="bottom"/>
          </w:tcPr>
          <w:p>
            <w:pPr>
              <w:pStyle w:val="TableContents"/>
              <w:spacing w:before="0" w:after="283"/>
              <w:rPr/>
            </w:pPr>
            <w:r>
              <w:rPr/>
              <w:t> </w:t>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Marketable securities</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83" w:type="dxa"/>
            <w:tcBorders/>
            <w:shd w:fill="CCEEFF" w:val="clear"/>
            <w:vAlign w:val="bottom"/>
          </w:tcPr>
          <w:p>
            <w:pPr>
              <w:pStyle w:val="TableContents"/>
              <w:spacing w:before="0" w:after="283"/>
              <w:jc w:val="right"/>
              <w:rPr/>
            </w:pPr>
            <w:r>
              <w:rPr/>
              <w:t>49,194</w:t>
            </w:r>
          </w:p>
        </w:tc>
        <w:tc>
          <w:tcPr>
            <w:tcW w:w="159" w:type="dxa"/>
            <w:tcBorders/>
            <w:shd w:fill="CCEEFF" w:val="clear"/>
            <w:vAlign w:val="bottom"/>
          </w:tcPr>
          <w:p>
            <w:pPr>
              <w:pStyle w:val="TableContents"/>
              <w:spacing w:before="0" w:after="283"/>
              <w:rPr/>
            </w:pPr>
            <w:r>
              <w:rPr/>
              <w:t> </w:t>
            </w:r>
          </w:p>
        </w:tc>
      </w:tr>
      <w:tr>
        <w:trPr/>
        <w:tc>
          <w:tcPr>
            <w:tcW w:w="6632" w:type="dxa"/>
            <w:tcBorders/>
            <w:shd w:fill="auto" w:val="clear"/>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22,081</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83" w:type="dxa"/>
            <w:tcBorders/>
            <w:shd w:fill="auto" w:val="clear"/>
            <w:vAlign w:val="bottom"/>
          </w:tcPr>
          <w:p>
            <w:pPr>
              <w:pStyle w:val="TableContents"/>
              <w:spacing w:before="0" w:after="283"/>
              <w:jc w:val="right"/>
              <w:rPr/>
            </w:pPr>
            <w:r>
              <w:rPr/>
              <w:t>25,293</w:t>
            </w:r>
          </w:p>
        </w:tc>
        <w:tc>
          <w:tcPr>
            <w:tcW w:w="159" w:type="dxa"/>
            <w:tcBorders/>
            <w:shd w:fill="auto"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48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assets</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554,301</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83" w:type="dxa"/>
            <w:tcBorders/>
            <w:shd w:fill="CCEEFF" w:val="clear"/>
            <w:vAlign w:val="bottom"/>
          </w:tcPr>
          <w:p>
            <w:pPr>
              <w:pStyle w:val="TableContents"/>
              <w:spacing w:before="0" w:after="283"/>
              <w:jc w:val="right"/>
              <w:rPr/>
            </w:pPr>
            <w:r>
              <w:rPr/>
              <w:t>616,711</w:t>
            </w:r>
          </w:p>
        </w:tc>
        <w:tc>
          <w:tcPr>
            <w:tcW w:w="159" w:type="dxa"/>
            <w:tcBorders/>
            <w:shd w:fill="CCEEFF" w:val="clear"/>
            <w:vAlign w:val="bottom"/>
          </w:tcPr>
          <w:p>
            <w:pPr>
              <w:pStyle w:val="TableContents"/>
              <w:spacing w:before="0" w:after="283"/>
              <w:rPr/>
            </w:pPr>
            <w:r>
              <w:rPr/>
              <w:t> </w:t>
            </w:r>
          </w:p>
        </w:tc>
      </w:tr>
      <w:tr>
        <w:trPr/>
        <w:tc>
          <w:tcPr>
            <w:tcW w:w="6632" w:type="dxa"/>
            <w:tcBorders/>
            <w:shd w:fill="auto" w:val="clear"/>
          </w:tcPr>
          <w:p>
            <w:pPr>
              <w:pStyle w:val="TableContents"/>
              <w:spacing w:before="0" w:after="0"/>
              <w:rPr>
                <w:rFonts w:ascii="Times New Roman" w:hAnsi="Times New Roman"/>
                <w:sz w:val="20"/>
              </w:rPr>
            </w:pPr>
            <w:r>
              <w:rPr>
                <w:rFonts w:ascii="Times New Roman" w:hAnsi="Times New Roman"/>
                <w:sz w:val="20"/>
              </w:rPr>
              <w:t>Property and equipment, net</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87</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83" w:type="dxa"/>
            <w:tcBorders/>
            <w:shd w:fill="auto" w:val="clear"/>
            <w:vAlign w:val="bottom"/>
          </w:tcPr>
          <w:p>
            <w:pPr>
              <w:pStyle w:val="TableContents"/>
              <w:spacing w:before="0" w:after="283"/>
              <w:jc w:val="right"/>
              <w:rPr/>
            </w:pPr>
            <w:r>
              <w:rPr/>
              <w:t>83</w:t>
            </w:r>
          </w:p>
        </w:tc>
        <w:tc>
          <w:tcPr>
            <w:tcW w:w="159" w:type="dxa"/>
            <w:tcBorders/>
            <w:shd w:fill="auto" w:val="clear"/>
            <w:vAlign w:val="bottom"/>
          </w:tcPr>
          <w:p>
            <w:pPr>
              <w:pStyle w:val="TableContents"/>
              <w:spacing w:before="0" w:after="283"/>
              <w:rPr/>
            </w:pPr>
            <w:r>
              <w:rPr/>
              <w:t> </w:t>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lease right-of-use asset</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1,648</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83"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632"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assets</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237</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83" w:type="dxa"/>
            <w:tcBorders/>
            <w:shd w:fill="auto" w:val="clear"/>
            <w:vAlign w:val="bottom"/>
          </w:tcPr>
          <w:p>
            <w:pPr>
              <w:pStyle w:val="TableContents"/>
              <w:spacing w:before="0" w:after="283"/>
              <w:jc w:val="right"/>
              <w:rPr/>
            </w:pPr>
            <w:r>
              <w:rPr/>
              <w:t>3,297</w:t>
            </w:r>
          </w:p>
        </w:tc>
        <w:tc>
          <w:tcPr>
            <w:tcW w:w="159" w:type="dxa"/>
            <w:tcBorders/>
            <w:shd w:fill="auto"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48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84" w:type="dxa"/>
            <w:tcBorders/>
            <w:shd w:fill="CCEEFF" w:val="clear"/>
            <w:vAlign w:val="bottom"/>
          </w:tcPr>
          <w:p>
            <w:pPr>
              <w:pStyle w:val="TableContents"/>
              <w:spacing w:before="0" w:after="283"/>
              <w:jc w:val="right"/>
              <w:rPr/>
            </w:pPr>
            <w:r>
              <w:rPr/>
              <w:t>556,273</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483" w:type="dxa"/>
            <w:tcBorders/>
            <w:shd w:fill="CCEEFF" w:val="clear"/>
            <w:vAlign w:val="bottom"/>
          </w:tcPr>
          <w:p>
            <w:pPr>
              <w:pStyle w:val="TableContents"/>
              <w:spacing w:before="0" w:after="283"/>
              <w:jc w:val="right"/>
              <w:rPr/>
            </w:pPr>
            <w:r>
              <w:rPr/>
              <w:t>620,091</w:t>
            </w:r>
          </w:p>
        </w:tc>
        <w:tc>
          <w:tcPr>
            <w:tcW w:w="159" w:type="dxa"/>
            <w:tcBorders/>
            <w:shd w:fill="CCEEFF"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8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483"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32"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Liabilities, Convertible Preferred Stock and Stockholders Equity (Deficit)</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483"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8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483"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3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Accounts payable</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84" w:type="dxa"/>
            <w:tcBorders/>
            <w:shd w:fill="auto" w:val="clear"/>
            <w:vAlign w:val="bottom"/>
          </w:tcPr>
          <w:p>
            <w:pPr>
              <w:pStyle w:val="TableContents"/>
              <w:spacing w:before="0" w:after="283"/>
              <w:jc w:val="right"/>
              <w:rPr/>
            </w:pPr>
            <w:r>
              <w:rPr/>
              <w:t>18,682</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483" w:type="dxa"/>
            <w:tcBorders/>
            <w:shd w:fill="auto" w:val="clear"/>
            <w:vAlign w:val="bottom"/>
          </w:tcPr>
          <w:p>
            <w:pPr>
              <w:pStyle w:val="TableContents"/>
              <w:spacing w:before="0" w:after="283"/>
              <w:jc w:val="right"/>
              <w:rPr/>
            </w:pPr>
            <w:r>
              <w:rPr/>
              <w:t>5,783</w:t>
            </w:r>
          </w:p>
        </w:tc>
        <w:tc>
          <w:tcPr>
            <w:tcW w:w="159" w:type="dxa"/>
            <w:tcBorders/>
            <w:shd w:fill="auto" w:val="clear"/>
            <w:vAlign w:val="bottom"/>
          </w:tcPr>
          <w:p>
            <w:pPr>
              <w:pStyle w:val="TableContents"/>
              <w:spacing w:before="0" w:after="283"/>
              <w:rPr/>
            </w:pPr>
            <w:r>
              <w:rPr/>
              <w:t> </w:t>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76,537</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83" w:type="dxa"/>
            <w:tcBorders/>
            <w:shd w:fill="CCEEFF" w:val="clear"/>
            <w:vAlign w:val="bottom"/>
          </w:tcPr>
          <w:p>
            <w:pPr>
              <w:pStyle w:val="TableContents"/>
              <w:spacing w:before="0" w:after="283"/>
              <w:jc w:val="right"/>
              <w:rPr/>
            </w:pPr>
            <w:r>
              <w:rPr/>
              <w:t>56,277</w:t>
            </w:r>
          </w:p>
        </w:tc>
        <w:tc>
          <w:tcPr>
            <w:tcW w:w="159" w:type="dxa"/>
            <w:tcBorders/>
            <w:shd w:fill="CCEEFF" w:val="clear"/>
            <w:vAlign w:val="bottom"/>
          </w:tcPr>
          <w:p>
            <w:pPr>
              <w:pStyle w:val="TableContents"/>
              <w:spacing w:before="0" w:after="283"/>
              <w:rPr/>
            </w:pPr>
            <w:r>
              <w:rPr/>
              <w:t> </w:t>
            </w:r>
          </w:p>
        </w:tc>
      </w:tr>
      <w:tr>
        <w:trPr/>
        <w:tc>
          <w:tcPr>
            <w:tcW w:w="6632" w:type="dxa"/>
            <w:tcBorders/>
            <w:shd w:fill="auto" w:val="clear"/>
          </w:tcPr>
          <w:p>
            <w:pPr>
              <w:pStyle w:val="TableContents"/>
              <w:spacing w:before="0" w:after="0"/>
              <w:rPr>
                <w:rFonts w:ascii="Times New Roman" w:hAnsi="Times New Roman"/>
                <w:sz w:val="20"/>
              </w:rPr>
            </w:pPr>
            <w:r>
              <w:rPr>
                <w:rFonts w:ascii="Times New Roman" w:hAnsi="Times New Roman"/>
                <w:sz w:val="20"/>
              </w:rPr>
              <w:t>Operating lease liability, current</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315</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83"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48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95,534</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83" w:type="dxa"/>
            <w:tcBorders/>
            <w:shd w:fill="CCEEFF" w:val="clear"/>
            <w:vAlign w:val="bottom"/>
          </w:tcPr>
          <w:p>
            <w:pPr>
              <w:pStyle w:val="TableContents"/>
              <w:spacing w:before="0" w:after="283"/>
              <w:jc w:val="right"/>
              <w:rPr/>
            </w:pPr>
            <w:r>
              <w:rPr/>
              <w:t>62,060</w:t>
            </w:r>
          </w:p>
        </w:tc>
        <w:tc>
          <w:tcPr>
            <w:tcW w:w="159" w:type="dxa"/>
            <w:tcBorders/>
            <w:shd w:fill="CCEEFF"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48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32" w:type="dxa"/>
            <w:tcBorders/>
            <w:shd w:fill="auto" w:val="clear"/>
          </w:tcPr>
          <w:p>
            <w:pPr>
              <w:pStyle w:val="TableContents"/>
              <w:spacing w:before="0" w:after="0"/>
              <w:rPr>
                <w:rFonts w:ascii="Times New Roman" w:hAnsi="Times New Roman"/>
                <w:sz w:val="20"/>
              </w:rPr>
            </w:pPr>
            <w:r>
              <w:rPr>
                <w:rFonts w:ascii="Times New Roman" w:hAnsi="Times New Roman"/>
                <w:sz w:val="20"/>
              </w:rPr>
              <w:t>Early-exercise liability</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83" w:type="dxa"/>
            <w:tcBorders/>
            <w:shd w:fill="auto" w:val="clear"/>
            <w:vAlign w:val="bottom"/>
          </w:tcPr>
          <w:p>
            <w:pPr>
              <w:pStyle w:val="TableContents"/>
              <w:spacing w:before="0" w:after="283"/>
              <w:jc w:val="right"/>
              <w:rPr/>
            </w:pPr>
            <w:r>
              <w:rPr/>
              <w:t>6</w:t>
            </w:r>
          </w:p>
        </w:tc>
        <w:tc>
          <w:tcPr>
            <w:tcW w:w="159" w:type="dxa"/>
            <w:tcBorders/>
            <w:shd w:fill="auto" w:val="clear"/>
            <w:vAlign w:val="bottom"/>
          </w:tcPr>
          <w:p>
            <w:pPr>
              <w:pStyle w:val="TableContents"/>
              <w:spacing w:before="0" w:after="283"/>
              <w:rPr/>
            </w:pPr>
            <w:r>
              <w:rPr/>
              <w:t> </w:t>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lease liability, non-current</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1,344</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83"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632"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liability</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83" w:type="dxa"/>
            <w:tcBorders/>
            <w:shd w:fill="auto" w:val="clear"/>
            <w:vAlign w:val="bottom"/>
          </w:tcPr>
          <w:p>
            <w:pPr>
              <w:pStyle w:val="TableContents"/>
              <w:spacing w:before="0" w:after="283"/>
              <w:jc w:val="right"/>
              <w:rPr/>
            </w:pPr>
            <w:r>
              <w:rPr/>
              <w:t>6</w:t>
            </w:r>
          </w:p>
        </w:tc>
        <w:tc>
          <w:tcPr>
            <w:tcW w:w="159" w:type="dxa"/>
            <w:tcBorders/>
            <w:shd w:fill="auto"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48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96,881</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83" w:type="dxa"/>
            <w:tcBorders/>
            <w:shd w:fill="CCEEFF" w:val="clear"/>
            <w:vAlign w:val="bottom"/>
          </w:tcPr>
          <w:p>
            <w:pPr>
              <w:pStyle w:val="TableContents"/>
              <w:spacing w:before="0" w:after="283"/>
              <w:jc w:val="right"/>
              <w:rPr/>
            </w:pPr>
            <w:r>
              <w:rPr/>
              <w:t>62,072</w:t>
            </w:r>
          </w:p>
        </w:tc>
        <w:tc>
          <w:tcPr>
            <w:tcW w:w="159" w:type="dxa"/>
            <w:tcBorders/>
            <w:shd w:fill="CCEEFF"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48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32" w:type="dxa"/>
            <w:tcBorders/>
            <w:shd w:fill="auto" w:val="clear"/>
          </w:tcPr>
          <w:p>
            <w:pPr>
              <w:pStyle w:val="TableContents"/>
              <w:spacing w:before="0" w:after="0"/>
              <w:rPr>
                <w:rFonts w:ascii="Times New Roman" w:hAnsi="Times New Roman"/>
                <w:sz w:val="20"/>
              </w:rPr>
            </w:pPr>
            <w:r>
              <w:rPr>
                <w:rFonts w:ascii="Times New Roman" w:hAnsi="Times New Roman"/>
                <w:sz w:val="20"/>
              </w:rPr>
              <w:t>Commitments and contingencies</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483"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Stockholders equity (deficit):</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8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483"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32"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Preferred stock (undesignated), $0.0001 par value; 10,000,000 shares </w:t>
              <w:br/>
              <w:t xml:space="preserve">authorized and no shares issued and outstanding at March 31, 2022 </w:t>
              <w:br/>
              <w:t>and December 31 2021</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83"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 xml:space="preserve">Common stock, $0.0001 par value; 1,000,000,000 shares authorized, </w:t>
              <w:br/>
              <w:t xml:space="preserve">109,675,173 shares issued and outstanding at March 31, 2022; </w:t>
              <w:br/>
              <w:t xml:space="preserve">1,000,000,000 shares authorized, 111,251,660 shares </w:t>
              <w:br/>
              <w:t>issued and 110,782,909 shares outstanding at December 31, 2021</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11</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83" w:type="dxa"/>
            <w:tcBorders/>
            <w:shd w:fill="CCEEFF" w:val="clear"/>
            <w:vAlign w:val="bottom"/>
          </w:tcPr>
          <w:p>
            <w:pPr>
              <w:pStyle w:val="TableContents"/>
              <w:spacing w:before="0" w:after="283"/>
              <w:jc w:val="right"/>
              <w:rPr/>
            </w:pPr>
            <w:r>
              <w:rPr/>
              <w:t>11</w:t>
            </w:r>
          </w:p>
        </w:tc>
        <w:tc>
          <w:tcPr>
            <w:tcW w:w="159" w:type="dxa"/>
            <w:tcBorders/>
            <w:shd w:fill="CCEEFF" w:val="clear"/>
            <w:vAlign w:val="bottom"/>
          </w:tcPr>
          <w:p>
            <w:pPr>
              <w:pStyle w:val="TableContents"/>
              <w:spacing w:before="0" w:after="283"/>
              <w:rPr/>
            </w:pPr>
            <w:r>
              <w:rPr/>
              <w:t> </w:t>
            </w:r>
          </w:p>
        </w:tc>
      </w:tr>
      <w:tr>
        <w:trPr/>
        <w:tc>
          <w:tcPr>
            <w:tcW w:w="6632"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Treasury stock, at cost; 0 shares and 468,751 shares at </w:t>
              <w:br/>
              <w:t>March 31, 2022 and December 31, 2021, respectively</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83"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Additional paid-in capital</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852,156</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83" w:type="dxa"/>
            <w:tcBorders/>
            <w:shd w:fill="CCEEFF" w:val="clear"/>
            <w:vAlign w:val="bottom"/>
          </w:tcPr>
          <w:p>
            <w:pPr>
              <w:pStyle w:val="TableContents"/>
              <w:spacing w:before="0" w:after="283"/>
              <w:jc w:val="right"/>
              <w:rPr/>
            </w:pPr>
            <w:r>
              <w:rPr/>
              <w:t>850,125</w:t>
            </w:r>
          </w:p>
        </w:tc>
        <w:tc>
          <w:tcPr>
            <w:tcW w:w="159" w:type="dxa"/>
            <w:tcBorders/>
            <w:shd w:fill="CCEEFF" w:val="clear"/>
            <w:vAlign w:val="bottom"/>
          </w:tcPr>
          <w:p>
            <w:pPr>
              <w:pStyle w:val="TableContents"/>
              <w:spacing w:before="0" w:after="283"/>
              <w:rPr/>
            </w:pPr>
            <w:r>
              <w:rPr/>
              <w:t> </w:t>
            </w:r>
          </w:p>
        </w:tc>
      </w:tr>
      <w:tr>
        <w:trPr/>
        <w:tc>
          <w:tcPr>
            <w:tcW w:w="6632"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other comprehensive loss</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83" w:type="dxa"/>
            <w:tcBorders/>
            <w:shd w:fill="auto" w:val="clear"/>
            <w:vAlign w:val="bottom"/>
          </w:tcPr>
          <w:p>
            <w:pPr>
              <w:pStyle w:val="TableContents"/>
              <w:spacing w:before="0" w:after="283"/>
              <w:jc w:val="right"/>
              <w:rPr/>
            </w:pPr>
            <w:r>
              <w:rPr/>
              <w:t>(8</w:t>
            </w:r>
          </w:p>
        </w:tc>
        <w:tc>
          <w:tcPr>
            <w:tcW w:w="159" w:type="dxa"/>
            <w:tcBorders/>
            <w:shd w:fill="auto" w:val="clear"/>
            <w:vAlign w:val="bottom"/>
          </w:tcPr>
          <w:p>
            <w:pPr>
              <w:pStyle w:val="TableContents"/>
              <w:spacing w:before="0" w:after="283"/>
              <w:rPr/>
            </w:pPr>
            <w:r>
              <w:rPr/>
              <w:t>) </w:t>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(392,775</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83" w:type="dxa"/>
            <w:tcBorders/>
            <w:shd w:fill="CCEEFF" w:val="clear"/>
            <w:vAlign w:val="bottom"/>
          </w:tcPr>
          <w:p>
            <w:pPr>
              <w:pStyle w:val="TableContents"/>
              <w:spacing w:before="0" w:after="283"/>
              <w:jc w:val="right"/>
              <w:rPr/>
            </w:pPr>
            <w:r>
              <w:rPr/>
              <w:t>(292,109</w:t>
            </w:r>
          </w:p>
        </w:tc>
        <w:tc>
          <w:tcPr>
            <w:tcW w:w="159" w:type="dxa"/>
            <w:tcBorders/>
            <w:shd w:fill="CCEEFF"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48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32" w:type="dxa"/>
            <w:tcBorders/>
            <w:shd w:fill="auto" w:val="clear"/>
          </w:tcPr>
          <w:p>
            <w:pPr>
              <w:pStyle w:val="TableContents"/>
              <w:spacing w:before="0" w:after="0"/>
              <w:rPr>
                <w:rFonts w:ascii="Times New Roman" w:hAnsi="Times New Roman"/>
                <w:sz w:val="20"/>
              </w:rPr>
            </w:pPr>
            <w:r>
              <w:rPr>
                <w:rFonts w:ascii="Times New Roman" w:hAnsi="Times New Roman"/>
                <w:sz w:val="20"/>
              </w:rPr>
              <w:t>Total stockholders equity (deficit)</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459,392</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83" w:type="dxa"/>
            <w:tcBorders/>
            <w:shd w:fill="auto" w:val="clear"/>
            <w:vAlign w:val="bottom"/>
          </w:tcPr>
          <w:p>
            <w:pPr>
              <w:pStyle w:val="TableContents"/>
              <w:spacing w:before="0" w:after="283"/>
              <w:jc w:val="right"/>
              <w:rPr/>
            </w:pPr>
            <w:r>
              <w:rPr/>
              <w:t>558,019</w:t>
            </w:r>
          </w:p>
        </w:tc>
        <w:tc>
          <w:tcPr>
            <w:tcW w:w="159" w:type="dxa"/>
            <w:tcBorders/>
            <w:shd w:fill="auto"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48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32"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 convertible preferred stock and stockholders equity (deficit)</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84" w:type="dxa"/>
            <w:tcBorders/>
            <w:shd w:fill="CCEEFF" w:val="clear"/>
            <w:vAlign w:val="bottom"/>
          </w:tcPr>
          <w:p>
            <w:pPr>
              <w:pStyle w:val="TableContents"/>
              <w:spacing w:before="0" w:after="283"/>
              <w:jc w:val="right"/>
              <w:rPr/>
            </w:pPr>
            <w:r>
              <w:rPr/>
              <w:t>556,273</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483" w:type="dxa"/>
            <w:tcBorders/>
            <w:shd w:fill="CCEEFF" w:val="clear"/>
            <w:vAlign w:val="bottom"/>
          </w:tcPr>
          <w:p>
            <w:pPr>
              <w:pStyle w:val="TableContents"/>
              <w:spacing w:before="0" w:after="283"/>
              <w:jc w:val="right"/>
              <w:rPr/>
            </w:pPr>
            <w:r>
              <w:rPr/>
              <w:t>620,091</w:t>
            </w:r>
          </w:p>
        </w:tc>
        <w:tc>
          <w:tcPr>
            <w:tcW w:w="159" w:type="dxa"/>
            <w:tcBorders/>
            <w:shd w:fill="CCEEFF" w:val="clear"/>
            <w:vAlign w:val="bottom"/>
          </w:tcPr>
          <w:p>
            <w:pPr>
              <w:pStyle w:val="TableContents"/>
              <w:spacing w:before="0" w:after="283"/>
              <w:rPr/>
            </w:pPr>
            <w:r>
              <w:rPr/>
              <w:t> </w:t>
            </w:r>
          </w:p>
        </w:tc>
      </w:tr>
      <w:tr>
        <w:trPr/>
        <w:tc>
          <w:tcPr>
            <w:tcW w:w="6632"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8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483"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4867"/>
        <w:gridCol w:w="121"/>
        <w:gridCol w:w="5217"/>
      </w:tblGrid>
      <w:tr>
        <w:trPr/>
        <w:tc>
          <w:tcPr>
            <w:tcW w:w="486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5217" w:type="dxa"/>
            <w:tcBorders/>
            <w:shd w:fill="auto" w:val="clear"/>
            <w:vAlign w:val="center"/>
          </w:tcPr>
          <w:p>
            <w:pPr>
              <w:pStyle w:val="TableContents"/>
              <w:spacing w:before="0" w:after="283"/>
              <w:rPr>
                <w:sz w:val="4"/>
                <w:szCs w:val="4"/>
              </w:rPr>
            </w:pPr>
            <w:r>
              <w:rPr>
                <w:sz w:val="4"/>
                <w:szCs w:val="4"/>
              </w:rPr>
            </w:r>
          </w:p>
        </w:tc>
      </w:tr>
      <w:tr>
        <w:trPr/>
        <w:tc>
          <w:tcPr>
            <w:tcW w:w="4867"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217" w:type="dxa"/>
            <w:tcBorders/>
            <w:shd w:fill="auto" w:val="clear"/>
          </w:tcPr>
          <w:p>
            <w:pPr>
              <w:pStyle w:val="TableContents"/>
              <w:spacing w:before="0" w:after="283"/>
              <w:jc w:val="right"/>
              <w:rPr/>
            </w:pPr>
            <w:r>
              <w:rPr/>
              <w:drawing>
                <wp:inline distT="0" distB="0" distL="0" distR="0">
                  <wp:extent cx="1847850"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47850" cy="466725"/>
                          </a:xfrm>
                          <a:prstGeom prst="rect">
                            <a:avLst/>
                          </a:prstGeom>
                        </pic:spPr>
                      </pic:pic>
                    </a:graphicData>
                  </a:graphic>
                </wp:inline>
              </w:drawing>
            </w:r>
            <w:r>
              <w:rPr/>
              <w:t xml:space="preserve"> </w:t>
            </w:r>
          </w:p>
        </w:tc>
      </w:tr>
    </w:tbl>
    <w:p>
      <w:pPr>
        <w:pStyle w:val="TextBody"/>
        <w:spacing w:before="0" w:after="0"/>
        <w:jc w:val="left"/>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ADAGIO THERAPEUTICS, INC. </w:t>
      </w:r>
    </w:p>
    <w:p>
      <w:pPr>
        <w:pStyle w:val="TextBody"/>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428"/>
        <w:gridCol w:w="290"/>
        <w:gridCol w:w="140"/>
        <w:gridCol w:w="1300"/>
        <w:gridCol w:w="155"/>
        <w:gridCol w:w="246"/>
        <w:gridCol w:w="236"/>
        <w:gridCol w:w="1251"/>
        <w:gridCol w:w="159"/>
      </w:tblGrid>
      <w:tr>
        <w:trPr/>
        <w:tc>
          <w:tcPr>
            <w:tcW w:w="642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28"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4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Three Months</w:t>
              <w:br/>
              <w:t>Ended</w:t>
              <w:br/>
              <w:t>March 31,</w:t>
            </w:r>
            <w:r>
              <w:rPr/>
              <w:br/>
            </w:r>
            <w:r>
              <w:rPr>
                <w:b/>
              </w:rPr>
              <w:t>2022</w:t>
            </w:r>
          </w:p>
        </w:tc>
        <w:tc>
          <w:tcPr>
            <w:tcW w:w="15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4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Three Months</w:t>
              <w:br/>
              <w:t>Ended</w:t>
              <w:br/>
              <w:t>March 31,</w:t>
              <w:br/>
              <w:t>2021</w:t>
            </w:r>
          </w:p>
        </w:tc>
        <w:tc>
          <w:tcPr>
            <w:tcW w:w="159" w:type="dxa"/>
            <w:tcBorders/>
            <w:shd w:fill="auto" w:val="clear"/>
            <w:vAlign w:val="bottom"/>
          </w:tcPr>
          <w:p>
            <w:pPr>
              <w:pStyle w:val="TableContents"/>
              <w:spacing w:before="0" w:after="283"/>
              <w:rPr/>
            </w:pPr>
            <w:r>
              <w:rPr/>
              <w:t> </w:t>
            </w:r>
          </w:p>
        </w:tc>
      </w:tr>
      <w:tr>
        <w:trPr/>
        <w:tc>
          <w:tcPr>
            <w:tcW w:w="6428"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4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25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42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Research and development(1)</w:t>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00" w:type="dxa"/>
            <w:tcBorders/>
            <w:shd w:fill="auto" w:val="clear"/>
            <w:vAlign w:val="bottom"/>
          </w:tcPr>
          <w:p>
            <w:pPr>
              <w:pStyle w:val="TableContents"/>
              <w:spacing w:before="0" w:after="283"/>
              <w:jc w:val="right"/>
              <w:rPr/>
            </w:pPr>
            <w:r>
              <w:rPr/>
              <w:t>92,035</w:t>
            </w:r>
          </w:p>
        </w:tc>
        <w:tc>
          <w:tcPr>
            <w:tcW w:w="15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c>
          <w:tcPr>
            <w:tcW w:w="1251" w:type="dxa"/>
            <w:tcBorders/>
            <w:shd w:fill="auto" w:val="clear"/>
            <w:vAlign w:val="bottom"/>
          </w:tcPr>
          <w:p>
            <w:pPr>
              <w:pStyle w:val="TableContents"/>
              <w:spacing w:before="0" w:after="283"/>
              <w:jc w:val="right"/>
              <w:rPr/>
            </w:pPr>
            <w:r>
              <w:rPr/>
              <w:t>34,032</w:t>
            </w:r>
          </w:p>
        </w:tc>
        <w:tc>
          <w:tcPr>
            <w:tcW w:w="159" w:type="dxa"/>
            <w:tcBorders/>
            <w:shd w:fill="auto" w:val="clear"/>
            <w:vAlign w:val="bottom"/>
          </w:tcPr>
          <w:p>
            <w:pPr>
              <w:pStyle w:val="TableContents"/>
              <w:spacing w:before="0" w:after="283"/>
              <w:rPr/>
            </w:pPr>
            <w:r>
              <w:rPr/>
              <w:t> </w:t>
            </w:r>
          </w:p>
        </w:tc>
      </w:tr>
      <w:tr>
        <w:trPr/>
        <w:tc>
          <w:tcPr>
            <w:tcW w:w="6428" w:type="dxa"/>
            <w:tcBorders/>
            <w:shd w:fill="CCEEFF" w:val="clear"/>
          </w:tcPr>
          <w:p>
            <w:pPr>
              <w:pStyle w:val="TableContents"/>
              <w:spacing w:before="0" w:after="0"/>
              <w:rPr>
                <w:rFonts w:ascii="Times New Roman" w:hAnsi="Times New Roman"/>
                <w:sz w:val="20"/>
              </w:rPr>
            </w:pPr>
            <w:r>
              <w:rPr>
                <w:rFonts w:ascii="Times New Roman" w:hAnsi="Times New Roman"/>
                <w:sz w:val="20"/>
              </w:rPr>
              <w:t>Acquired in-process research and development(2)</w:t>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jc w:val="right"/>
              <w:rPr/>
            </w:pPr>
            <w:r>
              <w:rPr/>
              <w:t>1,000</w:t>
            </w:r>
          </w:p>
        </w:tc>
        <w:tc>
          <w:tcPr>
            <w:tcW w:w="159" w:type="dxa"/>
            <w:tcBorders/>
            <w:shd w:fill="CCEEFF" w:val="clear"/>
            <w:vAlign w:val="bottom"/>
          </w:tcPr>
          <w:p>
            <w:pPr>
              <w:pStyle w:val="TableContents"/>
              <w:spacing w:before="0" w:after="283"/>
              <w:rPr/>
            </w:pPr>
            <w:r>
              <w:rPr/>
              <w:t> </w:t>
            </w:r>
          </w:p>
        </w:tc>
      </w:tr>
      <w:tr>
        <w:trPr/>
        <w:tc>
          <w:tcPr>
            <w:tcW w:w="6428" w:type="dxa"/>
            <w:tcBorders/>
            <w:shd w:fill="auto" w:val="clear"/>
          </w:tcPr>
          <w:p>
            <w:pPr>
              <w:pStyle w:val="TableContents"/>
              <w:spacing w:before="0" w:after="0"/>
              <w:rPr>
                <w:rFonts w:ascii="Times New Roman" w:hAnsi="Times New Roman"/>
                <w:sz w:val="20"/>
              </w:rPr>
            </w:pPr>
            <w:r>
              <w:rPr>
                <w:rFonts w:ascii="Times New Roman" w:hAnsi="Times New Roman"/>
                <w:sz w:val="20"/>
              </w:rPr>
              <w:t>Selling, general and administrative</w:t>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8,704</w:t>
            </w:r>
          </w:p>
        </w:tc>
        <w:tc>
          <w:tcPr>
            <w:tcW w:w="15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3,677</w:t>
            </w:r>
          </w:p>
        </w:tc>
        <w:tc>
          <w:tcPr>
            <w:tcW w:w="159" w:type="dxa"/>
            <w:tcBorders/>
            <w:shd w:fill="auto" w:val="clear"/>
            <w:vAlign w:val="bottom"/>
          </w:tcPr>
          <w:p>
            <w:pPr>
              <w:pStyle w:val="TableContents"/>
              <w:spacing w:before="0" w:after="283"/>
              <w:rPr/>
            </w:pPr>
            <w:r>
              <w:rPr/>
              <w:t> </w:t>
            </w:r>
          </w:p>
        </w:tc>
      </w:tr>
      <w:tr>
        <w:trPr/>
        <w:tc>
          <w:tcPr>
            <w:tcW w:w="6428"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428" w:type="dxa"/>
            <w:tcBorders/>
            <w:shd w:fill="CCEEFF"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100,739</w:t>
            </w:r>
          </w:p>
        </w:tc>
        <w:tc>
          <w:tcPr>
            <w:tcW w:w="15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jc w:val="right"/>
              <w:rPr/>
            </w:pPr>
            <w:r>
              <w:rPr/>
              <w:t>38,709</w:t>
            </w:r>
          </w:p>
        </w:tc>
        <w:tc>
          <w:tcPr>
            <w:tcW w:w="159" w:type="dxa"/>
            <w:tcBorders/>
            <w:shd w:fill="CCEEFF" w:val="clear"/>
            <w:vAlign w:val="bottom"/>
          </w:tcPr>
          <w:p>
            <w:pPr>
              <w:pStyle w:val="TableContents"/>
              <w:spacing w:before="0" w:after="283"/>
              <w:rPr/>
            </w:pPr>
            <w:r>
              <w:rPr/>
              <w:t> </w:t>
            </w:r>
          </w:p>
        </w:tc>
      </w:tr>
      <w:tr>
        <w:trPr/>
        <w:tc>
          <w:tcPr>
            <w:tcW w:w="6428"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428" w:type="dxa"/>
            <w:tcBorders/>
            <w:shd w:fill="auto" w:val="clear"/>
          </w:tcPr>
          <w:p>
            <w:pPr>
              <w:pStyle w:val="TableContents"/>
              <w:spacing w:before="0" w:after="0"/>
              <w:rPr>
                <w:rFonts w:ascii="Times New Roman" w:hAnsi="Times New Roman"/>
                <w:sz w:val="20"/>
              </w:rPr>
            </w:pPr>
            <w:r>
              <w:rPr>
                <w:rFonts w:ascii="Times New Roman" w:hAnsi="Times New Roman"/>
                <w:sz w:val="20"/>
              </w:rPr>
              <w:t>Loss from operations</w:t>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(100,739</w:t>
            </w:r>
          </w:p>
        </w:tc>
        <w:tc>
          <w:tcPr>
            <w:tcW w:w="15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(38,709</w:t>
            </w:r>
          </w:p>
        </w:tc>
        <w:tc>
          <w:tcPr>
            <w:tcW w:w="159" w:type="dxa"/>
            <w:tcBorders/>
            <w:shd w:fill="auto" w:val="clear"/>
            <w:vAlign w:val="bottom"/>
          </w:tcPr>
          <w:p>
            <w:pPr>
              <w:pStyle w:val="TableContents"/>
              <w:spacing w:before="0" w:after="283"/>
              <w:rPr/>
            </w:pPr>
            <w:r>
              <w:rPr/>
              <w:t>) </w:t>
            </w:r>
          </w:p>
        </w:tc>
      </w:tr>
      <w:tr>
        <w:trPr/>
        <w:tc>
          <w:tcPr>
            <w:tcW w:w="6428"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428" w:type="dxa"/>
            <w:tcBorders/>
            <w:shd w:fill="CCEEFF" w:val="clear"/>
          </w:tcPr>
          <w:p>
            <w:pPr>
              <w:pStyle w:val="TableContents"/>
              <w:spacing w:before="0" w:after="0"/>
              <w:rPr>
                <w:rFonts w:ascii="Times New Roman" w:hAnsi="Times New Roman"/>
                <w:sz w:val="20"/>
              </w:rPr>
            </w:pPr>
            <w:r>
              <w:rPr>
                <w:rFonts w:ascii="Times New Roman" w:hAnsi="Times New Roman"/>
                <w:sz w:val="20"/>
              </w:rPr>
              <w:t>Other income (expense):</w:t>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4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25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428" w:type="dxa"/>
            <w:tcBorders/>
            <w:shd w:fill="auto" w:val="clear"/>
          </w:tcPr>
          <w:p>
            <w:pPr>
              <w:pStyle w:val="TableContents"/>
              <w:spacing w:before="0" w:after="0"/>
              <w:rPr>
                <w:rFonts w:ascii="Times New Roman" w:hAnsi="Times New Roman"/>
                <w:sz w:val="20"/>
              </w:rPr>
            </w:pPr>
            <w:r>
              <w:rPr>
                <w:rFonts w:ascii="Times New Roman" w:hAnsi="Times New Roman"/>
                <w:sz w:val="20"/>
              </w:rPr>
              <w:t>Other income (expense), net</w:t>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73</w:t>
            </w:r>
          </w:p>
        </w:tc>
        <w:tc>
          <w:tcPr>
            <w:tcW w:w="15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9</w:t>
            </w:r>
          </w:p>
        </w:tc>
        <w:tc>
          <w:tcPr>
            <w:tcW w:w="159" w:type="dxa"/>
            <w:tcBorders/>
            <w:shd w:fill="auto" w:val="clear"/>
            <w:vAlign w:val="bottom"/>
          </w:tcPr>
          <w:p>
            <w:pPr>
              <w:pStyle w:val="TableContents"/>
              <w:spacing w:before="0" w:after="283"/>
              <w:rPr/>
            </w:pPr>
            <w:r>
              <w:rPr/>
              <w:t> </w:t>
            </w:r>
          </w:p>
        </w:tc>
      </w:tr>
      <w:tr>
        <w:trPr/>
        <w:tc>
          <w:tcPr>
            <w:tcW w:w="6428"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428" w:type="dxa"/>
            <w:tcBorders/>
            <w:shd w:fill="CCEEFF" w:val="clear"/>
          </w:tcPr>
          <w:p>
            <w:pPr>
              <w:pStyle w:val="TableContents"/>
              <w:spacing w:before="0" w:after="0"/>
              <w:rPr>
                <w:rFonts w:ascii="Times New Roman" w:hAnsi="Times New Roman"/>
                <w:sz w:val="20"/>
              </w:rPr>
            </w:pPr>
            <w:r>
              <w:rPr>
                <w:rFonts w:ascii="Times New Roman" w:hAnsi="Times New Roman"/>
                <w:sz w:val="20"/>
              </w:rPr>
              <w:t>Total other income (expense), net</w:t>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73</w:t>
            </w:r>
          </w:p>
        </w:tc>
        <w:tc>
          <w:tcPr>
            <w:tcW w:w="15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jc w:val="right"/>
              <w:rPr/>
            </w:pPr>
            <w:r>
              <w:rPr/>
              <w:t>9</w:t>
            </w:r>
          </w:p>
        </w:tc>
        <w:tc>
          <w:tcPr>
            <w:tcW w:w="159" w:type="dxa"/>
            <w:tcBorders/>
            <w:shd w:fill="CCEEFF" w:val="clear"/>
            <w:vAlign w:val="bottom"/>
          </w:tcPr>
          <w:p>
            <w:pPr>
              <w:pStyle w:val="TableContents"/>
              <w:spacing w:before="0" w:after="283"/>
              <w:rPr/>
            </w:pPr>
            <w:r>
              <w:rPr/>
              <w:t> </w:t>
            </w:r>
          </w:p>
        </w:tc>
      </w:tr>
      <w:tr>
        <w:trPr/>
        <w:tc>
          <w:tcPr>
            <w:tcW w:w="6428"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428"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(100,666</w:t>
            </w:r>
          </w:p>
        </w:tc>
        <w:tc>
          <w:tcPr>
            <w:tcW w:w="15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(38,700</w:t>
            </w:r>
          </w:p>
        </w:tc>
        <w:tc>
          <w:tcPr>
            <w:tcW w:w="159" w:type="dxa"/>
            <w:tcBorders/>
            <w:shd w:fill="auto" w:val="clear"/>
            <w:vAlign w:val="bottom"/>
          </w:tcPr>
          <w:p>
            <w:pPr>
              <w:pStyle w:val="TableContents"/>
              <w:spacing w:before="0" w:after="283"/>
              <w:rPr/>
            </w:pPr>
            <w:r>
              <w:rPr/>
              <w:t>) </w:t>
            </w:r>
          </w:p>
        </w:tc>
      </w:tr>
      <w:tr>
        <w:trPr/>
        <w:tc>
          <w:tcPr>
            <w:tcW w:w="6428"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428" w:type="dxa"/>
            <w:tcBorders/>
            <w:shd w:fill="CCEEFF" w:val="clear"/>
          </w:tcPr>
          <w:p>
            <w:pPr>
              <w:pStyle w:val="TableContents"/>
              <w:spacing w:before="0" w:after="0"/>
              <w:rPr>
                <w:rFonts w:ascii="Times New Roman" w:hAnsi="Times New Roman"/>
                <w:sz w:val="20"/>
              </w:rPr>
            </w:pPr>
            <w:r>
              <w:rPr>
                <w:rFonts w:ascii="Times New Roman" w:hAnsi="Times New Roman"/>
                <w:sz w:val="20"/>
              </w:rPr>
              <w:t>Other comprehensive income (loss)</w:t>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4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25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428" w:type="dxa"/>
            <w:tcBorders/>
            <w:shd w:fill="auto" w:val="clear"/>
          </w:tcPr>
          <w:p>
            <w:pPr>
              <w:pStyle w:val="TableContents"/>
              <w:spacing w:before="0" w:after="0"/>
              <w:rPr>
                <w:rFonts w:ascii="Times New Roman" w:hAnsi="Times New Roman"/>
                <w:sz w:val="20"/>
              </w:rPr>
            </w:pPr>
            <w:r>
              <w:rPr>
                <w:rFonts w:ascii="Times New Roman" w:hAnsi="Times New Roman"/>
                <w:sz w:val="20"/>
              </w:rPr>
              <w:t>Unrealized gain on available-for-sale securities, net of tax</w:t>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428"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428"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Comprehensive loss</w:t>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00" w:type="dxa"/>
            <w:tcBorders/>
            <w:shd w:fill="CCEEFF" w:val="clear"/>
            <w:vAlign w:val="bottom"/>
          </w:tcPr>
          <w:p>
            <w:pPr>
              <w:pStyle w:val="TableContents"/>
              <w:spacing w:before="0" w:after="283"/>
              <w:jc w:val="right"/>
              <w:rPr/>
            </w:pPr>
            <w:r>
              <w:rPr/>
              <w:t>(100,658</w:t>
            </w:r>
          </w:p>
        </w:tc>
        <w:tc>
          <w:tcPr>
            <w:tcW w:w="15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1251" w:type="dxa"/>
            <w:tcBorders/>
            <w:shd w:fill="CCEEFF" w:val="clear"/>
            <w:vAlign w:val="bottom"/>
          </w:tcPr>
          <w:p>
            <w:pPr>
              <w:pStyle w:val="TableContents"/>
              <w:spacing w:before="0" w:after="283"/>
              <w:jc w:val="right"/>
              <w:rPr/>
            </w:pPr>
            <w:r>
              <w:rPr/>
              <w:t>(38,700</w:t>
            </w:r>
          </w:p>
        </w:tc>
        <w:tc>
          <w:tcPr>
            <w:tcW w:w="159" w:type="dxa"/>
            <w:tcBorders/>
            <w:shd w:fill="CCEEFF" w:val="clear"/>
            <w:vAlign w:val="bottom"/>
          </w:tcPr>
          <w:p>
            <w:pPr>
              <w:pStyle w:val="TableContents"/>
              <w:spacing w:before="0" w:after="283"/>
              <w:rPr/>
            </w:pPr>
            <w:r>
              <w:rPr/>
              <w:t>) </w:t>
            </w:r>
          </w:p>
        </w:tc>
      </w:tr>
      <w:tr>
        <w:trPr/>
        <w:tc>
          <w:tcPr>
            <w:tcW w:w="6428"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0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double" w:sz="6" w:space="1" w:color="000000"/>
              </w:pBdr>
              <w:spacing w:before="0" w:after="0"/>
              <w:rPr/>
            </w:pPr>
            <w:r>
              <w:rPr/>
              <w:t> </w:t>
            </w:r>
          </w:p>
        </w:tc>
        <w:tc>
          <w:tcPr>
            <w:tcW w:w="1251"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42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Net loss per share attributable to common stockholders, basic and diluted</w:t>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00" w:type="dxa"/>
            <w:tcBorders/>
            <w:shd w:fill="auto" w:val="clear"/>
            <w:vAlign w:val="bottom"/>
          </w:tcPr>
          <w:p>
            <w:pPr>
              <w:pStyle w:val="TableContents"/>
              <w:spacing w:before="0" w:after="283"/>
              <w:jc w:val="right"/>
              <w:rPr/>
            </w:pPr>
            <w:r>
              <w:rPr/>
              <w:t>(0.93</w:t>
            </w:r>
          </w:p>
        </w:tc>
        <w:tc>
          <w:tcPr>
            <w:tcW w:w="15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c>
          <w:tcPr>
            <w:tcW w:w="1251" w:type="dxa"/>
            <w:tcBorders/>
            <w:shd w:fill="auto" w:val="clear"/>
            <w:vAlign w:val="bottom"/>
          </w:tcPr>
          <w:p>
            <w:pPr>
              <w:pStyle w:val="TableContents"/>
              <w:spacing w:before="0" w:after="283"/>
              <w:jc w:val="right"/>
              <w:rPr/>
            </w:pPr>
            <w:r>
              <w:rPr/>
              <w:t></w:t>
            </w:r>
          </w:p>
        </w:tc>
        <w:tc>
          <w:tcPr>
            <w:tcW w:w="159" w:type="dxa"/>
            <w:tcBorders/>
            <w:shd w:fill="auto" w:val="clear"/>
            <w:vAlign w:val="bottom"/>
          </w:tcPr>
          <w:p>
            <w:pPr>
              <w:pStyle w:val="TableContents"/>
              <w:spacing w:before="0" w:after="283"/>
              <w:rPr/>
            </w:pPr>
            <w:r>
              <w:rPr/>
              <w:t> </w:t>
            </w:r>
          </w:p>
        </w:tc>
      </w:tr>
      <w:tr>
        <w:trPr/>
        <w:tc>
          <w:tcPr>
            <w:tcW w:w="6428"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0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double" w:sz="6" w:space="1" w:color="000000"/>
              </w:pBdr>
              <w:spacing w:before="0" w:after="0"/>
              <w:rPr/>
            </w:pPr>
            <w:r>
              <w:rPr/>
              <w:t> </w:t>
            </w:r>
          </w:p>
        </w:tc>
        <w:tc>
          <w:tcPr>
            <w:tcW w:w="1251"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428" w:type="dxa"/>
            <w:tcBorders/>
            <w:shd w:fill="CCEEFF" w:val="clear"/>
          </w:tcPr>
          <w:p>
            <w:pPr>
              <w:pStyle w:val="TableContents"/>
              <w:spacing w:before="0" w:after="0"/>
              <w:rPr>
                <w:rFonts w:ascii="Times New Roman" w:hAnsi="Times New Roman"/>
                <w:sz w:val="20"/>
              </w:rPr>
            </w:pPr>
            <w:r>
              <w:rPr>
                <w:rFonts w:ascii="Times New Roman" w:hAnsi="Times New Roman"/>
                <w:sz w:val="20"/>
              </w:rPr>
              <w:t>Weighted-average common shares outstanding, basic and diluted</w:t>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107,869,570</w:t>
            </w:r>
          </w:p>
        </w:tc>
        <w:tc>
          <w:tcPr>
            <w:tcW w:w="15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428"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0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double" w:sz="6" w:space="1" w:color="000000"/>
              </w:pBdr>
              <w:spacing w:before="0" w:after="0"/>
              <w:rPr/>
            </w:pPr>
            <w:r>
              <w:rPr/>
              <w:t> </w:t>
            </w:r>
          </w:p>
        </w:tc>
        <w:tc>
          <w:tcPr>
            <w:tcW w:w="1251"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related-party amounts of $2,000 and $188 for the three months ended March 31, 2022 and 2021, respectively.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related-party amounts of $0 and $1,000 for the three months ended March 31, 2022 and 2021, respectively.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2464</Words>
  <CharactersWithSpaces>16918</CharactersWithSpaces>
  <Paragraphs>744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