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Invivyd,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00534A102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28,857,208.00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28,857,208.00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28,857,208.00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28,857,208.00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28,857,208.00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28,857,208.00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28,857,208.00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28,857,208.00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28,857,208.00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28,857,208.00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28,857,208.00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28,857,208.00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Invivyd,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1601 TRAPELO ROAD, SUITE 178, WALTHAM, MA, 02451.</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jc w:val="left"/>
              <w:rPr/>
            </w:pPr>
            <w:r>
              <w:rPr/>
              <w:t xml:space="preserve">CUSIP No.: </w:t>
            </w:r>
          </w:p>
          <w:p>
            <w:pPr>
              <w:pStyle w:val="TableContents"/>
              <w:bidi w:val="0"/>
              <w:spacing w:before="0" w:after="0"/>
              <w:jc w:val="left"/>
              <w:rPr/>
            </w:pPr>
            <w:r>
              <w:rPr/>
              <w:t>00534A102</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securities of the Issuer beneficially owned by such Reporting Person as of December 31, 2025 and is incorporated by reference. The Fund directly holds (i) 17,119,096 shares of Common Stock and (ii) pre-funded warrants ("Pre-Funded Warrants") exercisable for up to 21,342,442 shares of Common Stock. The Pre-Funded Warrants contain a provision (the "Beneficial Ownership Blocker"), which precludes the exercise of the Pre-Funded Warrants to the extent that, following exercise, the Fund, together with its affiliates and other attribution parties, would own more than 9.99% of the Common Stock outstanding. The Fund is currently prohibited from exercising a portion of the Pre-Funded Warrants to the extent that such exercise would result in beneficial ownership of more than 28,857,208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listed in the Pre-Funded Warrants, each Reporting Person's beneficial ownership percentage was 9.99% as of December 31, 2025. Such percentage is based upon the sum of (i) 233,122,834 shares of Common Stock outstanding as of October 30, 2025, as reported in the Issuer's Quarterly Report on Form 10-Q filed with the Securities and Exchange Commission (the "SEC") on November 6, 2025, (ii) 44,000,000 shares of Common Stock sold by the Issuer on November 19, 2025, as disclosed in the Issuer's Prospectus Supplement dated November 17, 2025 filed with the SEC on November 19, 2025, and (iii) 11,738,112 shares of Common Stock issuable upon the exercise of the Pre-Funded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December 31, 2025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December 31, 2025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December 31, 2025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December 31, 2025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 filed on August 29,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1921</Words>
  <Characters>9894</Characters>
  <CharactersWithSpaces>11742</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