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-603250</wp:posOffset>
            </wp:positionV>
            <wp:extent cx="57150" cy="616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7049135"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1708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Gerngross Tillman U.</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ADAGIO THERAPEUTICS,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303 WYMAN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Adagio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ADGI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08/10/2021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2" w:right="720" w:firstLine="2"/>
        <w:spacing w:after="0" w:line="255"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tbl>
      <w:tblPr>
        <w:tblLayout w:type="fixed"/>
        <w:tblInd w:w="198" w:type="dxa"/>
        <w:tblCellMar>
          <w:top w:w="0" w:type="dxa"/>
          <w:left w:w="0" w:type="dxa"/>
          <w:bottom w:w="0" w:type="dxa"/>
          <w:right w:w="0" w:type="dxa"/>
        </w:tblCellMar>
      </w:tblPr>
      <w:tr>
        <w:trPr>
          <w:trHeight w:val="206"/>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280" w:type="dxa"/>
            <w:vAlign w:val="bottom"/>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28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8"/>
        <w:spacing w:after="0"/>
        <w:rPr>
          <w:sz w:val="20"/>
          <w:szCs w:val="20"/>
          <w:color w:val="auto"/>
        </w:rPr>
      </w:pPr>
      <w:r>
        <w:rPr>
          <w:rFonts w:ascii="Arial" w:cs="Arial" w:eastAsia="Arial" w:hAnsi="Arial"/>
          <w:sz w:val="16"/>
          <w:szCs w:val="16"/>
          <w:color w:val="0000FF"/>
        </w:rPr>
        <w:t>Chief Executive Officer</w:t>
      </w:r>
    </w:p>
    <w:p>
      <w:pPr>
        <w:spacing w:after="0" w:line="510" w:lineRule="exact"/>
        <w:rPr>
          <w:sz w:val="24"/>
          <w:szCs w:val="24"/>
          <w:color w:val="auto"/>
        </w:rPr>
      </w:pPr>
    </w:p>
    <w:p>
      <w:pPr>
        <w:sectPr>
          <w:pgSz w:w="11900" w:h="16838" w:orient="portrait"/>
          <w:cols w:equalWidth="0" w:num="3">
            <w:col w:w="3180" w:space="720"/>
            <w:col w:w="3122" w:space="720"/>
            <w:col w:w="3338"/>
          </w:cols>
          <w:pgMar w:left="460" w:top="220" w:right="359" w:bottom="1440" w:gutter="0" w:footer="0" w:header="0"/>
          <w:type w:val="continuous"/>
        </w:sectPr>
      </w:pP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7"/>
          </w:tcPr>
          <w:p>
            <w:pPr>
              <w:jc w:val="center"/>
              <w:ind w:left="18"/>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WALTHAM</w:t>
            </w:r>
          </w:p>
        </w:tc>
        <w:tc>
          <w:tcPr>
            <w:tcW w:w="112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100" w:type="dxa"/>
            <w:vAlign w:val="bottom"/>
          </w:tcPr>
          <w:p>
            <w:pPr>
              <w:ind w:left="140"/>
              <w:spacing w:after="0"/>
              <w:rPr>
                <w:sz w:val="20"/>
                <w:szCs w:val="20"/>
                <w:color w:val="auto"/>
              </w:rPr>
            </w:pPr>
            <w:r>
              <w:rPr>
                <w:rFonts w:ascii="Arial" w:cs="Arial" w:eastAsia="Arial" w:hAnsi="Arial"/>
                <w:sz w:val="16"/>
                <w:szCs w:val="16"/>
                <w:color w:val="0000FF"/>
              </w:rPr>
              <w:t>02451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19"/>
                <w:szCs w:val="19"/>
                <w:color w:val="auto"/>
              </w:rPr>
            </w:pPr>
          </w:p>
        </w:tc>
        <w:tc>
          <w:tcPr>
            <w:tcW w:w="2260" w:type="dxa"/>
            <w:vAlign w:val="bottom"/>
            <w:gridSpan w:val="4"/>
          </w:tcPr>
          <w:p>
            <w:pPr>
              <w:ind w:left="18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4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400" w:type="dxa"/>
            <w:vAlign w:val="bottom"/>
            <w:tcBorders>
              <w:top w:val="single" w:sz="8" w:color="2C2C2C"/>
            </w:tcBorders>
            <w:gridSpan w:val="15"/>
          </w:tcPr>
          <w:p>
            <w:pPr>
              <w:jc w:val="center"/>
              <w:ind w:right="20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900"/>
              <w:spacing w:after="0" w:line="121"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80" w:type="dxa"/>
            <w:vAlign w:val="bottom"/>
            <w:gridSpan w:val="4"/>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11"/>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80" w:type="dxa"/>
            <w:vAlign w:val="bottom"/>
            <w:gridSpan w:val="4"/>
            <w:vMerge w:val="restart"/>
          </w:tcPr>
          <w:p>
            <w:pPr>
              <w:ind w:left="1000"/>
              <w:spacing w:after="0"/>
              <w:rPr>
                <w:sz w:val="20"/>
                <w:szCs w:val="20"/>
                <w:color w:val="auto"/>
              </w:rPr>
            </w:pPr>
            <w:r>
              <w:rPr>
                <w:rFonts w:ascii="Arial" w:cs="Arial" w:eastAsia="Arial" w:hAnsi="Arial"/>
                <w:sz w:val="16"/>
                <w:szCs w:val="16"/>
                <w:color w:val="0000FF"/>
              </w:rPr>
              <w:t>08/10/2021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0000FF"/>
              </w:rPr>
              <w:t>C</w:t>
            </w:r>
          </w:p>
        </w:tc>
        <w:tc>
          <w:tcPr>
            <w:tcW w:w="16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25,860,700</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0000FF"/>
                <w:w w:val="93"/>
              </w:rPr>
              <w:t>A</w:t>
            </w:r>
          </w:p>
        </w:tc>
        <w:tc>
          <w:tcPr>
            <w:tcW w:w="80" w:type="dxa"/>
            <w:vAlign w:val="bottom"/>
          </w:tcPr>
          <w:p>
            <w:pPr>
              <w:spacing w:after="0"/>
              <w:rPr>
                <w:sz w:val="20"/>
                <w:szCs w:val="20"/>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0"/>
                <w:szCs w:val="10"/>
                <w:color w:val="008000"/>
              </w:rPr>
              <w:t>(1)</w:t>
            </w:r>
          </w:p>
        </w:tc>
        <w:tc>
          <w:tcPr>
            <w:tcW w:w="1540" w:type="dxa"/>
            <w:vAlign w:val="bottom"/>
            <w:gridSpan w:val="3"/>
            <w:vMerge w:val="restart"/>
          </w:tcPr>
          <w:p>
            <w:pPr>
              <w:ind w:left="200"/>
              <w:spacing w:after="0"/>
              <w:rPr>
                <w:sz w:val="20"/>
                <w:szCs w:val="20"/>
                <w:color w:val="auto"/>
              </w:rPr>
            </w:pPr>
            <w:r>
              <w:rPr>
                <w:rFonts w:ascii="Arial" w:cs="Arial" w:eastAsia="Arial" w:hAnsi="Arial"/>
                <w:sz w:val="16"/>
                <w:szCs w:val="16"/>
                <w:color w:val="0000FF"/>
              </w:rPr>
              <w:t>27,845,995</w:t>
            </w: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4"/>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0" w:type="dxa"/>
            <w:vAlign w:val="bottom"/>
            <w:gridSpan w:val="15"/>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6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Arial" w:cs="Arial" w:eastAsia="Arial" w:hAnsi="Arial"/>
                <w:sz w:val="10"/>
                <w:szCs w:val="10"/>
                <w:color w:val="008000"/>
              </w:rPr>
              <w:t>(1)</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25,000,000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4"/>
              <w:spacing w:after="0" w:line="96" w:lineRule="exact"/>
              <w:rPr>
                <w:sz w:val="20"/>
                <w:szCs w:val="20"/>
                <w:color w:val="auto"/>
              </w:rPr>
            </w:pPr>
            <w:r>
              <w:rPr>
                <w:rFonts w:ascii="Arial" w:cs="Arial" w:eastAsia="Arial" w:hAnsi="Arial"/>
                <w:sz w:val="11"/>
                <w:szCs w:val="11"/>
                <w:color w:val="0000FF"/>
              </w:rPr>
              <w:t>08/10/2021</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184"/>
              <w:spacing w:after="0" w:line="96" w:lineRule="exact"/>
              <w:rPr>
                <w:sz w:val="20"/>
                <w:szCs w:val="20"/>
                <w:color w:val="auto"/>
              </w:rPr>
            </w:pPr>
            <w:r>
              <w:rPr>
                <w:rFonts w:ascii="Arial" w:cs="Arial" w:eastAsia="Arial" w:hAnsi="Arial"/>
                <w:sz w:val="11"/>
                <w:szCs w:val="11"/>
                <w:color w:val="0000FF"/>
              </w:rPr>
              <w:t>5,000,000</w:t>
            </w: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40" w:type="dxa"/>
            <w:vAlign w:val="bottom"/>
            <w:gridSpan w:val="2"/>
            <w:vMerge w:val="restart"/>
          </w:tcPr>
          <w:p>
            <w:pPr>
              <w:ind w:left="20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3"/>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Arial" w:cs="Arial" w:eastAsia="Arial" w:hAnsi="Arial"/>
                <w:sz w:val="10"/>
                <w:szCs w:val="10"/>
                <w:color w:val="008000"/>
              </w:rPr>
              <w:t>(1)</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80" w:type="dxa"/>
            <w:vAlign w:val="bottom"/>
          </w:tcPr>
          <w:p>
            <w:pPr>
              <w:spacing w:after="0"/>
              <w:rPr>
                <w:sz w:val="15"/>
                <w:szCs w:val="15"/>
                <w:color w:val="auto"/>
              </w:rPr>
            </w:pPr>
          </w:p>
        </w:tc>
        <w:tc>
          <w:tcPr>
            <w:tcW w:w="720" w:type="dxa"/>
            <w:vAlign w:val="bottom"/>
            <w:vMerge w:val="restart"/>
          </w:tcPr>
          <w:p>
            <w:pPr>
              <w:jc w:val="center"/>
              <w:ind w:right="51"/>
              <w:spacing w:after="0"/>
              <w:rPr>
                <w:sz w:val="20"/>
                <w:szCs w:val="20"/>
                <w:color w:val="auto"/>
              </w:rPr>
            </w:pPr>
            <w:r>
              <w:rPr>
                <w:rFonts w:ascii="Arial" w:cs="Arial" w:eastAsia="Arial" w:hAnsi="Arial"/>
                <w:sz w:val="16"/>
                <w:szCs w:val="16"/>
                <w:color w:val="0000FF"/>
                <w:w w:val="89"/>
              </w:rPr>
              <w:t>220,380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4"/>
              <w:spacing w:after="0" w:line="96" w:lineRule="exact"/>
              <w:rPr>
                <w:sz w:val="20"/>
                <w:szCs w:val="20"/>
                <w:color w:val="auto"/>
              </w:rPr>
            </w:pPr>
            <w:r>
              <w:rPr>
                <w:rFonts w:ascii="Arial" w:cs="Arial" w:eastAsia="Arial" w:hAnsi="Arial"/>
                <w:sz w:val="11"/>
                <w:szCs w:val="11"/>
                <w:color w:val="0000FF"/>
              </w:rPr>
              <w:t>08/10/2021</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184"/>
              <w:spacing w:after="0" w:line="96" w:lineRule="exact"/>
              <w:rPr>
                <w:sz w:val="20"/>
                <w:szCs w:val="20"/>
                <w:color w:val="auto"/>
              </w:rPr>
            </w:pPr>
            <w:r>
              <w:rPr>
                <w:rFonts w:ascii="Arial" w:cs="Arial" w:eastAsia="Arial" w:hAnsi="Arial"/>
                <w:sz w:val="11"/>
                <w:szCs w:val="11"/>
                <w:color w:val="0000FF"/>
              </w:rPr>
              <w:t>44,076</w:t>
            </w: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restart"/>
          </w:tcPr>
          <w:p>
            <w:pPr>
              <w:ind w:left="20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3"/>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Arial" w:cs="Arial" w:eastAsia="Arial" w:hAnsi="Arial"/>
                <w:sz w:val="10"/>
                <w:szCs w:val="10"/>
                <w:color w:val="008000"/>
              </w:rPr>
              <w:t>(1)</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80" w:type="dxa"/>
            <w:vAlign w:val="bottom"/>
          </w:tcPr>
          <w:p>
            <w:pPr>
              <w:spacing w:after="0"/>
              <w:rPr>
                <w:sz w:val="15"/>
                <w:szCs w:val="15"/>
                <w:color w:val="auto"/>
              </w:rPr>
            </w:pPr>
          </w:p>
        </w:tc>
        <w:tc>
          <w:tcPr>
            <w:tcW w:w="720" w:type="dxa"/>
            <w:vAlign w:val="bottom"/>
            <w:vMerge w:val="restart"/>
          </w:tcPr>
          <w:p>
            <w:pPr>
              <w:jc w:val="center"/>
              <w:ind w:right="51"/>
              <w:spacing w:after="0"/>
              <w:rPr>
                <w:sz w:val="20"/>
                <w:szCs w:val="20"/>
                <w:color w:val="auto"/>
              </w:rPr>
            </w:pPr>
            <w:r>
              <w:rPr>
                <w:rFonts w:ascii="Arial" w:cs="Arial" w:eastAsia="Arial" w:hAnsi="Arial"/>
                <w:sz w:val="16"/>
                <w:szCs w:val="16"/>
                <w:color w:val="0000FF"/>
                <w:w w:val="89"/>
              </w:rPr>
              <w:t>640,320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4"/>
              <w:spacing w:after="0" w:line="96" w:lineRule="exact"/>
              <w:rPr>
                <w:sz w:val="20"/>
                <w:szCs w:val="20"/>
                <w:color w:val="auto"/>
              </w:rPr>
            </w:pPr>
            <w:r>
              <w:rPr>
                <w:rFonts w:ascii="Arial" w:cs="Arial" w:eastAsia="Arial" w:hAnsi="Arial"/>
                <w:sz w:val="11"/>
                <w:szCs w:val="11"/>
                <w:color w:val="0000FF"/>
              </w:rPr>
              <w:t>08/10/2021</w:t>
            </w: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164"/>
              <w:spacing w:after="0" w:line="96" w:lineRule="exact"/>
              <w:rPr>
                <w:sz w:val="20"/>
                <w:szCs w:val="20"/>
                <w:color w:val="auto"/>
              </w:rPr>
            </w:pPr>
            <w:r>
              <w:rPr>
                <w:rFonts w:ascii="Arial" w:cs="Arial" w:eastAsia="Arial" w:hAnsi="Arial"/>
                <w:sz w:val="11"/>
                <w:szCs w:val="11"/>
                <w:color w:val="0000FF"/>
              </w:rPr>
              <w:t>128,064</w:t>
            </w: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restart"/>
          </w:tcPr>
          <w:p>
            <w:pPr>
              <w:ind w:left="20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3"/>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 w:lineRule="exact"/>
        <w:rPr>
          <w:sz w:val="24"/>
          <w:szCs w:val="24"/>
          <w:color w:val="auto"/>
        </w:rPr>
      </w:pPr>
    </w:p>
    <w:p>
      <w:pPr>
        <w:ind w:left="80"/>
        <w:spacing w:after="0"/>
        <w:rPr>
          <w:sz w:val="20"/>
          <w:szCs w:val="20"/>
          <w:color w:val="auto"/>
        </w:rPr>
      </w:pPr>
      <w:r>
        <w:rPr>
          <w:rFonts w:ascii="Arial" w:cs="Arial" w:eastAsia="Arial" w:hAnsi="Arial"/>
          <w:sz w:val="12"/>
          <w:szCs w:val="12"/>
          <w:color w:val="0000FF"/>
        </w:rPr>
        <w:t>Stock</w:t>
      </w:r>
    </w:p>
    <w:p>
      <w:pPr>
        <w:spacing w:after="0" w:line="10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4"/>
          <w:szCs w:val="24"/>
          <w:color w:val="auto"/>
        </w:rPr>
      </w:pPr>
    </w:p>
    <w:p>
      <w:pPr>
        <w:ind w:left="40" w:right="300" w:hanging="4"/>
        <w:spacing w:after="0" w:line="269"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A Preferred Stock, Series B Preferred Stock, and Series C Preferred Stock automatically converted, without payment of additional consideration, into Common Stock on a 5:1 basis immediately prior to the closing of the Issuer's initial public offering of its Common Stock and had no expiration date.</w:t>
      </w:r>
    </w:p>
    <w:p>
      <w:pPr>
        <w:spacing w:after="0" w:line="13" w:lineRule="exact"/>
        <w:rPr>
          <w:rFonts w:ascii="Arial" w:cs="Arial" w:eastAsia="Arial" w:hAnsi="Arial"/>
          <w:sz w:val="12"/>
          <w:szCs w:val="12"/>
          <w:color w:val="008000"/>
        </w:rPr>
      </w:pPr>
    </w:p>
    <w:p>
      <w:pPr>
        <w:jc w:val="both"/>
        <w:ind w:left="40" w:right="360" w:hanging="4"/>
        <w:spacing w:after="0" w:line="253"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by Adimab, LLC (the "LLC"). The Reporting Person is an officer and member of the Board of Directors of the LLC and, as such, may be deemed to have shared voting and investment power with respect to the shares held by the LLC.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6" w:lineRule="auto"/>
        <w:rPr>
          <w:sz w:val="20"/>
          <w:szCs w:val="20"/>
          <w:color w:val="auto"/>
        </w:rPr>
      </w:pPr>
      <w:r>
        <w:rPr>
          <w:rFonts w:ascii="Arial" w:cs="Arial" w:eastAsia="Arial" w:hAnsi="Arial"/>
          <w:sz w:val="16"/>
          <w:szCs w:val="16"/>
          <w:color w:val="0000FF"/>
        </w:rPr>
        <w:t xml:space="preserve">/s/ Dorothy Vinsky, Attorney-in- </w:t>
      </w:r>
      <w:r>
        <w:rPr>
          <w:rFonts w:ascii="Arial" w:cs="Arial" w:eastAsia="Arial" w:hAnsi="Arial"/>
          <w:sz w:val="32"/>
          <w:szCs w:val="32"/>
          <w:color w:val="0000FF"/>
          <w:vertAlign w:val="subscript"/>
        </w:rPr>
        <w:t>08/12/2021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54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-17145</wp:posOffset>
            </wp:positionV>
            <wp:extent cx="1765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653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6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880" w:hanging="4"/>
        <w:spacing w:after="0" w:line="321"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2061"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2021-08-12T20:35:24Z</dcterms:created>
  <dcterms:modified xsi:type="dcterms:W3CDTF">2021-08-12T20:35:24Z</dcterms:modified>
</cp:coreProperties>
</file>