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0000FF"/>
        </w:rPr>
        <w:t>INVIVYD,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00534A102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08/29/2025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00534A102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jc w:val="center"/>
        <w:ind w:right="7079"/>
        <w:spacing w:after="0"/>
        <w:rPr>
          <w:sz w:val="20"/>
          <w:szCs w:val="20"/>
          <w:color w:val="auto"/>
        </w:rPr>
      </w:pPr>
      <w:r>
        <w:rPr>
          <w:rFonts w:ascii="Times New Roman" w:cs="Times New Roman" w:eastAsia="Times New Roman" w:hAnsi="Times New Roman"/>
          <w:sz w:val="22"/>
          <w:szCs w:val="22"/>
          <w:color w:val="auto"/>
        </w:rPr>
        <w:t>JERSEY</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24,271,759.00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24,271,759.00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24,271,759.00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HC</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INVIVYD,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1601 TRAPELO ROAD, SUITE 178 WALTHAM, MA 02451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201 Bishopsgate EC2M 3AE, United Kingdom</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Y9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00534A102</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JHIUS may be deemed to be the beneficial owner of 24,271,759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11.6 %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24271759</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24271759</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JHIUS, JHIUKL and JHIAIFML are indirect subsidiaries of Janus Henderson and are registered investment advisers furnishing investment advice to Managed Portfolios.</w:t>
      </w: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ectPr>
          <w:pgSz w:w="11900" w:h="16838" w:orient="portrait"/>
          <w:cols w:equalWidth="0" w:num="1">
            <w:col w:w="11140"/>
          </w:cols>
          <w:pgMar w:left="360" w:top="111" w:right="399" w:bottom="0" w:gutter="0" w:footer="0" w:header="0"/>
          <w:type w:val="continuous"/>
        </w:sectPr>
      </w:pPr>
    </w:p>
    <w:bookmarkStart w:id="3" w:name="page4"/>
    <w:bookmarkEnd w:id="3"/>
    <w:p>
      <w:pPr>
        <w:jc w:val="center"/>
        <w:ind w:right="8920"/>
        <w:spacing w:after="0"/>
        <w:rPr>
          <w:sz w:val="20"/>
          <w:szCs w:val="20"/>
          <w:color w:val="auto"/>
        </w:rPr>
      </w:pPr>
      <w:r>
        <w:rPr>
          <w:rFonts w:ascii="Times New Roman" w:cs="Times New Roman" w:eastAsia="Times New Roman" w:hAnsi="Times New Roman"/>
          <w:sz w:val="22"/>
          <w:szCs w:val="22"/>
          <w:color w:val="auto"/>
        </w:rPr>
        <w:t>N/A</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152"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Kristin Mariani</w:t>
      </w:r>
    </w:p>
    <w:p>
      <w:pPr>
        <w:spacing w:after="0" w:line="4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Name/Title: Head of North America Compliance, CCO</w:t>
      </w:r>
    </w:p>
    <w:p>
      <w:pPr>
        <w:spacing w:after="0" w:line="44"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09/08/2025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1"/>
          <w:szCs w:val="21"/>
          <w:color w:val="auto"/>
        </w:rPr>
        <w:t>POWER OF ATTORNEY The undersigned, Janus Henderson Group plc ("the Company"), does hereby make, constitute and appoint each of Kristin Mariani and Caroline Barotti acting severally, as its true and lawful attorneys in-fact, for the purpose of, from time to time, executing in its name and on its behalf, whether the Company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 This power of attorney shall be valid from the date hereof and shall remain in full force and effect until either revoked in writing by the Company, or, in respect of any attorney-in-fact named herein, until such person ceases to be an employee of the Company or one of its affiliates. IN WITNESS WHEREOF, the undersigned has caused this power of attorney to be executed as of this 9th day of December, 2022. Janus Henderson Group plc By: /s/ Michelle Rosenberg Name: Michelle Rosenberg Title: General Counsel and Company Secretary</w:t>
      </w:r>
    </w:p>
    <w:sectPr>
      <w:pgSz w:w="11900" w:h="16838" w:orient="portrait"/>
      <w:cols w:equalWidth="0" w:num="1">
        <w:col w:w="11140"/>
      </w:cols>
      <w:pgMar w:left="360" w:top="59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2025-09-08T12:14:41Z</dcterms:created>
  <dcterms:modified xsi:type="dcterms:W3CDTF">2025-09-08T12:14:41Z</dcterms:modified>
</cp:coreProperties>
</file>