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On December 14, 2021, Adagio Therapeutics, Inc. (the “Company”) issued a press release entitled “Adagio Therapeutics Reports Reduction in In Vitro Neutralizing Activity of ADG20 Against Omicron SARS-CoV-2 Variant.” The full text of the press release is attached as Exhibit 99.1 to this Current Report on Form 8-K.</w:t>
      </w:r>
    </w:p>
    <w:p>
      <w:pPr>
        <w:spacing w:after="0" w:line="184"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information in this Item 7.01,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December 14,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00"/>
          </w:cols>
          <w:pgMar w:left="440" w:top="297"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December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Jane Pritchett Henderson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171450</wp:posOffset>
            </wp:positionV>
            <wp:extent cx="177482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48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Adagio Therapeutics Reports Reduction in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Neutralizing Activity of ADG20 Against Omicron SARS-CoV-2 Variant</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 xml:space="preserve">Previously Reported </w:t>
      </w:r>
      <w:r>
        <w:rPr>
          <w:rFonts w:ascii="Arial" w:cs="Arial" w:eastAsia="Arial" w:hAnsi="Arial"/>
          <w:sz w:val="18"/>
          <w:szCs w:val="18"/>
          <w:color w:val="auto"/>
        </w:rPr>
        <w:t>In Vitro</w:t>
      </w:r>
      <w:r>
        <w:rPr>
          <w:rFonts w:ascii="Arial" w:cs="Arial" w:eastAsia="Arial" w:hAnsi="Arial"/>
          <w:sz w:val="18"/>
          <w:szCs w:val="18"/>
          <w:i w:val="1"/>
          <w:iCs w:val="1"/>
          <w:color w:val="auto"/>
        </w:rPr>
        <w:t xml:space="preserve"> Data Demonstrating that Individual Omicron Mutations Were Not Associated with ADG20 Escape Do Not Translate to Omicron Authentic and Pseudovirus Assays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Waltham, MA – Dec. 14, 2021 – </w:t>
      </w:r>
      <w:r>
        <w:rPr>
          <w:rFonts w:ascii="Arial" w:cs="Arial" w:eastAsia="Arial" w:hAnsi="Arial"/>
          <w:sz w:val="18"/>
          <w:szCs w:val="18"/>
          <w:color w:val="auto"/>
        </w:rPr>
        <w:t>Adagio Therapeutics, Inc., (Nasdaq: ADGI) a clinical-stage biopharmaceutical company focused on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development and commercialization of antibody-based solutions for infectious diseases with pandemic potential, today provided an update following external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analyses to evaluate neutralizing activity of ADG20 against the Omicron SARS-CoV-2 variant.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generated through both authentic and pseudovirus testing of the Omicron variant show a greater than 300-fold reduction in neutralizing activity of ADG20 against Omicron. Additional analyses are ongoing, and the company plans to engage with regulatory and government agencies to assess the role ADG20 can play for the prevention and treatment of COVID-19, particularly as the industry’s understanding of the epidemiology and impact of Omicron and potential new variants develops.</w:t>
      </w:r>
    </w:p>
    <w:p>
      <w:pPr>
        <w:spacing w:after="0" w:line="19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“Due to the highly conserved and immunorecessive nature of the epitope recognized by ADG20, we anticipated that ADG20 would retain neutralizing activity against Omicron, consistent with activity observed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with all other known variants of concern,” said Tillman Gerngross, Ph.D., chief executive officer of Adagio. “While the individual mutations present in the Omicron receptor binding domain were not associated with escape from ADG20 in the context of an original strain of the virus, new data show that the combination of mutations present in the Omicron spike protein led to a reduction in ADG20 neutralization that was not suggested by prior data. The continued prevalence of the Delta variant in the U.S. and other countries, evolution of SARS-CoV-2 variants and potential future coronaviruses means a multitude of therapies and approaches are needed. With an expert team committed to advancing antibody solutions that combat this unprecedented pandemic and a strong balance sheet, we’re conducting additional analyses to assess the optimal path forward with ADG20 as both a prophylactic and treatment option for COVID-19.”</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ADG20 is an investigational monoclonal antibody (mAb) product candidate designed to provide broad and potent neutralizing activity against SARS-CoV-2, including variants of concern, for the prevention and treatment of COVID-19 with potential duration of protection for up to one year with a single injection. In previously disclosed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ADG20 retained activity against prior variants of concern including Alpha, Beta, Delta and Gamma. In addition,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demonstrated retained neutralizing activity of ADG20 against a diverse panel of circulating SARS-CoV-2 variants, including the Lambda, Mu and Delta plus variants. The safety and efficacy of ADG20 have not been established, and ADG20 is not authorized or approved for use in any country.</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Adagio is currently evaluating ADG20 in global Phase 2/3 clinical trials for both the prevention and treatment of COVID-19. Based on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related to Omicron, Adagio plans to pause patient recruitment in its Phase 2/3 COVID-19 treatment trial at clinical sites in South Africa, where Omicron has emerged as the dominant variant. Adagio is evaluating next steps for its ADG20 program.</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analyses were also conducted on ADG10, a second mAb in development, which showed minimal neutralizing activity against the Omicron</w:t>
      </w:r>
      <w:r>
        <w:rPr>
          <w:rFonts w:ascii="Arial" w:cs="Arial" w:eastAsia="Arial" w:hAnsi="Arial"/>
          <w:sz w:val="18"/>
          <w:szCs w:val="18"/>
          <w:i w:val="1"/>
          <w:iCs w:val="1"/>
          <w:color w:val="auto"/>
        </w:rPr>
        <w:t xml:space="preserve"> </w:t>
      </w:r>
      <w:r>
        <w:rPr>
          <w:rFonts w:ascii="Arial" w:cs="Arial" w:eastAsia="Arial" w:hAnsi="Arial"/>
          <w:sz w:val="18"/>
          <w:szCs w:val="18"/>
          <w:color w:val="auto"/>
        </w:rPr>
        <w:t>variant in both authentic and pseudovirus neutralization assays.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5497195</wp:posOffset>
            </wp:positionH>
            <wp:positionV relativeFrom="page">
              <wp:posOffset>183515</wp:posOffset>
            </wp:positionV>
            <wp:extent cx="1774825"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74825" cy="436880"/>
                    </a:xfrm>
                    <a:prstGeom prst="rect">
                      <a:avLst/>
                    </a:prstGeom>
                    <a:noFill/>
                  </pic:spPr>
                </pic:pic>
              </a:graphicData>
            </a:graphic>
          </wp:anchor>
        </w:drawing>
        <w:t>About Adagio Therapeutics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Adagio (Nasdaq: ADGI) is a clinical-stage biopharmaceutical company focused on the discovery, development and commercialization of antibody-based solutions for infectious diseases with pandemic potential, including COVID-19 and influenza. The company’s portfolio of antibodies has been optimized using Adimab’s industry-leading antibody engineering capabilities and is designed to provide patients and clinicians with the potential for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the potential for broad accessibility to people around the world. For more information, please visit www.adagiotx.com.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future program updates and the initiation, modification and completion of studies or trials and related preparatory work, the period during which the results of the trials will become available and our research and development programs; the additional and ongoing analyses to evaluate the activity of ADG20 against the Omicron variant and the potential of ADG20 to play a role as both a prophylactic and a treatment option for COVID-19; the risk/benefit profile of our product candidates to patients; and the adequacy of our cash, cash equivalents and marketable securities.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and the uncertainties and timing of the regulatory approval process. Other factors that may cause our actual results to differ materially from those expressed or implied in the forward-looking statements in this press release are described under the heading “Risk Factors” in Adagio’s Quarterly Report on Form 10-Q for the quarter ended September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ectPr>
          <w:pgSz w:w="11900" w:h="16838" w:orient="portrait"/>
          <w:cols w:equalWidth="0" w:num="1">
            <w:col w:w="10960"/>
          </w:cols>
          <w:pgMar w:left="440" w:top="1107" w:right="49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71" w:lineRule="exact"/>
        <w:rPr>
          <w:sz w:val="20"/>
          <w:szCs w:val="20"/>
          <w:color w:val="auto"/>
        </w:rPr>
      </w:pPr>
    </w:p>
    <w:p>
      <w:pPr>
        <w:sectPr>
          <w:pgSz w:w="11900" w:h="16838" w:orient="portrait"/>
          <w:cols w:equalWidth="0" w:num="2">
            <w:col w:w="5020" w:space="720"/>
            <w:col w:w="5220"/>
          </w:cols>
          <w:pgMar w:left="440" w:top="1107" w:right="499" w:bottom="1440" w:gutter="0" w:footer="0" w:header="0"/>
          <w:type w:val="continuous"/>
        </w:sectPr>
      </w:pPr>
    </w:p>
    <w:p>
      <w:pPr>
        <w:spacing w:after="0"/>
        <w:rPr>
          <w:sz w:val="20"/>
          <w:szCs w:val="20"/>
          <w:color w:val="auto"/>
        </w:rPr>
      </w:pPr>
      <w:r>
        <w:rPr>
          <w:rFonts w:ascii="Arial" w:cs="Arial" w:eastAsia="Arial" w:hAnsi="Arial"/>
          <w:sz w:val="18"/>
          <w:szCs w:val="18"/>
          <w:color w:val="auto"/>
        </w:rPr>
        <w:t>Dan Budwick, 1AB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Dan@1abmedia.com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Monique Allaire, THRUST Strategic Communications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monique@thrustsc.com</w:t>
      </w:r>
    </w:p>
    <w:p>
      <w:pPr>
        <w:spacing w:after="0" w:line="143" w:lineRule="exact"/>
        <w:rPr>
          <w:sz w:val="20"/>
          <w:szCs w:val="20"/>
          <w:color w:val="auto"/>
        </w:rPr>
      </w:pPr>
    </w:p>
    <w:p>
      <w:pPr>
        <w:sectPr>
          <w:pgSz w:w="11900" w:h="16838" w:orient="portrait"/>
          <w:cols w:equalWidth="0" w:num="2">
            <w:col w:w="5020" w:space="720"/>
            <w:col w:w="5220"/>
          </w:cols>
          <w:pgMar w:left="440" w:top="1107" w:right="499" w:bottom="1440" w:gutter="0" w:footer="0" w:header="0"/>
          <w:type w:val="continuous"/>
        </w:sectPr>
      </w:pPr>
    </w:p>
    <w:p>
      <w:pPr>
        <w:jc w:val="center"/>
        <w:ind w:right="-39"/>
        <w:spacing w:after="0"/>
        <w:rPr>
          <w:sz w:val="20"/>
          <w:szCs w:val="20"/>
          <w:color w:val="auto"/>
        </w:rPr>
      </w:pPr>
      <w:r>
        <w:rPr>
          <w:rFonts w:ascii="Arial" w:cs="Arial" w:eastAsia="Arial" w:hAnsi="Arial"/>
          <w:sz w:val="13"/>
          <w:szCs w:val="13"/>
          <w:color w:val="auto"/>
        </w:rPr>
        <w:t>2</w:t>
      </w:r>
    </w:p>
    <w:sectPr>
      <w:pgSz w:w="11900" w:h="16838" w:orient="portrait"/>
      <w:cols w:equalWidth="0" w:num="1">
        <w:col w:w="10960"/>
      </w:cols>
      <w:pgMar w:left="440" w:top="110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2021-12-14T08:11:42Z</dcterms:created>
  <dcterms:modified xsi:type="dcterms:W3CDTF">2021-12-14T08:11:42Z</dcterms:modified>
</cp:coreProperties>
</file>