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Heyman Tomas J.</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80" w:type="dxa"/>
            <w:vAlign w:val="bottom"/>
            <w:gridSpan w:val="7"/>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Adagio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ADGI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gridSpan w:val="7"/>
            <w:vMerge w:val="continue"/>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C/O ADAGIO THERAPEUTICS, INC.</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06/22/2022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7"/>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1601 TRAPELO ROAD, SUITE 178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8"/>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02451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8"/>
          </w:tcPr>
          <w:p>
            <w:pPr>
              <w:ind w:left="7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8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3.09</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06/22/2022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75,000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06/21/2032</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75,000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75,000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5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22, 2022 and vests in full on the earlier of (i) June 22, 2023 or (ii) the date of the Issuer's 2023 Annual Meeting of Stockholders, subject to continued service through the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Jane Henderson attorney-in- </w:t>
      </w:r>
      <w:r>
        <w:rPr>
          <w:rFonts w:ascii="Times New Roman" w:cs="Times New Roman" w:eastAsia="Times New Roman" w:hAnsi="Times New Roman"/>
          <w:sz w:val="33"/>
          <w:szCs w:val="33"/>
          <w:color w:val="0000FF"/>
          <w:vertAlign w:val="subscript"/>
        </w:rPr>
        <w:t>06/24/2022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32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Tomas Heyman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064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647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14673"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2022-06-24T15:38:31Z</dcterms:created>
  <dcterms:modified xsi:type="dcterms:W3CDTF">2022-06-24T15:38:31Z</dcterms:modified>
</cp:coreProperties>
</file>