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ivvd-20260630.htm"/>
      <w:bookmarkStart w:id="1" w:name="ksivvd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001-40703</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80" w:after="15"/>
              <w:jc w:val="center"/>
              <w:rPr>
                <w:rFonts w:ascii="Times New Roman" w:hAnsi="Times New Roman"/>
                <w:b/>
                <w:color w:val="000000"/>
                <w:sz w:val="20"/>
              </w:rPr>
            </w:pPr>
            <w:r>
              <w:rPr>
                <w:rFonts w:ascii="Times New Roman" w:hAnsi="Times New Roman"/>
                <w:b/>
                <w:color w:val="000000"/>
                <w:sz w:val="20"/>
              </w:rPr>
              <w:t>205 Church Street</w:t>
              <w:br/>
              <w:t>New Haven, CT</w:t>
            </w:r>
          </w:p>
        </w:tc>
        <w:tc>
          <w:tcPr>
            <w:tcW w:w="124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06510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IVVD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30, 2026, the registrant had 294,758,746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Table of Contents</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nvertible">
              <w:r>
                <w:rPr>
                  <w:rStyle w:val="InternetLink"/>
                  <w:rFonts w:ascii="Times New Roman" w:hAnsi="Times New Roman"/>
                  <w:color w:val="0000FF"/>
                  <w:sz w:val="20"/>
                  <w:u w:val="single"/>
                </w:rPr>
                <w:t>Condensed Consolidated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consolidated_balance_sheets"/>
      <w:bookmarkEnd w:id="5"/>
      <w:r>
        <w:rPr>
          <w:rFonts w:ascii="Times New Roman" w:hAnsi="Times New Roman"/>
          <w:b/>
          <w:caps/>
          <w:color w:val="000000"/>
          <w:sz w:val="20"/>
        </w:rPr>
        <w:t>Condensed Consolidated Balance Sheets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tbl>
      <w:tblPr>
        <w:tblW w:w="9639" w:type="dxa"/>
        <w:jc w:val="left"/>
        <w:tblInd w:w="0" w:type="dxa"/>
        <w:tblLayout w:type="fixed"/>
        <w:tblCellMar>
          <w:top w:w="28" w:type="dxa"/>
          <w:left w:w="28" w:type="dxa"/>
          <w:bottom w:w="28" w:type="dxa"/>
          <w:right w:w="28" w:type="dxa"/>
        </w:tblCellMar>
      </w:tblPr>
      <w:tblGrid>
        <w:gridCol w:w="6226"/>
        <w:gridCol w:w="146"/>
        <w:gridCol w:w="211"/>
        <w:gridCol w:w="991"/>
        <w:gridCol w:w="166"/>
        <w:gridCol w:w="146"/>
        <w:gridCol w:w="211"/>
        <w:gridCol w:w="931"/>
        <w:gridCol w:w="6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 net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Accrued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Preferred stock (undesignated), $0.0001 par value; 10,000,000 shares</w:t>
              <w:br/>
              <w:t>           authorized and no shares issued and outstanding at June 30, 2026</w:t>
              <w:br/>
              <w:t>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Common stock, $0.0001 par value; 1,000,000,000 shares authorized, </w:t>
              <w:br/>
              <w:t xml:space="preserve">           294,755,090 shares issued and outstanding at June 30, 2026; </w:t>
              <w:br/>
              <w:t>           281,987,033 shares issued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Includes an allowance for doubtful accounts of $199</w:t>
      </w:r>
      <w:r>
        <w:rPr>
          <w:color w:val="000000"/>
        </w:rPr>
        <w:t xml:space="preserve"> </w:t>
      </w:r>
      <w:r>
        <w:rPr>
          <w:rFonts w:ascii="Times New Roman" w:hAnsi="Times New Roman"/>
          <w:color w:val="000000"/>
          <w:sz w:val="20"/>
        </w:rPr>
        <w:t>and $323</w:t>
      </w:r>
      <w:r>
        <w:rPr>
          <w:color w:val="000000"/>
        </w:rPr>
        <w:t xml:space="preserve"> </w:t>
      </w:r>
      <w:r>
        <w:rPr>
          <w:rFonts w:ascii="Times New Roman" w:hAnsi="Times New Roman"/>
          <w:color w:val="000000"/>
          <w:sz w:val="20"/>
        </w:rPr>
        <w:t xml:space="preserve">as of June 30, 2026 and December 31, 2025, respectively.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Includes related-party amounts of</w:t>
      </w:r>
      <w:r>
        <w:rPr>
          <w:color w:val="000000"/>
        </w:rPr>
        <w:t xml:space="preserve"> </w:t>
      </w:r>
      <w:r>
        <w:rPr>
          <w:rFonts w:ascii="Times New Roman" w:hAnsi="Times New Roman"/>
          <w:color w:val="000000"/>
          <w:sz w:val="20"/>
        </w:rPr>
        <w:t>$576</w:t>
      </w:r>
      <w:r>
        <w:rPr>
          <w:color w:val="000000"/>
        </w:rPr>
        <w:t xml:space="preserve"> </w:t>
      </w:r>
      <w:r>
        <w:rPr>
          <w:rFonts w:ascii="Times New Roman" w:hAnsi="Times New Roman"/>
          <w:color w:val="000000"/>
          <w:sz w:val="20"/>
        </w:rPr>
        <w:t>and $703</w:t>
      </w:r>
      <w:r>
        <w:rPr>
          <w:color w:val="000000"/>
        </w:rPr>
        <w:t xml:space="preserve"> </w:t>
      </w:r>
      <w:r>
        <w:rPr>
          <w:rFonts w:ascii="Times New Roman" w:hAnsi="Times New Roman"/>
          <w:color w:val="000000"/>
          <w:sz w:val="20"/>
        </w:rPr>
        <w:t>as of June 30, 2026 and December 31, 2025, respectively (see Note 15).</w:t>
      </w:r>
    </w:p>
    <w:p>
      <w:pPr>
        <w:pStyle w:val="TextBody"/>
        <w:bidi w:val="0"/>
        <w:spacing w:before="80" w:after="283"/>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6" w:name="statements_of_operations"/>
      <w:bookmarkEnd w:id="6"/>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solidated_statements_of_operations"/>
      <w:bookmarkEnd w:id="7"/>
      <w:r>
        <w:rPr>
          <w:rFonts w:ascii="Times New Roman" w:hAnsi="Times New Roman"/>
          <w:b/>
          <w:caps/>
          <w:color w:val="000000"/>
          <w:sz w:val="20"/>
        </w:rPr>
        <w:t>Condensed Consolidated Statements of Operations and Comprehensive Loss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481"/>
        <w:gridCol w:w="146"/>
        <w:gridCol w:w="238"/>
        <w:gridCol w:w="1292"/>
        <w:gridCol w:w="166"/>
        <w:gridCol w:w="146"/>
        <w:gridCol w:w="238"/>
        <w:gridCol w:w="1292"/>
        <w:gridCol w:w="166"/>
        <w:gridCol w:w="146"/>
        <w:gridCol w:w="233"/>
        <w:gridCol w:w="1260"/>
        <w:gridCol w:w="166"/>
        <w:gridCol w:w="146"/>
        <w:gridCol w:w="233"/>
        <w:gridCol w:w="1260"/>
        <w:gridCol w:w="596"/>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product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320,435,078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120,016,132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315,082,327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119,950,172</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Includes related-party amounts of $571</w:t>
      </w:r>
      <w:r>
        <w:rPr>
          <w:color w:val="000000"/>
        </w:rPr>
        <w:t xml:space="preserve"> </w:t>
      </w:r>
      <w:r>
        <w:rPr>
          <w:rFonts w:ascii="Times New Roman" w:hAnsi="Times New Roman"/>
          <w:color w:val="000000"/>
          <w:sz w:val="20"/>
        </w:rPr>
        <w:t>and $1,121</w:t>
      </w:r>
      <w:r>
        <w:rPr>
          <w:color w:val="000000"/>
        </w:rPr>
        <w:t xml:space="preserve"> </w:t>
      </w:r>
      <w:r>
        <w:rPr>
          <w:rFonts w:ascii="Times New Roman" w:hAnsi="Times New Roman"/>
          <w:color w:val="000000"/>
          <w:sz w:val="20"/>
        </w:rPr>
        <w:t>for the three and six months ended June 30, 2026, respectively, and $472</w:t>
      </w:r>
      <w:r>
        <w:rPr>
          <w:color w:val="000000"/>
        </w:rPr>
        <w:t xml:space="preserve"> </w:t>
      </w:r>
      <w:r>
        <w:rPr>
          <w:rFonts w:ascii="Times New Roman" w:hAnsi="Times New Roman"/>
          <w:color w:val="000000"/>
          <w:sz w:val="20"/>
        </w:rPr>
        <w:t>and $924</w:t>
      </w:r>
      <w:r>
        <w:rPr>
          <w:color w:val="000000"/>
        </w:rPr>
        <w:t xml:space="preserve"> </w:t>
      </w:r>
      <w:r>
        <w:rPr>
          <w:rFonts w:ascii="Times New Roman" w:hAnsi="Times New Roman"/>
          <w:color w:val="000000"/>
          <w:sz w:val="20"/>
        </w:rPr>
        <w:t>for the three and six months ended June 30, 2025, respectively (see Note 15).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Includes related-party amounts of $1,129</w:t>
      </w:r>
      <w:r>
        <w:rPr>
          <w:color w:val="000000"/>
        </w:rPr>
        <w:t xml:space="preserve"> </w:t>
      </w:r>
      <w:r>
        <w:rPr>
          <w:rFonts w:ascii="Times New Roman" w:hAnsi="Times New Roman"/>
          <w:color w:val="000000"/>
          <w:sz w:val="20"/>
        </w:rPr>
        <w:t>and $2,255</w:t>
      </w:r>
      <w:r>
        <w:rPr>
          <w:color w:val="000000"/>
        </w:rPr>
        <w:t xml:space="preserve"> </w:t>
      </w:r>
      <w:r>
        <w:rPr>
          <w:rFonts w:ascii="Times New Roman" w:hAnsi="Times New Roman"/>
          <w:color w:val="000000"/>
          <w:sz w:val="20"/>
        </w:rPr>
        <w:t>for the three and six months ended June 30, 2026, respectively, and $1,140</w:t>
      </w:r>
      <w:r>
        <w:rPr>
          <w:color w:val="000000"/>
        </w:rPr>
        <w:t xml:space="preserve"> </w:t>
      </w:r>
      <w:r>
        <w:rPr>
          <w:rFonts w:ascii="Times New Roman" w:hAnsi="Times New Roman"/>
          <w:color w:val="000000"/>
          <w:sz w:val="20"/>
        </w:rPr>
        <w:t>and $2,268</w:t>
      </w:r>
      <w:r>
        <w:rPr>
          <w:color w:val="000000"/>
        </w:rPr>
        <w:t xml:space="preserve"> </w:t>
      </w:r>
      <w:r>
        <w:rPr>
          <w:rFonts w:ascii="Times New Roman" w:hAnsi="Times New Roman"/>
          <w:color w:val="000000"/>
          <w:sz w:val="20"/>
        </w:rPr>
        <w:t>for the three and six months ended June 30, 2025, respectively (see Note 15).</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statements_of_equity"/>
      <w:bookmarkEnd w:id="8"/>
      <w:r>
        <w:rPr>
          <w:rFonts w:ascii="Times New Roman" w:hAnsi="Times New Roman"/>
          <w:b/>
          <w:color w:val="000000"/>
          <w:sz w:val="20"/>
        </w:rPr>
        <w:t>INVIVYD, INC.</w:t>
      </w:r>
    </w:p>
    <w:p>
      <w:pPr>
        <w:pStyle w:val="TextBody"/>
        <w:bidi w:val="0"/>
        <w:spacing w:before="40" w:after="283"/>
        <w:jc w:val="center"/>
        <w:rPr>
          <w:rFonts w:ascii="Times New Roman" w:hAnsi="Times New Roman"/>
          <w:sz w:val="20"/>
        </w:rPr>
      </w:pPr>
      <w:bookmarkStart w:id="9" w:name="consolidated_statements_of_convertible"/>
      <w:bookmarkEnd w:id="9"/>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spacing w:before="40" w:after="283"/>
        <w:jc w:val="left"/>
        <w:rPr/>
      </w:pPr>
      <w:r>
        <w:rPr/>
        <w:t> </w:t>
      </w:r>
    </w:p>
    <w:tbl>
      <w:tblPr>
        <w:tblW w:w="11553" w:type="dxa"/>
        <w:jc w:val="left"/>
        <w:tblInd w:w="0" w:type="dxa"/>
        <w:tblLayout w:type="fixed"/>
        <w:tblCellMar>
          <w:top w:w="28" w:type="dxa"/>
          <w:left w:w="28" w:type="dxa"/>
          <w:bottom w:w="28" w:type="dxa"/>
          <w:right w:w="28" w:type="dxa"/>
        </w:tblCellMar>
      </w:tblPr>
      <w:tblGrid>
        <w:gridCol w:w="1261"/>
        <w:gridCol w:w="146"/>
        <w:gridCol w:w="146"/>
        <w:gridCol w:w="1141"/>
        <w:gridCol w:w="146"/>
        <w:gridCol w:w="146"/>
        <w:gridCol w:w="261"/>
        <w:gridCol w:w="430"/>
        <w:gridCol w:w="146"/>
        <w:gridCol w:w="146"/>
        <w:gridCol w:w="173"/>
        <w:gridCol w:w="413"/>
        <w:gridCol w:w="146"/>
        <w:gridCol w:w="146"/>
        <w:gridCol w:w="261"/>
        <w:gridCol w:w="430"/>
        <w:gridCol w:w="146"/>
        <w:gridCol w:w="146"/>
        <w:gridCol w:w="211"/>
        <w:gridCol w:w="931"/>
        <w:gridCol w:w="146"/>
        <w:gridCol w:w="146"/>
        <w:gridCol w:w="437"/>
        <w:gridCol w:w="779"/>
        <w:gridCol w:w="166"/>
        <w:gridCol w:w="146"/>
        <w:gridCol w:w="211"/>
        <w:gridCol w:w="991"/>
        <w:gridCol w:w="166"/>
        <w:gridCol w:w="146"/>
        <w:gridCol w:w="220"/>
        <w:gridCol w:w="81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281,987,033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restricted stock units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282,803,863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in connection with at-the-market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294,755,090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tbl>
      <w:tblPr>
        <w:tblW w:w="11253" w:type="dxa"/>
        <w:jc w:val="left"/>
        <w:tblInd w:w="0" w:type="dxa"/>
        <w:tblLayout w:type="fixed"/>
        <w:tblCellMar>
          <w:top w:w="28" w:type="dxa"/>
          <w:left w:w="28" w:type="dxa"/>
          <w:bottom w:w="28" w:type="dxa"/>
          <w:right w:w="28" w:type="dxa"/>
        </w:tblCellMar>
      </w:tblPr>
      <w:tblGrid>
        <w:gridCol w:w="1261"/>
        <w:gridCol w:w="146"/>
        <w:gridCol w:w="146"/>
        <w:gridCol w:w="1141"/>
        <w:gridCol w:w="146"/>
        <w:gridCol w:w="146"/>
        <w:gridCol w:w="261"/>
        <w:gridCol w:w="430"/>
        <w:gridCol w:w="146"/>
        <w:gridCol w:w="146"/>
        <w:gridCol w:w="173"/>
        <w:gridCol w:w="413"/>
        <w:gridCol w:w="146"/>
        <w:gridCol w:w="146"/>
        <w:gridCol w:w="261"/>
        <w:gridCol w:w="430"/>
        <w:gridCol w:w="146"/>
        <w:gridCol w:w="146"/>
        <w:gridCol w:w="211"/>
        <w:gridCol w:w="781"/>
        <w:gridCol w:w="146"/>
        <w:gridCol w:w="146"/>
        <w:gridCol w:w="437"/>
        <w:gridCol w:w="779"/>
        <w:gridCol w:w="166"/>
        <w:gridCol w:w="146"/>
        <w:gridCol w:w="211"/>
        <w:gridCol w:w="841"/>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119,961,445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120,142,811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statements_of_cash_flows"/>
      <w:bookmarkEnd w:id="10"/>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1" w:name="consolidated_statements_of_cash_flows"/>
      <w:bookmarkEnd w:id="11"/>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120" w:after="8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412"/>
        <w:gridCol w:w="146"/>
        <w:gridCol w:w="375"/>
        <w:gridCol w:w="1392"/>
        <w:gridCol w:w="166"/>
        <w:gridCol w:w="146"/>
        <w:gridCol w:w="390"/>
        <w:gridCol w:w="1364"/>
        <w:gridCol w:w="814"/>
      </w:tblGrid>
      <w:tr>
        <w:trPr/>
        <w:tc>
          <w:tcPr>
            <w:tcW w:w="5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at-the-market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at-the-market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underwritten public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34,905</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included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2" w:name="notes_to_financial_statements"/>
      <w:bookmarkEnd w:id="12"/>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120"/>
        <w:jc w:val="both"/>
        <w:rPr>
          <w:rFonts w:ascii="Times New Roman" w:hAnsi="Times New Roman"/>
          <w:sz w:val="20"/>
        </w:rPr>
      </w:pPr>
      <w:r>
        <w:rPr>
          <w:rFonts w:ascii="Times New Roman" w:hAnsi="Times New Roman"/>
          <w:b/>
          <w:color w:val="000000"/>
          <w:sz w:val="20"/>
        </w:rPr>
        <w:t>1. Nature of the Business and</w:t>
      </w:r>
      <w:r>
        <w:rPr>
          <w:rFonts w:ascii="Times New Roman" w:hAnsi="Times New Roman"/>
          <w:color w:val="000000"/>
          <w:sz w:val="20"/>
        </w:rPr>
        <w:t xml:space="preserve"> </w:t>
      </w: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Invivyd, Inc. (the “Company”) is a biopharmaceutical company focused on the discovery, development and commercialization of monoclonal antibody (“mAb”) therapies for the prevention and treatment of serious viral infectious diseases, beginning with SARS-CoV-2, the virus that causes COVID-19, and expanding into other high-need indications, such as measles and respiratory syncytial virus (“RSV”).</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authorization is revoked sooner. On June 30, 2026, the U.S. Department of Health and Human Services provided advance notice of the termination of the declaration, which will take effect after a twelve-month transition period ending on June 29, 2027. Consequently, the EUA for PEMGARDA is set to terminate on June 29, 2027. Consistent with EUA transition processes, the Company is in dialogue with the FDA about appropriate next steps for PEMGARDA.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January 2024, the Company nominated VYD2311, a next generation mAb candidate for COVID-19, as a drug candidate. VYD2311 is a mAb with high in vitro neutralization potency shown against prominent SARS-CoV-2 variants tested to date. In October 2025, the Company announced that the FDA cleared the Company’s Investigational New Drug (“IND”) application for VYD2311 and provided feedback to advance the Company’s REVOLUTION clinical program, the Company’s development program for VYD2311. The REVOLUTION clinical program includes three clinical trials, DECLARATION, LIBERTY, and DRUMMER. In December 2025, the Company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intramuscular injection, compared to placebo. In April 2026, the Company announced it had conducted a prospectively designed, conservative, algorithmic sample size re-estimation pooled, blinded analysis for the DECLARATION clinical trial and, in June 2026, the Company announced completion of enrollment in the upsized DECLARATION clinical trial. DECLARATION is designed to support potential Biologics License Application (“BLA”) submission, with top-line data planned later in the third quarter of 2026. In June 2026, the Company announced initiation and completion of enrollment in LIBERTY, which is designed as a Phase 3, randomized, double-blind clinical trial to evaluate the safety, serum virus neutralizing antibody responses, and pharmacokinetics of (1) VYD2311, (2) an mRNA COVID vaccine, and (3) co-administered VYD2311 with an mRNA COVID vaccine. The LIBERTY clinical trial is fully dosed, with top-line data anticipated later in the third quarter of 2026. Additionally, the Company has agreed with the FDA on an initial Pediatric Study Plan for an efficient safety and immunobridging clinical trial to support potential BLA submission for VYD2311 in children aged 0-11 years. This DRUMMER pediatric clinical trial will be actioned only if the pivotal DECLARATION clinical trial is successful. 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Company’s COVID-19 programs, in November 2025, the Company announced the selection of VBY329, a potential best-in-class mAb candidate being developed for the prevention of RSV infections in neonates, infants and children. The Company expects to advance VBY329 toward IND readiness in the second half of 2026. Also, in April 2026, the Company announced the discovery and advancement of VMS063, a novel, highly potent, half-life-extended, high resistance barrier measles mAb candidate. The Company has begun IND-enablement and regulatory outreach to support rapid VMS063 development, and expects to advance VMS063 toward IND readiness in the second half of 2026. Through the Company’s proprietary technology platform, the Company continues to investigate additional mAbs for protection and treatment of other important infectious diseases.</w:t>
      </w:r>
    </w:p>
    <w:p>
      <w:pPr>
        <w:pStyle w:val="TextBody"/>
        <w:bidi w:val="0"/>
        <w:jc w:val="both"/>
        <w:rPr>
          <w:rFonts w:ascii="Times New Roman" w:hAnsi="Times New Roman"/>
          <w:color w:val="000000"/>
          <w:sz w:val="20"/>
        </w:rPr>
      </w:pPr>
      <w:r>
        <w:rPr>
          <w:rFonts w:ascii="Times New Roman" w:hAnsi="Times New Roman"/>
          <w:color w:val="000000"/>
          <w:sz w:val="20"/>
        </w:rPr>
        <w:t>The Company was incorporated in the State of Delaware in June 2020. The Company operates as a hybrid company with employees working at its corporate headquarters in New Haven, Connecticut, and remotely. The Company leases dedicated laboratory and office space in Newton, Massachusetts for research and development purposes.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subject to a number of risks and uncertainties common to companies in the biopharmaceutical industry, including, but not limited to, completing clinical trials, the ability to raise additional capital to fund operations, obtaining and maintaining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Substantial Doubt about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net proceeds received from shares of common stock sold under the Sales Agreement (as defined below) and net proceeds received from shares of common stock and pre-funded warrants sold under the Underwriting Agreements (as defined below). After receiving EUA in March 2024, the Company has also funded its operations from sales of PEMGARDA.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incurred recurring losses and negative cash flows from operations since its inception, including a net loss of $85.8 million for the six months ended June 30, 2026. As of June 30, 2026, the Company had an accumulated deficit of $1,040.3 million. The Company may continue to generate operating losses for the foreseeable future.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current operating plans and excluding future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Invivyd, Inc. and its wholly owned subsidiaries, Invivyd Security Corporation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condensed consolidated balance sheet as of June 30, 2026, the condensed consolidated statements of operations and comprehensive loss for the three and six months ended June 30, 2026 and 2025, the condensed consolidated statements of cash flows for the six months ended June 30, 2026 and 2025 and the condensed consolidated statements of stockholders’ equity for the three and six months ended June 30, 2026 and 2025 are unaudited.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unaudited condensed consolidated financial statements as of June 30, 2026 and for the three and six months ended June 30, 2026 and 2025 have been prepared by the Company pursuant to the rules and regulations of the U.S. Securities and Exchange Commission (“SEC”) for interim financial statements. The accompanying condensed consolidated balance sheet as of December 31, 2025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2025, which are included in the Company’s Annual Report on Form 10-K for the year ended December 31, 2025, as filed with the SEC on March 5, 2026 (the “2025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necessary for a fair statement of the Company’s condensed consolidated financial position as of June 30, 2026 and December 31, 2025, the condensed consolidated results of operations for the three and six months ended June 30, 2026 and 2025, the condensed consolidated cash flows for the six months ended June 30, 2026 and 2025, and changes in stockholders’ equity for the three and six months ended June 30, 2026 and 2025 have been made. The Company’s condensed consolidated results of operations for the three and six months ended June 30, 2026 are not necessarily indicative of the results of operations that may be expected for the year ending December 31, 2026.</w:t>
      </w:r>
    </w:p>
    <w:p>
      <w:pPr>
        <w:pStyle w:val="TextBody"/>
        <w:bidi w:val="0"/>
        <w:spacing w:before="0" w:after="120"/>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Company’s significant accounting policies and estimates, which are detailed in the Company’s 2025 Form 10-K, have not materially changed.</w:t>
      </w:r>
    </w:p>
    <w:p>
      <w:pPr>
        <w:pStyle w:val="TextBody"/>
        <w:bidi w:val="0"/>
        <w:spacing w:before="0" w:after="12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expected future internal sales forecasts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If actual market conditions are less favorable than those projected by management, the Company is not able to obtain regulatory approval for PEMGARDA before the EUA for PEMGARDA terminates or in the event of an adverse FDA action, inventory write-downs may be required.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of cash, cash equivalents and accounts receivable. As of June 30, 2026, the Company invested its excess cash in money market funds that are subject to minimal credit and market risks. The Company maintains its existing cash and cash equivalents at two accredited financial institutions.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have been no material changes in customer concentration of accounts receivable from those detailed in the Company’s 2025 Form 10-K. As of June 30, 2026, the Company recorded an allowance for doubtful accounts of $0.2 million related to one direct customer.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(the “JOBS Act”), and will remain an emerging growth company until December 31, 2026.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pStyle w:val="TextBody"/>
        <w:bidi w:val="0"/>
        <w:spacing w:before="0" w:after="120"/>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642" w:type="dxa"/>
        <w:jc w:val="left"/>
        <w:tblInd w:w="0" w:type="dxa"/>
        <w:tblLayout w:type="fixed"/>
        <w:tblCellMar>
          <w:top w:w="28" w:type="dxa"/>
          <w:left w:w="28" w:type="dxa"/>
          <w:bottom w:w="28" w:type="dxa"/>
          <w:right w:w="28" w:type="dxa"/>
        </w:tblCellMar>
      </w:tblPr>
      <w:tblGrid>
        <w:gridCol w:w="161"/>
        <w:gridCol w:w="109"/>
        <w:gridCol w:w="146"/>
        <w:gridCol w:w="62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following tables present the Company’s fair value hierarchy for its assets and liabilities that are measured at fair value on a recurring basis (in thousands):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at </w:t>
              <w:b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money market funds were valued by the Company based on quoted market prices, which represent a Level 1 measurement within the fair value hierarchy.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changes to the valuation methods during the three and six months ended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into or out of Level 1, Level 2 or Level 3 fair value measurements during the three and six months ended June 30, 2026. </w:t>
      </w:r>
    </w:p>
    <w:p>
      <w:pPr>
        <w:pStyle w:val="TextBody"/>
        <w:bidi w:val="0"/>
        <w:jc w:val="both"/>
        <w:rPr>
          <w:rFonts w:ascii="Times New Roman" w:hAnsi="Times New Roman"/>
          <w:b/>
          <w:color w:val="000000"/>
          <w:sz w:val="20"/>
        </w:rPr>
      </w:pPr>
      <w:r>
        <w:rPr>
          <w:rFonts w:ascii="Times New Roman" w:hAnsi="Times New Roman"/>
          <w:b/>
          <w:color w:val="000000"/>
          <w:sz w:val="20"/>
        </w:rPr>
        <w:t>4. Inventory</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The following table presents non-current inventories (in thousands): </w:t>
      </w:r>
    </w:p>
    <w:tbl>
      <w:tblPr>
        <w:tblW w:w="4037"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60"/>
        <w:gridCol w:w="835"/>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$0.3 million of finished goods inventory was classified as a current asset and included within prepaid expenses and other current assets in the condensed consolidated balance sheet. Please refer to Note 5 for additional information.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5. Prepaid Expenses and Other Current Assets</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7937" w:type="dxa"/>
        <w:jc w:val="left"/>
        <w:tblInd w:w="0" w:type="dxa"/>
        <w:tblLayout w:type="fixed"/>
        <w:tblCellMar>
          <w:top w:w="28" w:type="dxa"/>
          <w:left w:w="28" w:type="dxa"/>
          <w:bottom w:w="28" w:type="dxa"/>
          <w:right w:w="28" w:type="dxa"/>
        </w:tblCellMar>
      </w:tblPr>
      <w:tblGrid>
        <w:gridCol w:w="5326"/>
        <w:gridCol w:w="146"/>
        <w:gridCol w:w="211"/>
        <w:gridCol w:w="676"/>
        <w:gridCol w:w="146"/>
        <w:gridCol w:w="146"/>
        <w:gridCol w:w="294"/>
        <w:gridCol w:w="80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development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license and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corporate communication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inventory,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6. Accrued Expenses</w:t>
      </w:r>
      <w:r>
        <w:rPr>
          <w:rFonts w:ascii="Times New Roman" w:hAnsi="Times New Roman"/>
          <w:color w:val="000000"/>
          <w:sz w:val="20"/>
        </w:rPr>
        <w:t xml:space="preserve">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 xml:space="preserve">Accrued expenses consisted of the following (in thousands): </w:t>
      </w:r>
    </w:p>
    <w:tbl>
      <w:tblPr>
        <w:tblW w:w="7997"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60"/>
        <w:gridCol w:w="835"/>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development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7. License and Collaboration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Adimab Assignment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July 2020, the Company entered into an Assignment and License Agreement (the “Adimab Assignment Agreement”) with Adimab, LLC (“Adimab”).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IND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Amounts paid with respect to services performed by Adimab on the Company’s behalf under the Adimab Assignment Agreement are recognized as research and development expense as such amounts are incurred. During both the three and six months ended June 30, 2026 and 2025, the Company did not recognize any research and development expense with respect to services performed by Adimab on the Company’s behalf under the Adimab Assignment Agreement. Please refer to Note 15 for additional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a total of $11.1 million has been achieved and paid through June 30, 2026; however, milestone payments do not accrue for certain </w:t>
      </w:r>
      <w:r>
        <w:rPr>
          <w:rFonts w:ascii="Times New Roman" w:hAnsi="Times New Roman"/>
          <w:i/>
          <w:color w:val="000000"/>
          <w:sz w:val="20"/>
        </w:rPr>
        <w:t xml:space="preserve">in vitro </w:t>
      </w:r>
      <w:r>
        <w:rPr>
          <w:rFonts w:ascii="Times New Roman" w:hAnsi="Times New Roman"/>
          <w:color w:val="000000"/>
          <w:sz w:val="20"/>
        </w:rPr>
        <w:t xml:space="preserve">diagnostic devices consisting of or containing CoV Antibodies.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next potential milestone under the Adimab Assignment Agreement is a low single-digit million-dollar regulatory milestone, which was not considered probable under U.S. GAAP and therefore, no expense was recognized as of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both the three and six months ended June 30, 2026 and 2025, the Company did not recognize any in-process research and development (“IPR&amp;D”) expense with respect to contingent consideration payable under the Adimab Assignment Agreement. Except for milestone payments of $11.1 million incurred through December 31, 2023, no other milestone payments have been paid to or have been earned by Adimab through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three and six months ended June 30, 2026, the Company expensed $0.6 million and $1.2 million of royalties, respectively, while reserving all rights under the Adimab Assignment Agreement and the applicable law. During the three and six months ended June 30, 2025, the Company expensed $0.4 million and $0.9 million, respectively, of royalties, while reserving all rights under the Adimab Assignment Agreement and the applicable law. In addition, the Company is obligated to pay Adimab royalties of a specified percentage in the range of 45% to 55% of any compulsory sublicense consideration received by the Company in lieu of certain royalty payments.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Adimab Collaboration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both the three months ended June 30, 2026 and 2025, the Company recognized $0.6 million of research and development expense related to the quarterly fee. During both the six months ended June 30, 2026 and 2025, the Company recognized $1.2 million of research and development expense related to the quarterly fee.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three and six months ended June 30, 2026 and 2025, the Company did not recognize any research and development expense with respect to services performed by Adimab on the Company’s behalf under the Adimab Collaboration Agreement. During both the three and six months ended June 30, 2026 and 2025, the Company did not recognize any IPR&amp;D expense related to drug delivery fees, optimization completion fees or option exercise fees. Please refer to Note 15 for additional information.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June 30, 2026.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June 30, 2026, no royalty payments have been paid to or have been earned by Adimab under the Adimab Collaboration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Adimab Platform Transfer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months ended June 30, 2026 and 2025, the Company recognized $0.5 million of research and development expense related to the annual fee under the Adimab Platform Transfer Agreement. During both the six months ended June 30, 2026 and 2025, the Company recognized $1.0 million of research and development expense related to the annual fee under the Adimab Platform Transfer Agreement. Beginning in July 2027 and ending in June 2042, unless terminated earlier, the Company has the option to receive additional material improvements to the platform technology from Adimab, subject to a commercially reasonable fee to be negotiated by the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June 30,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June 30, 2026, no royalty payments have been paid to or have been earned by Adimab under the Adimab Platform Transfer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pStyle w:val="TextBody"/>
        <w:bidi w:val="0"/>
        <w:spacing w:before="0" w:after="120"/>
        <w:jc w:val="both"/>
        <w:rPr>
          <w:rFonts w:ascii="Times New Roman" w:hAnsi="Times New Roman"/>
          <w:sz w:val="20"/>
        </w:rPr>
      </w:pPr>
      <w:r>
        <w:rPr>
          <w:rFonts w:ascii="Times New Roman" w:hAnsi="Times New Roman"/>
          <w:b/>
          <w:i/>
          <w:color w:val="000000"/>
          <w:sz w:val="20"/>
        </w:rPr>
        <w:t>WuXi Biologics Cell Line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2020, as amended in February 2023, March 2024 and March 2026,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2020, the Company recognized an upfront fee of $0.2 million upon completion of cell bank generation for the first Licensed Cell Line created under the Cell Line License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with respect to certain Licensed Products by making a one-time payment in the low eight-figures to WuXi Biologics and with respect to certain other Licensed Products by making a one-time payment in the middle-seven 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The royalty obligation shall be waived to the extent the royalty obligation is derived or arising from a Licensed Product sold in the U.S. if the Company’s ability to have such Licensed Product manufactured by WuXi Biologics becomes materially restricted due to certain government actions, with such waiver continuing for so long as such government action continues. Through June 30, 2026, no royalties had become due to WuXi Biologics.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and six months ended June 30, 2026 and 2025.</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8. Population Health Partners, L.P.</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compensation for the services and deliverables under the PHP Work Order, the Company paid PHP a cash fee of $0.5 million per month during the term of the PHP Work Order for an aggregate fee of $3.0 million (the “Aggregate Fee”).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both the three and six months ended June 30, 2026 and 2025, the Company did not pay any cash compensation to PHP and therefore did not recognize any research and development expense related thereto.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3,591,954 shares of the Company’s common stock underlying the PHP Warrant vests if the Company’s Market Capitalization (as defined below) equals or exceeds $758,517,511 by November 15, 2028;</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1,795,977 shares of the Company’s common stock underlying the PHP Warrant vests if the Company’s Market Capitalization equals or exceeds $1,137,776,266 by November 15, 2029;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1,436,781 shares of the Company’s common stock underlying the PHP Warrant vests if the Company’s Market Capitalization equals or exceeds $1,517,035,022 by November 15, 2030.</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 As of June 30, 2026, no portion of the PHP Warrant had vested.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Refer to Note 11 for additional information on the PHP Warrant.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Tamsin Berry, a member of the Company’s board of directors, is a Limited Partner of PHP.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Operating Lease Commitments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 through December 2027, with an option to further extend the lease for an additional twenty-four months or continue the lease on a month-to-month basis after completion of the term ending in December 2027.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February 2026, the Company further amended the Newton, MA Lease to add additional dedicated laboratory space, which commenced on March 1, 2026. The amendment provides for incremental annual base rent of $0.3 million for the remainder of the lease term, through December 2027.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May 2025, the Company entered into a short-term lease agreement for approximately 13,600 square feet of office space in New Haven, Connecticut, with an original term of 12 months. The Company has elected the short-term lease recognition exemption under ASC Topic 842 – Leases and therefore has not recognized a right-of-use asset or lease liability on the balance sheet. In May 2026, the Company amended the agreement to extend the term through September 2026 and continued to elect the short-term lease recognition exemption. For the three and six months ended June 30, 2026 and 2025, base rent charges of less than $0.1 million were incurred.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January 2026, the Company entered into an agreement to lease approximately 33,000 square feet of office space in New Haven, Connecticut (the “New Haven Lease”). The New Haven Lease commenced in March 2026 and has an initial term of 129 months. The Company’s obligation for the payment of rent for the premises begins six months after the lease commencement date and total future minimum lease payments are expected to be $10.9 million. The lease includes a tenant improvement allowance of approximately $1.0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terms of the New Haven Lease, the Company made a security deposit of $1.0 million in the form of a letter of credit, which will be reduced by 50% in September 2027, following the first twelve months of rent payments.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The components of operating lease expense were as follows (in thousands):</w:t>
      </w:r>
    </w:p>
    <w:tbl>
      <w:tblPr>
        <w:tblW w:w="10205" w:type="dxa"/>
        <w:jc w:val="left"/>
        <w:tblInd w:w="0" w:type="dxa"/>
        <w:tblLayout w:type="fixed"/>
        <w:tblCellMar>
          <w:top w:w="28" w:type="dxa"/>
          <w:left w:w="28" w:type="dxa"/>
          <w:bottom w:w="28" w:type="dxa"/>
          <w:right w:w="28" w:type="dxa"/>
        </w:tblCellMar>
      </w:tblPr>
      <w:tblGrid>
        <w:gridCol w:w="3909"/>
        <w:gridCol w:w="146"/>
        <w:gridCol w:w="418"/>
        <w:gridCol w:w="838"/>
        <w:gridCol w:w="146"/>
        <w:gridCol w:w="146"/>
        <w:gridCol w:w="418"/>
        <w:gridCol w:w="838"/>
        <w:gridCol w:w="146"/>
        <w:gridCol w:w="146"/>
        <w:gridCol w:w="323"/>
        <w:gridCol w:w="875"/>
        <w:gridCol w:w="146"/>
        <w:gridCol w:w="146"/>
        <w:gridCol w:w="389"/>
        <w:gridCol w:w="780"/>
        <w:gridCol w:w="395"/>
      </w:tblGrid>
      <w:tr>
        <w:trPr/>
        <w:tc>
          <w:tcPr>
            <w:tcW w:w="3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related to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80"/>
        <w:jc w:val="both"/>
        <w:rPr/>
      </w:pPr>
      <w:r>
        <w:rPr/>
        <w:t>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Future minimum lease payments under the noncancelable leases as of June 30, 2026 was as follows (in thousands):</w:t>
      </w:r>
    </w:p>
    <w:tbl>
      <w:tblPr>
        <w:tblW w:w="7412" w:type="dxa"/>
        <w:jc w:val="left"/>
        <w:tblInd w:w="0" w:type="dxa"/>
        <w:tblLayout w:type="fixed"/>
        <w:tblCellMar>
          <w:top w:w="28" w:type="dxa"/>
          <w:left w:w="28" w:type="dxa"/>
          <w:bottom w:w="28" w:type="dxa"/>
          <w:right w:w="28" w:type="dxa"/>
        </w:tblCellMar>
      </w:tblPr>
      <w:tblGrid>
        <w:gridCol w:w="5896"/>
        <w:gridCol w:w="310"/>
        <w:gridCol w:w="995"/>
        <w:gridCol w:w="211"/>
      </w:tblGrid>
      <w:tr>
        <w:trPr/>
        <w:tc>
          <w:tcPr>
            <w:tcW w:w="58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Ending December 31,</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six months ended June 30, 2026)</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tenant improvement allowance reimbursements yet to be received</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liability</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June 30, 2026, the Company’s operating leases were measured using a weighted-average incremental borrowing rate of 7.8% over a weighted-average remaining lease term of 8.0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2025, the Company’s operating leases were measured using a weighted-average incremental borrowing rate of 6.0% over a weighted-average remaining lease term of 2.5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total operating liabilities are presented on the Company’s condensed consolidated balance sheet based on maturity dates. As of June 30, 2026, $1.6 million is classified under “operating lease liabilities, current” for the portion due within twelve months, and $6.8 million is classified under “operating lease liabilities, non-current”.</w:t>
      </w:r>
    </w:p>
    <w:p>
      <w:pPr>
        <w:pStyle w:val="TextBody"/>
        <w:bidi w:val="0"/>
        <w:spacing w:before="0" w:after="120"/>
        <w:jc w:val="both"/>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entered into license agreements with Adimab and WuXi Biologics (see Note 7).</w:t>
      </w:r>
    </w:p>
    <w:p>
      <w:pPr>
        <w:pStyle w:val="TextBody"/>
        <w:bidi w:val="0"/>
        <w:spacing w:before="0" w:after="120"/>
        <w:jc w:val="both"/>
        <w:rPr>
          <w:rFonts w:ascii="Times New Roman" w:hAnsi="Times New Roman"/>
          <w:sz w:val="20"/>
        </w:rPr>
      </w:pPr>
      <w:r>
        <w:rPr>
          <w:rFonts w:ascii="Times New Roman" w:hAnsi="Times New Roman"/>
          <w:b/>
          <w:i/>
          <w:color w:val="000000"/>
          <w:sz w:val="20"/>
        </w:rPr>
        <w:t>Other Contracts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June 30, 2026 and December 31, 2025. </w:t>
      </w:r>
    </w:p>
    <w:p>
      <w:pPr>
        <w:pStyle w:val="TextBody"/>
        <w:bidi w:val="0"/>
        <w:spacing w:before="0" w:after="120"/>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2026, the Company was not a party to any material legal proceedings.</w:t>
      </w:r>
    </w:p>
    <w:p>
      <w:pPr>
        <w:pStyle w:val="TextBody"/>
        <w:bidi w:val="0"/>
        <w:spacing w:before="0" w:after="120"/>
        <w:jc w:val="both"/>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its vendors, lessors, contract research organizations, contract development and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18, 2025, the Company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June 30, 2026, the Company had not satisfied certain financial covenants and conditions, including the net product revenue milestone required to be eligible to access proceeds from the Term Facility. Accordingly, as of June 30, 2026, no amounts have been drawn down under the Loan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will be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10.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Shares Reserved for Future Issuance</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reserved 59,942,264 shares of common stock for the exercise of outstanding stock options, the vesting of outstanding restricted stock units (“RSUs”) and the issuance of awards available for grant under the Company’s 2020 Equity Incentive Plan, 2021 Equity Incentive Plan, 2021 Employee Stock Purchase Plan and 2026 Inducement Plan (see Note 11).</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Shelf Registration Statements</w:t>
      </w:r>
    </w:p>
    <w:p>
      <w:pPr>
        <w:pStyle w:val="TextBody"/>
        <w:bidi w:val="0"/>
        <w:jc w:val="both"/>
        <w:rPr>
          <w:rFonts w:ascii="Times New Roman" w:hAnsi="Times New Roman"/>
          <w:color w:val="000000"/>
          <w:sz w:val="20"/>
        </w:rPr>
      </w:pPr>
      <w:r>
        <w:rPr>
          <w:rFonts w:ascii="Times New Roman" w:hAnsi="Times New Roman"/>
          <w:color w:val="000000"/>
          <w:sz w:val="20"/>
        </w:rPr>
        <w:t>In September 2022, the Company filed a shelf registration statement on Form S-3 with the SEC and an accompanying base prospectus, which was declared effective by the SEC on October 5, 2022, for the offer and sale of up to $400 million of the Company’s securities (the “2022 Shelf Registration Statement”). The 2022 Shelf Registration Statement expired upon the effectiveness of the 2025 Shelf Registration Statement (as defined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filed a new shelf registration statement on Form S-3 with the SEC and an accompanying base prospectus, which was declared effective by the SEC on December 23, 2025, for the offer and sale of up to $350 million of the Company’s securities (the “2025 Shelf Registration Statement”). As of June 30, 2026, excluding the $75 million allocated to the 2025 ATM Prospectus Supplement (as defined below), $275 million of the Company’s securities remained available for offer and sale under the 2025 Shelf Registration Statement.</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August 2025 Underwritten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August 2025, the Company completed an underwritten public offering pursuant to an underwriting agreement (the “August Underwriting Agreement”) with Cantor Fitzgerald &amp; Co. (“Cantor”), as representative of the underwriters named therein, pursuant to which it issued and sold an aggregate of 89,234,480 shares of its common stock at a price of $0.52 per share, and pre-funded warrants to purchase up to an aggregate of 21,342,442 shares of common stock at a price of $0.5199 per pre-funded warrant (the “August 2025 Underwritten Public Offering”). The price of $0.5199 per pre-funded warrant represented the $0.52 per share purchase price for the common stock less the exercise price of $0.0001 per pre-funded warrant. The pre-funded warrants are exercisable at any time after their original issuance and will not expire. The Company received total net proceeds of approximately $53.5 million, after deducting underwriting discounts and commissions and offering expenses payable by the Company. As of June 30, 2026, there were no exercises of pre-funded warrants that were issued in connection with the August 2025 Underwritten Public Offering.</w:t>
      </w:r>
    </w:p>
    <w:p>
      <w:pPr>
        <w:pStyle w:val="TextBody"/>
        <w:bidi w:val="0"/>
        <w:jc w:val="both"/>
        <w:rPr>
          <w:rFonts w:ascii="Times New Roman" w:hAnsi="Times New Roman"/>
          <w:b/>
          <w:i/>
          <w:color w:val="000000"/>
          <w:sz w:val="20"/>
        </w:rPr>
      </w:pPr>
      <w:r>
        <w:rPr>
          <w:rFonts w:ascii="Times New Roman" w:hAnsi="Times New Roman"/>
          <w:b/>
          <w:i/>
          <w:color w:val="000000"/>
          <w:sz w:val="20"/>
        </w:rPr>
        <w:t>November 2025 Underwritten Public Offering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November 2025, the Company completed an underwritten public offering pursuant to an underwriting agreement (the “November Underwriting Agreement” and together with the August Underwriting Agreement, the “Underwriting Agreements”) with Cantor, as representative of the underwriters named therein, pursuant to which it issued and sold an aggregate of 44,000,000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its common stock at a price of $2.50 per share, and pre-funded warrants to purchase up to an aggregate of 6,000,000 shares of common stock at a price of $2.4999 per pre-funded warrant (the “November 2025 Underwritten Public Offering”, and, together with the August 2025 Underwritten Public Offering, the “2025 Underwritten Public Offerings”). The price of $2.4999 per pre-funded warrant represented the $2.50 per share purchase price for the common stock less the exercise price of $0.0001 per pre-funded warrant. The pre-funded warrants are exercisable at any time after their original issuance and will not expire. The Company received total net proceeds of approximately $117.2 million, after deducting underwriting discounts and commissions and offering expenses payable by the Company. As of June 30, 2026, there were no exercises of pre-funded warrants that were issued in connection with the November 2025 Underwritten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the Company received total net proceeds of approximately $10.9 million, after deducting underwriting discounts and commissions and offering expenses payable by the Company.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0" w:after="120"/>
        <w:jc w:val="both"/>
        <w:rPr>
          <w:rFonts w:ascii="Times New Roman" w:hAnsi="Times New Roman"/>
          <w:sz w:val="20"/>
        </w:rPr>
      </w:pPr>
      <w:r>
        <w:rPr>
          <w:rFonts w:ascii="Times New Roman" w:hAnsi="Times New Roman"/>
          <w:color w:val="000000"/>
          <w:sz w:val="20"/>
        </w:rPr>
        <w:t>In December 2023, the Company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(the “Sales Agreement”) with Cantor, as sales agent, and filed with the SEC a prospectus supplement (the “2023 ATM Prospectus Supplement”) to the 2022 Shelf Registration Statement, pursuant to which the Company could, at its option, offer and sell shares of its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the Company sold 9,000,000 shares of its common stock under the Sales Agreement and the 2023 ATM Prospectus Supplement, at an average price of $4.50 per share for $39.3 million in proceeds net of commissions. In 2025, the Company sold 23,055,402 shares of its common stock under the Sales Agreement and the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October 2025, in connection with the filing of the 2025 Shelf Registration Statement, the Company filed with the SEC a new prospectus supplement (the “2025 ATM Prospectus Supplement”),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In April 2026, the Company sold 11,803,589 shares of its common stock under the Sales Agreement at an average price of $1.70 per share for $19.4 million in proceeds net of commissions. As of June 30, 2026, $55.0 million remained available for sale under the 2025 ATM Prospectus Supplement. </w:t>
      </w:r>
    </w:p>
    <w:p>
      <w:pPr>
        <w:pStyle w:val="TextBody"/>
        <w:bidi w:val="0"/>
        <w:spacing w:before="0" w:after="120"/>
        <w:jc w:val="both"/>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2020 Equity Incentive Plan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2020 Equity Incentive Plan (the “2020 Plan”) provides for the Company to grant incentive stock options, non-qualified stock options, restricted stock awards, RSUs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there were 467,615 shares authorized to be issued upon the exercise of outstanding stock options and no shares reserved for future issuance under the 2020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RSUs and other stock-based awards. The number of shares initially reserved for issuance under the 2021 Plan was equal to 35,075,122, which was the sum of 11,413,572 new shares; plus the number of shares (not to exceed 23,661,550 shares), which represented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On January 1, 2026, 14,099,351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there were an aggregate of 28,098,454 shares authorized to be issued upon the exercise of outstanding stock options and vesting of RSU grants and 20,401,319 shares reserved for future issuance under the 2021 Plan.</w:t>
      </w:r>
    </w:p>
    <w:p>
      <w:pPr>
        <w:pStyle w:val="TextBody"/>
        <w:bidi w:val="0"/>
        <w:jc w:val="both"/>
        <w:rPr>
          <w:rFonts w:ascii="Times New Roman" w:hAnsi="Times New Roman"/>
          <w:b/>
          <w:i/>
          <w:color w:val="000000"/>
          <w:sz w:val="20"/>
        </w:rPr>
      </w:pPr>
      <w:r>
        <w:rPr>
          <w:rFonts w:ascii="Times New Roman" w:hAnsi="Times New Roman"/>
          <w:b/>
          <w:i/>
          <w:color w:val="000000"/>
          <w:sz w:val="20"/>
        </w:rPr>
        <w:t>2026 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the Company’s board of directors adopted the 2026 Inducement Plan (the “2026 Inducement Plan”). Under the 2026 Inducement Plan, the Company is authorized to issue up to 8,000,000 shares pursuant to inducement grants. The only persons eligible to receive grants under the 2026 Inducement Plan are individuals who satisfy the standards for inducement grants under Nasdaq Listing Rule 5635(c)(4) and the related guidance under Nasdaq IM 5635-1, including individuals who were not previously an employee or director of the Company (or individuals following a bona fide period of non-employment), in each case as an inducement material to such individual’s agreement to enter into employment with the Company. The 2026 Inducement Plan provides for the discretionary grant of nonstatutory stock options, stock appreciation rights, restricted stock awards, RSUs, performance awards, and certain other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there were an aggregate of 2,440,250 shares authorized to be issued upon the exercise of outstanding stock options and 5,559,750 shares reserved for future issuance under the 2026 Inducement Plan. </w:t>
      </w:r>
    </w:p>
    <w:p>
      <w:pPr>
        <w:pStyle w:val="TextBody"/>
        <w:bidi w:val="0"/>
        <w:spacing w:before="120" w:after="120"/>
        <w:jc w:val="both"/>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The following table presents, on a weighted-average basis, the assumptions used in the Black-Scholes option-pricing model to determine the grant date fair value of stock options granted:</w:t>
      </w:r>
    </w:p>
    <w:tbl>
      <w:tblPr>
        <w:tblW w:w="10205" w:type="dxa"/>
        <w:jc w:val="left"/>
        <w:tblInd w:w="0" w:type="dxa"/>
        <w:tblLayout w:type="fixed"/>
        <w:tblCellMar>
          <w:top w:w="28" w:type="dxa"/>
          <w:left w:w="28" w:type="dxa"/>
          <w:bottom w:w="28" w:type="dxa"/>
          <w:right w:w="28" w:type="dxa"/>
        </w:tblCellMar>
      </w:tblPr>
      <w:tblGrid>
        <w:gridCol w:w="1926"/>
        <w:gridCol w:w="146"/>
        <w:gridCol w:w="476"/>
        <w:gridCol w:w="1522"/>
        <w:gridCol w:w="271"/>
        <w:gridCol w:w="146"/>
        <w:gridCol w:w="476"/>
        <w:gridCol w:w="1522"/>
        <w:gridCol w:w="271"/>
        <w:gridCol w:w="146"/>
        <w:gridCol w:w="306"/>
        <w:gridCol w:w="978"/>
        <w:gridCol w:w="271"/>
        <w:gridCol w:w="146"/>
        <w:gridCol w:w="306"/>
        <w:gridCol w:w="978"/>
        <w:gridCol w:w="318"/>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following table summarizes the Company’s stock option activity since December 31, 2025: </w:t>
      </w:r>
    </w:p>
    <w:tbl>
      <w:tblPr>
        <w:tblW w:w="9353" w:type="dxa"/>
        <w:jc w:val="left"/>
        <w:tblInd w:w="0" w:type="dxa"/>
        <w:tblLayout w:type="fixed"/>
        <w:tblCellMar>
          <w:top w:w="28" w:type="dxa"/>
          <w:left w:w="28" w:type="dxa"/>
          <w:bottom w:w="28" w:type="dxa"/>
          <w:right w:w="28" w:type="dxa"/>
        </w:tblCellMar>
      </w:tblPr>
      <w:tblGrid>
        <w:gridCol w:w="3766"/>
        <w:gridCol w:w="146"/>
        <w:gridCol w:w="146"/>
        <w:gridCol w:w="1036"/>
        <w:gridCol w:w="166"/>
        <w:gridCol w:w="146"/>
        <w:gridCol w:w="266"/>
        <w:gridCol w:w="590"/>
        <w:gridCol w:w="146"/>
        <w:gridCol w:w="146"/>
        <w:gridCol w:w="285"/>
        <w:gridCol w:w="706"/>
        <w:gridCol w:w="146"/>
        <w:gridCol w:w="146"/>
        <w:gridCol w:w="267"/>
        <w:gridCol w:w="85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weighted-average grant date fair value of stock options granted during the three and six months ended June 30, 2026 was $0.87 and $1.11, respectively, per share.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weighted-average grant date fair value of stock options granted during the three and six months ended June 30, 2025 was $0.43 and $0.90, respectively,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market value of the common stock for the options that had exercise prices lower than the estimated fair value of the Company’s common stock at June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total intrinsic value of stock options exercised was less than $0.1 million for both the three and six months ended June 30, 2026 and the three and six months ended June 30, 2025.</w:t>
      </w:r>
    </w:p>
    <w:p>
      <w:pPr>
        <w:pStyle w:val="TextBody"/>
        <w:bidi w:val="0"/>
        <w:spacing w:before="0" w:after="120"/>
        <w:jc w:val="both"/>
        <w:rPr>
          <w:rFonts w:ascii="Times New Roman" w:hAnsi="Times New Roman"/>
          <w:sz w:val="20"/>
        </w:rPr>
      </w:pPr>
      <w:r>
        <w:rPr>
          <w:rFonts w:ascii="Times New Roman" w:hAnsi="Times New Roman"/>
          <w:b/>
          <w:i/>
          <w:color w:val="000000"/>
          <w:sz w:val="20"/>
        </w:rPr>
        <w:t>Restricted Stock Unit Activity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February and September 2025, the Company’s board of directors approved RSU grants to the Company’s executive officers and certain of its employees under the 2021 Plan. In February 2025, an aggregate of 1,700,000 RSUs were issued at a grant date fair value of $1.61 per share. In September 2025, an aggregate of 400,000 RSUs were issued at a grant date fair value of $1.15 per share. All RSU grants are scheduled to vest over an eighteen-month period, with one-third of the RSUs vesting every six months following the relevant grant date, subject to continuous service as of each vesting date.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following table summarizes the Company’s RSU activity since December 31, 2025: </w:t>
      </w:r>
    </w:p>
    <w:tbl>
      <w:tblPr>
        <w:tblW w:w="7792"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986"/>
        <w:gridCol w:w="2179"/>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Company recorded stock-based compensation expense (service-based stock options, RSUs, and the Company’s employee stock purchase plan) in the following expense categories of its condensed consolidated statements of operations and comprehensive loss (in thousands): </w:t>
      </w:r>
    </w:p>
    <w:tbl>
      <w:tblPr>
        <w:tblW w:w="10205" w:type="dxa"/>
        <w:jc w:val="left"/>
        <w:tblInd w:w="0" w:type="dxa"/>
        <w:tblLayout w:type="fixed"/>
        <w:tblCellMar>
          <w:top w:w="28" w:type="dxa"/>
          <w:left w:w="28" w:type="dxa"/>
          <w:bottom w:w="28" w:type="dxa"/>
          <w:right w:w="28" w:type="dxa"/>
        </w:tblCellMar>
      </w:tblPr>
      <w:tblGrid>
        <w:gridCol w:w="2584"/>
        <w:gridCol w:w="146"/>
        <w:gridCol w:w="521"/>
        <w:gridCol w:w="1412"/>
        <w:gridCol w:w="146"/>
        <w:gridCol w:w="146"/>
        <w:gridCol w:w="521"/>
        <w:gridCol w:w="1412"/>
        <w:gridCol w:w="146"/>
        <w:gridCol w:w="146"/>
        <w:gridCol w:w="342"/>
        <w:gridCol w:w="927"/>
        <w:gridCol w:w="146"/>
        <w:gridCol w:w="146"/>
        <w:gridCol w:w="342"/>
        <w:gridCol w:w="927"/>
        <w:gridCol w:w="195"/>
      </w:tblGrid>
      <w:tr>
        <w:trPr/>
        <w:tc>
          <w:tcPr>
            <w:tcW w:w="2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June 30, 2026, total unrecognized stock-based compensation expense related to unvested stock options was $17.4 million, which is expected to be recognized over a weighted-average period of 2.4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total unrecognized stock-based compensation expense related to unvested RSUs was $0.4 million, which is expected to be recognized over a weighted-average period of 0.3 years.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On January 1, 2026, the number of shares authorized for issuance under the 2021 ESPP increased by 2,685,546 shares of common stock, pursuant to the evergreen provision thereof. The first offering under the 2021 ESPP was June 6, 2022. As of June 30, 2026, 2,974,876 shares remained available for issuance under the 2021 ESPP. There were 1,053,443 shares issued under the 2021 ESPP as of June 30, 2026. During the three and six months ended June 30, 2026, the Company recognized less than $0.1 million and less than $0.2 million in related stock-based compensation expense, respectively. During both the three and six months ended June 30, 2025, the Company recognized less than $0.1 million in related stock-based compensation expense.</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Warrant Expense</w:t>
      </w:r>
    </w:p>
    <w:p>
      <w:pPr>
        <w:pStyle w:val="TextBody"/>
        <w:bidi w:val="0"/>
        <w:jc w:val="both"/>
        <w:rPr>
          <w:rFonts w:ascii="Times New Roman" w:hAnsi="Times New Roman"/>
          <w:color w:val="000000"/>
          <w:sz w:val="20"/>
        </w:rPr>
      </w:pPr>
      <w:r>
        <w:rPr>
          <w:rFonts w:ascii="Times New Roman" w:hAnsi="Times New Roman"/>
          <w:color w:val="000000"/>
          <w:sz w:val="20"/>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grant date fair value of the PHP Warrant was $17.4 million, which was recognized as warrant expense on the grant date in November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warrants issued during the three and six months ended June 30, 2026 and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other than the pre-funded warrants issued in the 2025 Underwritten Public Offerings, there were 6,824,712 warrants outstanding and not yet vested at a weighted-average exercise price of $3.48, with a weighted-average remaining contractual term of 6.38 years.</w:t>
      </w:r>
    </w:p>
    <w:p>
      <w:pPr>
        <w:pStyle w:val="TextBody"/>
        <w:bidi w:val="0"/>
        <w:spacing w:before="120" w:after="120"/>
        <w:jc w:val="both"/>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both the three and six months ended June 30, 2026 and 2025,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pStyle w:val="TextBody"/>
        <w:bidi w:val="0"/>
        <w:spacing w:before="0" w:after="120"/>
        <w:jc w:val="both"/>
        <w:rPr>
          <w:rFonts w:ascii="Times New Roman" w:hAnsi="Times New Roman"/>
          <w:sz w:val="20"/>
        </w:rPr>
      </w:pPr>
      <w:r>
        <w:rPr>
          <w:rFonts w:ascii="Times New Roman" w:hAnsi="Times New Roman"/>
          <w:b/>
          <w:color w:val="000000"/>
          <w:sz w:val="20"/>
        </w:rPr>
        <w:t>13. Defined Contribution Plan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compensation. For the three and six months ended June 30, 2026, the Company contributed $0.3 million and $0.6 million, respectively, to the 401(k) Plan. For the three and six months ended June 30, 2025, the Company contributed $0.2 million and $0.4 million, respectively, to the 401(k) Plan.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14. Net Loss per Share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550"/>
        <w:gridCol w:w="346"/>
        <w:gridCol w:w="235"/>
        <w:gridCol w:w="1276"/>
        <w:gridCol w:w="166"/>
        <w:gridCol w:w="146"/>
        <w:gridCol w:w="235"/>
        <w:gridCol w:w="1276"/>
        <w:gridCol w:w="166"/>
        <w:gridCol w:w="146"/>
        <w:gridCol w:w="230"/>
        <w:gridCol w:w="1247"/>
        <w:gridCol w:w="166"/>
        <w:gridCol w:w="146"/>
        <w:gridCol w:w="230"/>
        <w:gridCol w:w="1247"/>
        <w:gridCol w:w="397"/>
      </w:tblGrid>
      <w:tr>
        <w:trPr/>
        <w:tc>
          <w:tcPr>
            <w:tcW w:w="25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320,435,078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120,016,132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315,082,327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119,950,172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27,342,442 shares of common stock issuable upon exercise of pre-funded warrants described in Note 10 are included as outstanding common stock in the calculation of net loss per common share.</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7080" w:type="dxa"/>
        <w:jc w:val="left"/>
        <w:tblInd w:w="0" w:type="dxa"/>
        <w:tblLayout w:type="fixed"/>
        <w:tblCellMar>
          <w:top w:w="28" w:type="dxa"/>
          <w:left w:w="28" w:type="dxa"/>
          <w:bottom w:w="28" w:type="dxa"/>
          <w:right w:w="28" w:type="dxa"/>
        </w:tblCellMar>
      </w:tblPr>
      <w:tblGrid>
        <w:gridCol w:w="3451"/>
        <w:gridCol w:w="146"/>
        <w:gridCol w:w="185"/>
        <w:gridCol w:w="1315"/>
        <w:gridCol w:w="146"/>
        <w:gridCol w:w="146"/>
        <w:gridCol w:w="185"/>
        <w:gridCol w:w="1315"/>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21,215,534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6,824,712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37,831,031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29,740,246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15. Related-Party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an aggregate of $0.6 million and $0.7 million, respectively, was due to Adimab, a beneficial owner of more than 5% of the Company’s common stock, under the Adimab Assignment Agreement, the Adimab Collaboration Agreement, the Adimab Platform Transfer Agreement and the Adimab DNA Sequencing Services Agreement (as defined below) by the Company and was included in accounts payable and accrued expenses. As of June 30, 2026 and December 31, 2025, no amounts were due to the Company from Adimab under the Adimab Assignment Agreement, the Adimab Collaboration Agreement, the Adimab Platform Transfer Agreement, the Adimab DNA Sequencing Services Agreement or the Adimab LCMS Services Agreement (as defined below).</w:t>
      </w:r>
    </w:p>
    <w:p>
      <w:pPr>
        <w:pStyle w:val="TextBody"/>
        <w:bidi w:val="0"/>
        <w:spacing w:before="120" w:after="283"/>
        <w:jc w:val="both"/>
        <w:rPr>
          <w:rFonts w:ascii="Times New Roman" w:hAnsi="Times New Roman"/>
          <w:sz w:val="20"/>
        </w:rPr>
      </w:pPr>
      <w:r>
        <w:rPr>
          <w:rFonts w:ascii="Times New Roman" w:hAnsi="Times New Roman"/>
          <w:b/>
          <w:i/>
          <w:color w:val="000000"/>
          <w:sz w:val="20"/>
        </w:rPr>
        <w:t>Adimab Assignment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Adimab Assignment Agreement, Adimab is entitled to receive milestone and royalty payments upon specified conditions and receives payments from the Company for providing ongoing services under the agreement (see Note 7).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and six months ended June 30, 2026 and 2025, the Company did not recognize any IPR&amp;D expense with respect to contingent consideration payable under the Adimab Assignment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did not recognize any research and development expense with respect to services performed by Adimab on the Company’s behalf under the Adimab Assignment Agreement.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the Company expensed $0.6 million and $1.2 million, respectively, of royalties as costs of product revenue, while reserving all rights under the Adimab Assignment Agreement and the applicable law. During the three and six months ended June 30, 2025, the Company expensed $0.4 million and $0.9 million, respectively, of royalties as costs of product revenue, while reserving all rights under the Adimab Assignment Agreement and the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Adimab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Adimab Collaboration Agreement, the Company is obligated to pay Adimab for certain fees, milestones and royalty payments (see Note 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both the three months ended June 30, 2026 and 2025, the Company recognized $0.6 million of research and development expense related to the quarterly fee under the Adimab Collaboration Agreement. During both the six months ended June 30, 2026 and 2025, the Company recognized $1.2 million of research and development expense related to the quarterly fee under the Adimab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did not recognize any research and development expense with respect to services performed by Adimab on the Company’s behalf under the Adimab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did not recognize any IPR&amp;D expense related to drug delivery fees, optimization completion fees or option exercise fees.</w:t>
      </w:r>
    </w:p>
    <w:p>
      <w:pPr>
        <w:pStyle w:val="TextBody"/>
        <w:bidi w:val="0"/>
        <w:spacing w:before="120" w:after="283"/>
        <w:jc w:val="left"/>
        <w:rPr>
          <w:rFonts w:ascii="Times New Roman" w:hAnsi="Times New Roman"/>
          <w:sz w:val="20"/>
        </w:rPr>
      </w:pPr>
      <w:r>
        <w:rPr>
          <w:rFonts w:ascii="Times New Roman" w:hAnsi="Times New Roman"/>
          <w:b/>
          <w:i/>
          <w:color w:val="000000"/>
          <w:sz w:val="20"/>
        </w:rPr>
        <w:t>Adimab Platform Transfer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both the three months ended June 30, 2026 and 2025, the Company recognized $0.5 million of research and development expense related to the annual fee under the Adimab Platform Transfer Agreement. During both the six months ended June 30, 2026 and 2025, the Company recognized $1.0 million of research and development expense related to the annual fee under the Adimab Platform Transfer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Adimab DNA Sequencing Services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2023, as amended in January 2024, January 2025 and January 2026,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recognized less than $0.1 million of research and development expense with respect to services performed by Adimab on the Company’s behalf under the Adimab DNA Sequencing Services Agreement.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Adimab LCMS Services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as amended in December 2025, the Company entered into a Services Agreement with Adimab for Adimab to provide molecular weight determination services and deliver to the Company the resulting data and information (the “Adimab LCMS Services Agreement”). In exchange for the services performed, the Company will pay Adimab a fee for each sample tested.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the Company did not recognize any research and development expense with respect to services performed by Adimab on the Company’s behalf under the Adimab LCMS Services Agreement.</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16.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as a single reportable and operating segment dedicated to the research and development, commercialization, and sale of mAbs in the U.S. to deliver protection from serious viral infectious diseases.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a single reportable segment is consistent with the consolidated financial information regularly reviewed by the Chief Operating Decision Maker (the “CODM”) in assessing performance and deciding how to allocate resources on a consolidated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 The Company’s reportable segment derives its revenue from sales of its product, PEMGARDA. No asset information has been provided for the reportable segment as the CODM does not regularly review asset information by reportable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and significant segment expenses as provided to the CODM (in thousands). Certain prior period segment expense amounts have been recast to reflect the current year presentation.</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9"/>
        <w:gridCol w:w="546"/>
        <w:gridCol w:w="295"/>
        <w:gridCol w:w="1030"/>
        <w:gridCol w:w="166"/>
        <w:gridCol w:w="146"/>
        <w:gridCol w:w="295"/>
        <w:gridCol w:w="1030"/>
        <w:gridCol w:w="166"/>
        <w:gridCol w:w="146"/>
        <w:gridCol w:w="276"/>
        <w:gridCol w:w="1024"/>
        <w:gridCol w:w="166"/>
        <w:gridCol w:w="146"/>
        <w:gridCol w:w="282"/>
        <w:gridCol w:w="986"/>
        <w:gridCol w:w="596"/>
      </w:tblGrid>
      <w:tr>
        <w:trPr/>
        <w:tc>
          <w:tcPr>
            <w:tcW w:w="29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Pemivibart</w:t>
            </w:r>
            <w:r>
              <w:rPr>
                <w:rFonts w:ascii="Times New Roman" w:hAnsi="Times New Roman"/>
                <w:color w:val="000000"/>
                <w:sz w:val="13"/>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VYD2311</w:t>
            </w:r>
            <w:r>
              <w:rPr>
                <w:rFonts w:ascii="Times New Roman" w:hAnsi="Times New Roman"/>
                <w:color w:val="000000"/>
                <w:sz w:val="13"/>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VBY329</w:t>
            </w:r>
            <w:r>
              <w:rPr>
                <w:rFonts w:ascii="Times New Roman" w:hAnsi="Times New Roman"/>
                <w:color w:val="000000"/>
                <w:sz w:val="13"/>
              </w:rPr>
              <w:t>(3)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VMS063</w:t>
            </w:r>
            <w:r>
              <w:rPr>
                <w:rFonts w:ascii="Times New Roman" w:hAnsi="Times New Roman"/>
                <w:color w:val="000000"/>
                <w:sz w:val="13"/>
              </w:rPr>
              <w:t>(4)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direct, external research and development expenses by program</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 (research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 (selling, 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(selling, 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the Company announced the nomination of VYD222 (pemivibart) as a novel mAb therapeutic option for COVID-19.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the Company announced the nomination of VYD2311 as a novel mAb therapeutic option for COVID-19.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the Company announced the nomination of VBY329 as an RSV mAb candidate for preclinical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the Company announced the nomination of VMS063 as a measles mAb candidate for preclinical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sans-serif" w:hAnsi="sans-serif"/>
          <w:sz w:val="22"/>
        </w:rPr>
      </w:pPr>
      <w:r>
        <w:rPr>
          <w:rFonts w:ascii="Times New Roman" w:hAnsi="Times New Roman"/>
          <w:color w:val="000000"/>
          <w:sz w:val="20"/>
        </w:rPr>
        <w:t>Includes interest income of</w:t>
      </w:r>
      <w:r>
        <w:rPr>
          <w:rFonts w:ascii="sans-serif" w:hAnsi="sans-serif"/>
          <w:color w:val="000000"/>
          <w:sz w:val="22"/>
        </w:rPr>
        <w:t xml:space="preserve"> </w:t>
      </w:r>
      <w:r>
        <w:rPr>
          <w:rFonts w:ascii="Times New Roman" w:hAnsi="Times New Roman"/>
          <w:color w:val="000000"/>
          <w:sz w:val="20"/>
        </w:rPr>
        <w:t>$1,503</w:t>
      </w:r>
      <w:r>
        <w:rPr>
          <w:rFonts w:ascii="sans-serif" w:hAnsi="sans-serif"/>
          <w:color w:val="000000"/>
          <w:sz w:val="22"/>
        </w:rPr>
        <w:t xml:space="preserve"> </w:t>
      </w:r>
      <w:r>
        <w:rPr>
          <w:rFonts w:ascii="Times New Roman" w:hAnsi="Times New Roman"/>
          <w:color w:val="000000"/>
          <w:sz w:val="20"/>
        </w:rPr>
        <w:t>and $405</w:t>
      </w:r>
      <w:r>
        <w:rPr>
          <w:rFonts w:ascii="sans-serif" w:hAnsi="sans-serif"/>
          <w:color w:val="000000"/>
          <w:sz w:val="22"/>
        </w:rPr>
        <w:t xml:space="preserve"> </w:t>
      </w:r>
      <w:r>
        <w:rPr>
          <w:rFonts w:ascii="Times New Roman" w:hAnsi="Times New Roman"/>
          <w:color w:val="000000"/>
          <w:sz w:val="20"/>
        </w:rPr>
        <w:t>for the three months ended June 30, 2026 and 2025, respectively, and interest income of $3,246</w:t>
      </w:r>
      <w:r>
        <w:rPr>
          <w:rFonts w:ascii="sans-serif" w:hAnsi="sans-serif"/>
          <w:color w:val="000000"/>
          <w:sz w:val="22"/>
        </w:rPr>
        <w:t xml:space="preserve"> </w:t>
      </w:r>
      <w:r>
        <w:rPr>
          <w:rFonts w:ascii="Times New Roman" w:hAnsi="Times New Roman"/>
          <w:color w:val="000000"/>
          <w:sz w:val="20"/>
        </w:rPr>
        <w:t>and $1,033</w:t>
      </w:r>
      <w:r>
        <w:rPr>
          <w:rFonts w:ascii="sans-serif" w:hAnsi="sans-serif"/>
          <w:color w:val="000000"/>
          <w:sz w:val="22"/>
        </w:rPr>
        <w:t xml:space="preserve"> </w:t>
      </w:r>
      <w:r>
        <w:rPr>
          <w:rFonts w:ascii="Times New Roman" w:hAnsi="Times New Roman"/>
          <w:color w:val="000000"/>
          <w:sz w:val="20"/>
        </w:rPr>
        <w:t>for the six months ended June 30, 2026 and 2025,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3" w:name="i_item2"/>
      <w:bookmarkEnd w:id="13"/>
      <w:r>
        <w:rPr>
          <w:rFonts w:ascii="Times New Roman" w:hAnsi="Times New Roman"/>
          <w:b/>
          <w:color w:val="000000"/>
          <w:sz w:val="20"/>
        </w:rPr>
        <w:t>Item 2. Management’s Discussion and Analysis of Financial Condition and Results of Operations.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2025, filed with the Securities and Exchange Commission (“SEC”) on March 5, 2026 (the “2025 Form 10-K”). Unless the context requires otherwise, references in this Quarterly Report on Form 10-Q to “we,” “us,” and “our” refer to Invivyd, Inc. together with its consolidated subsidiaries.</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Cautionary Note Regarding Forward-Looking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plans related to the commercialization of PEMGARDA® (pemivibart), which received emergency use authorization (“EUA”) from the U.S. Food and Drug Administration (“FDA”) in March 2024, including our expectations about the potential market opportunity;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related to the future termination of the PEMGARDA EUA, to be effective on June 29, 2027, following the U.S. Department of Health and Human Services (“HHS”) announcement on June 30, 2026, providing advance notice of termination of the COVID-19 emergency use declaration for drugs and biological products, and our dialogue with the FDA about appropriate next steps for PEMGARDA;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related to VYD2311, our next generation monoclonal antibody (“mAb”) candidate for COVID-19, the REVOLUTION clinical program for VYD2311 and the potential of VYD2311 to offer the ability to deliver clinically meaningful titer levels through more healthcare system- and patient-friendly means;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devotion to delivering protection from serious viral infectious diseases, including our intent to pursue permanent, high quality medical protection from COVID-19 infection for immune-compromised and other vulnerable Americans, and our commitment to developing a robust pipeline of product candidates that could be used in prevention or treatment of serious viral infectious diseases, starting with COVID-19 and expanding into other high-need indications, such as measles and respiratory syncytial virus (“RSV”);</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regarding SARS-CoV-2 variant monitoring of antiviral activity as part of our ongoing industrial virology effort;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size of the patient populations, market acceptance and opportunity for and clinical utility of our product candidates, if authorized or approved for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 of continued reliance on third parties for clinical trials and the manufacture and testing of our product candidates, as well as to perform ongoing research and development and other services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capabilities and strategy, and our expectations regarding supply and demand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our product candidates, if authorized or approved, including our distribution capabilities and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develop new product candidates that exert continuous pharmaceutical activity in the face of viral evolution;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SPEAR (Spike Protein Elimination and Recovery) Study Group, including its anticipated focus, goals and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our expenses, ongoing losses, future potential revenue, capital requirements and our need for or 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continue as a going concern;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competitive position and the development of and projections relating to our competitors or our industry.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list of forward-looking statements is not exhaustive. You should refer to the “Risk Factors” sections of the 2025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0" w:after="120"/>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Invivyd, Inc. is a biopharmaceutical company focused on the discovery, development and commercialization of monoclonal antibody (“mAb”) therapies for the prevention and treatment of serious viral infectious diseases. We are devoted to delivering protection from serious viral infectious diseases, beginning with SARS-CoV-2, the virus that causes COVID-19. PEMGARDA® (pemivibart) is our first mAb to receive regulatory authorization and was designed to exert continuous pharmaceutical activity in the face of viral evolution.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Globally, COVID-19 has caused millions of deaths and lasting health problems in many survivors and remains a significant global health concern, particularly for immunocompromised individuals. COVID-19 persists and continues to impact patients, notably those who are immunocompromised, and combating this disease will require for years to come a variety of prevention and treatment options with demonstrated efficacy and safety. By leveraging our capabilities, which we have developed through our experience with adintrevimab and pemivibart and over six years in the COVID-19 space, we aim to develop mAbs that could be used in prevention or treatment of serious viral infectious diseases, starting with COVID-19 and expanding into other high-need indications, such as measles and respiratory syncytial virus (“RSV”).</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22, 2024, we received emergency use authorization (“EUA”) from the U.S. Food and Drug Administration (“FDA”) for PEMGARDA injection, for intravenous (“IV”)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authorization is revoked sooner. On June 30, 2026, HHS provided advance notice of the termination of the declaration, which will take effect after a twelve-month transition period ending on June 29, 2027. Consequently, the EUA for PEMGARDA is set to terminate on June 29, 2027. Consistent with EUA transition processes, we are in dialogue with the FDA about appropriate next steps for PEMGARDA. We intend to pursue permanent, high quality medical protection from COVID-19 infection for immune-compromised and other vulnerable Americans.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January 2024, we nominated VYD2311, a next generation mAb candidate for COVID-19, as a drug candidate. VYD2311 is a mAb with high in vitro neutralization potency shown against prominent SARS-CoV-2 variants tested to date. In September 2024, we announced dosing of the first participants in a Phase 1/2 clinical trial of VYD2311.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healthcare system- and patient-friendly than IV administration. In June 2025, we announced positive full Phase 1/2 clinical data for VYD2311 for both safety and pharmacokinetics. Like pemivibart, VYD2311 was engineered from adintrevimab, our investigational mAb that has a robust safety data package and demonstrated clinically meaningful results in global Phase 2/3 clinical trials for both the prevention and treatment of COVID-19.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includes three clinical trials, DECLARATION, LIBERTY and DRUMMER.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2025, we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IM injection, compared to placebo. In April 2026, we announced that we conducted a prospectively designed, conservative, algorithmic sample size re-estimation pooled, blinded analysis for the DECLARATION clinical trial aimed at ensuring adequate COVID-19 clinical events and associated statistical power given the variability of COVID-19 attack rates. The sample size re-estimation was designed conservatively with the aim of accomplishing strong statistical power to accommodate a range of potential VYD2311 efficacy results and COVID events in the trial, and upsizing was triggered. The DECLARATION upsizing included approximately 500 additional subjects, in addition to 1,818 total randomized subjects in the initial trial population. In June 2026, we announced completion of enrollment in the upsized DECLARATION clinical trial. Total enrollment of the trial is approximately 2,400 participants. DECLARATION is designed to support potential BLA submission. Top-line data from DECLARATION are planned later in the third quarter of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February 2026, we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 In June 2026, we announced initiation and completion of enrollment in LIBERTY. Total enrollment of the trial is approximately 210 participants. The LIBERTY clinical trial is fully dosed, with top-line data anticipated later in the third quarter of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we have agreed with the FDA on an initial Pediatric Study Plan for an efficient safety and immunobridging clinical trial to support potential BLA submission for VYD2311 in children aged 0-11 years. This DRUMMER pediatric clinical trial will be actioned only if the pivotal DECLARATION clinical trial is successful.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Study Group intends to launch multi-center translational clinical research on Long COVID and PVS using next-generation antibodies like our investigational mAb candidate VYD2311. In January 2026, we and the SPEAR Study Group announced plans to initiate a Phase 2 clinical trial evaluating VYD2311 in individuals with Long COVID or COVID vaccine injury. The Phase 2 clinical trial is expected to be initiated mid-2026.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our next generation mAb candidate for COVID-19, against the same contemporary viruses, and we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 In May 2026, we announced that in vitro neutralization data showed continued neutralizing activity of PEMGARDA and VYD2311 against emerging SARS-CoV-2 variant BA.3.2.2 (“Cicada”).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our COVID-19 programs, in November 2025, we announced the selection of VBY329, a potential best-in-class mAb candidate being developed for the prevention of RSV infections in neonates, infants and children. We expect to advance VBY329 toward IND readiness in the second half of 2026. Also, in April 2026, we announced the discovery and advancement of VMS063, a novel, highly potent, half-life-extended, high resistance barrier measles mAb candidate. We have begun IND-enablement and regulatory outreach to support rapid VMS063 development, and expect to advance VMS063 toward IND readiness in the second half of 2026. Through our proprietary technology platform, we continue to investigate additional mAbs for protection and treatment of other important infectious diseases.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also committed to advancing national education and awareness about antibodies and their role in immune health. In April 2026, we launched Antibodies for Any Body, a national education campaign designed to elevate public understanding of antibodies, one of the most important parts of the immune system, and their role in protecting against disease. The campaign was launched in collaboration with renowned ski champion Lindsey Vonn, whose career has been defined by training with intention, overcoming challenges, and taking control of her health and wellness.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rely on partnerships, external consultants and contract research organizations (“CROs”) to conduct discovery, nonclinical, preclinical, clinical and commercial activities. Additionally, we rely on contract testing laboratories and contract development and manufacturing organizations (“CDMOs”) to execute our chemistry, manufacturing and controls development, testing and clinical and commercial manufacturing activities. In 2022, we secured dedicated laboratory space and expanded our research team in order to enable internal discovery and development of our mAb candidates, while continuing to leverage our existing partnership with Adimab, LLC (“Adimab”), including Adimab’s platform technology. In addition, we expect to continue to rely on third parties for clinical trials and the manufacture and testing of our product candidates, as well as to perform ongoing research and development and other services on our behalf.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our inception and through June 30, 2026, we have financed our operations primarily through the sale and issuance of preferred and common stock, including net proceeds of $464.7 million from sales of our preferred stock, net proceeds of $327.5 million from sales of our common stock from our initial public offering (“IPO”), net proceeds of $92.1 million from sales of our common stock under the Sales Agreement (as defined below) and net proceeds of $181.6 million from sales of our common stock and pre-funded warrants under the Underwriting Agreements (as defined below).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our inception, we have incurred significant losses, including a net loss of $85.8 million for the six months ended June 30, 2026. As of June 30, 2026, we had an accumulated deficit of $1,040.3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continue to commercialize PEMGARDA while it remains authorized, and continue our discussions with the FDA about appropriate next steps for PEMGARDA in advance of the PEMGARDA EUA termination effective date of June 29,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the development of VYD2311 and prepare for its potential commercial launch, if approved, as well as advance development of our other product candidates, such as VBY329 and VMS063;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and conduct clinical trials of our product candidates, including continued advancement of our REVOLUTION clinical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product candidates in any new indications or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preclinical and discovery programs, such as measles and RSV, including development and screening of additional antibodies, as well as engage in ongoing SARS-CoV-2 variant monitoring and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authorization or approval for any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coverage and reimbursement for our product candidates, if authorized or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or in-license other product candidates, intellectual property and/or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develop and validate our commercial-scale current Good Manufacturing Practices (“cGMP”) manufacturing process and manufacture material under cGMP at our contracted manufacturing facilities for clinical trials and commercial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regulatory requirements established by the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and expand a sales, marketing and distribution infrastructure to commercialize any product candidates for which we may obtain regulatory authorization 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and retain personnel, including research, clinical, development, manufacturing, quality control, quality assurance, regulatory, scientific, commercial and other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the EUA for PEMGARDA, which is set to terminate on June 29, 2027.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Based on current operating plans and excluding future external financing, we will not have sufficient cash and cash equivalents to fund our operating expenses and capital requirements beyond one year from the issuance date of the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 </w:t>
      </w:r>
    </w:p>
    <w:p>
      <w:pPr>
        <w:pStyle w:val="TextBody"/>
        <w:bidi w:val="0"/>
        <w:spacing w:before="0" w:after="120"/>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March 2024, we received EUA from the FDA for PEMGARDA. Product revenue, net consists of product revenue earned on the sales of PEMGARDA in the U.S. Product revenues are recognized net of variable consideration, including discounts and allowances, trade discounts and distributor fees, chargebacks, product returns and other incentives such as co-pay assistance programs.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authorization is revoked sooner. On June 30, 2026, HHS provided advance notice of the termination of the declaration, which will take effect after a twelve-month transition period ending on June 29, 2027. Consequently, the EUA for PEMGARDA is set to terminate on June 29, 2027. When the EUA for PEMGARDA is terminated, we will be unable to sell PEMGARDA unless we are successful in obtaining regulatory approval, the process for which may be lengthy, time consuming and inherently unpredictable. We have not obtained regulatory authorization 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any other product candidates, and we do not expect to generate any significant revenue from the sale of other product candidates until we complete clinical development, submit regulatory filings and receive regulatory approval for such product candidates, if ever.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 of product revenue includes PEMGARDA manufacturing costs, labor and overhead costs, and stability study costs. PEMGARDA manufacturing costs include manufacturing materials, third-party manufacturing costs, packaging costs, shipping costs, and royalties.</w:t>
      </w:r>
    </w:p>
    <w:p>
      <w:pPr>
        <w:pStyle w:val="TextBody"/>
        <w:bidi w:val="0"/>
        <w:spacing w:before="0" w:after="120"/>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nature of our business and primary focus of our activities generates a significant amount of research and development costs. Research and development expenses represent costs incurred by us for: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nonclinical and preclinical development of our product candidates, including our discovery efforts;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procurement of our product candidates from a third-party manufacturer;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global clinical development of our product candidates.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Such costs consist of: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personnel-related expenses, including salaries, bonuses, benefits, third-party fees and other compensation-related costs, including stock-based compensation expense, for employees engaged in research and development functions;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expenses incurred under agreements with third parties, such as collaborators, consultants, contractors and CROs, that conduct the discovery, nonclinical and preclinical studies and clinical trials of our product candidates and research programs;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costs of procuring manufactured product candidates for use in nonclinical studies, preclinical studies, clinical trials and for commercial supply, prior to receiving authorization or approval, from a third-party CDMO;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costs of outside consultants and advisors, including their fees and stock-based compensation;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laboratory-related expenses, which include equipment, laboratory supplies, rent expense, depreciation expense, and other operating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payments made under third-party licensing agreements;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expenses incurred as a result of research and development activities.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w:t>
      </w:r>
    </w:p>
    <w:p>
      <w:pPr>
        <w:pStyle w:val="TextBody"/>
        <w:bidi w:val="0"/>
        <w:jc w:val="both"/>
        <w:rPr>
          <w:rFonts w:ascii="Times New Roman" w:hAnsi="Times New Roman"/>
          <w:color w:val="000000"/>
          <w:sz w:val="20"/>
        </w:rPr>
      </w:pPr>
      <w:r>
        <w:rPr>
          <w:rFonts w:ascii="Times New Roman" w:hAnsi="Times New Roman"/>
          <w:color w:val="000000"/>
          <w:sz w:val="20"/>
        </w:rPr>
        <w:t xml:space="preserve">Our primary focus since inception has been the development of antibodies against COVID-19. We have also initiated discovery efforts to assess pipeline expansion beyond SARS-CoV-2, including the selection of a preclinical mAb candidate for the prevention of RSV, the selection of a preclinical mAb candidate for the prevention of measles and the advancement of early discovery programs targeting other potential targets. Our research and development costs consist primarily of external costs, such as fees paid to CDMOs, CROs and consultants in connection with our nonclinical studies, preclinical studies, clinical trials and product candidate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particularly as we advance the REVOLUTION clinical program, pursue regulatory approval of our product candidates, and continue to discover and develop additional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any of our product candidates. We are also unable to predict when, if ever,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inflows will commence from sales or licensing of our product candidates. This is due to the numerous risks and uncertainties associated with drug development, including the uncertainty of:</w:t>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acceptable IND applications with the FDA or comparable foreign applications that allow commencement of our planned clinical trials or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 manufacture the product candidates and complete associated regulatory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agreements with third-party manufacturers for clinical supply for our clinical trials and successfully develop, obtain regulatory authorization or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and timely completion of clinical trials, including our ability to generate positive data from any such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development of any additional development programs and product candidates we identify in-house or obtain through collaborations, licenses or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nature and severity of adverse events experienced with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payments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 trademark and trade secret protection and regulatory exclusivity for our product candidates, if and when approved, and otherwise protect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r>
        <w:rPr>
          <w:strike/>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receipt of regulatory authorizations or approvals from applicable regulatory authorities, including our eligibility for any expedited regulatory review and approval approaches that we may pursue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significant and changing government regulation, regulatory guidance and requirements and evolving treatment guidelines;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business interruptions to our operations or those of third parties with which we work, including as a result of any public health crisis.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t>
      </w:r>
    </w:p>
    <w:p>
      <w:pPr>
        <w:pStyle w:val="TextBody"/>
        <w:bidi w:val="0"/>
        <w:spacing w:before="120" w:after="120"/>
        <w:jc w:val="both"/>
        <w:rPr>
          <w:rFonts w:ascii="Times New Roman" w:hAnsi="Times New Roman"/>
          <w:sz w:val="20"/>
        </w:rPr>
      </w:pPr>
      <w:r>
        <w:rPr>
          <w:rFonts w:ascii="Times New Roman" w:hAnsi="Times New Roman"/>
          <w:b/>
          <w:i/>
          <w:color w:val="000000"/>
          <w:sz w:val="20"/>
        </w:rPr>
        <w:t>Acquired In-Process Research and Development Expenses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 </w:t>
      </w:r>
    </w:p>
    <w:p>
      <w:pPr>
        <w:pStyle w:val="TextBody"/>
        <w:bidi w:val="0"/>
        <w:spacing w:before="120" w:after="120"/>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while it remains authorized.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Through June 30, 2026, we have operated as a hybrid company with employees working at our corporate headquarters and remotely. We have not incurred material operating expenses for the rent, maintenance and insurance of facilities, or for the depreciation of fixed assets. </w:t>
      </w:r>
    </w:p>
    <w:p>
      <w:pPr>
        <w:pStyle w:val="TextBody"/>
        <w:bidi w:val="0"/>
        <w:spacing w:before="0" w:after="120"/>
        <w:jc w:val="both"/>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income, net consists of interest income earned from our cash and cash equivalents. We expect our interest income to vary each reporting period depending on our average bank deposits, money market funds and investment balances during the period and market interest rates.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continue to monitor the manner in which countries will enact legislation to implement the Pillar Two framework proposed by the Organisation for Economic Co-operation and Development, which proposes a 15% global corporate minimum tax. As of June 30, 2026, various countries have enacted aspects of Pillar Two while committing to enact additional aspects in future years. While we do not expect these rules to have a material impact on our effective tax rate, we continue to monitor these initiatives on a global basis. </w:t>
      </w:r>
    </w:p>
    <w:p>
      <w:pPr>
        <w:pStyle w:val="TextBody"/>
        <w:bidi w:val="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tbl>
      <w:tblPr>
        <w:tblW w:w="10194" w:type="dxa"/>
        <w:jc w:val="left"/>
        <w:tblInd w:w="0" w:type="dxa"/>
        <w:tblLayout w:type="fixed"/>
        <w:tblCellMar>
          <w:top w:w="28" w:type="dxa"/>
          <w:left w:w="28" w:type="dxa"/>
          <w:bottom w:w="28" w:type="dxa"/>
          <w:right w:w="28" w:type="dxa"/>
        </w:tblCellMar>
      </w:tblPr>
      <w:tblGrid>
        <w:gridCol w:w="3356"/>
        <w:gridCol w:w="146"/>
        <w:gridCol w:w="504"/>
        <w:gridCol w:w="1761"/>
        <w:gridCol w:w="166"/>
        <w:gridCol w:w="146"/>
        <w:gridCol w:w="504"/>
        <w:gridCol w:w="1761"/>
        <w:gridCol w:w="166"/>
        <w:gridCol w:w="146"/>
        <w:gridCol w:w="211"/>
        <w:gridCol w:w="736"/>
        <w:gridCol w:w="59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following discussion presents the components of our expenses for the periods presented: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revenue, net was $14.3 million and $11.8 million for the three months ended June 30, 2026 and 2025, respectively. The $2.5 million increase is the result of increased product sales of PEMGARDA due to an increase in product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 of product revenue was $1.3 million and $0.7 million for the three months ended June 30, 2026 and 2025, respectively. The $0.6 million increase is the result of increased PEMGARDA sales and certain period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pStyle w:val="TextBody"/>
        <w:bidi w:val="0"/>
        <w:spacing w:before="0" w:after="120"/>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295"/>
        <w:gridCol w:w="146"/>
        <w:gridCol w:w="444"/>
        <w:gridCol w:w="1421"/>
        <w:gridCol w:w="146"/>
        <w:gridCol w:w="146"/>
        <w:gridCol w:w="495"/>
        <w:gridCol w:w="1340"/>
        <w:gridCol w:w="146"/>
        <w:gridCol w:w="146"/>
        <w:gridCol w:w="211"/>
        <w:gridCol w:w="676"/>
        <w:gridCol w:w="593"/>
      </w:tblGrid>
      <w:tr>
        <w:trPr/>
        <w:tc>
          <w:tcPr>
            <w:tcW w:w="4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Pemivibart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VYD2311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VBY329</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VMS063</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costs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discovery-related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 March 2023, we announced the nomination of VYD222 (pemivibart) as a novel mAb therapeutic option for COVID-19.</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 March 2024, we announced the nomination of VYD2311 as a novel mAb therapeutic option for COVID-19.</w:t>
      </w:r>
    </w:p>
    <w:p>
      <w:pPr>
        <w:pStyle w:val="TextBody"/>
        <w:bidi w:val="0"/>
        <w:jc w:val="both"/>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In November 2025, we announced the nomination of VBY329 as an RSV mAb candidate for preclinical development.</w:t>
      </w:r>
    </w:p>
    <w:p>
      <w:pPr>
        <w:pStyle w:val="TextBody"/>
        <w:bidi w:val="0"/>
        <w:jc w:val="both"/>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In April 2026, we announced the nomination of VMS063 as a measles mAb candidate for preclinical development.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Research and development expenses were $29.4 million for the three months ended June 30, 2026, compared to $9.6 million for the three months ended June 30, 2025. The $19.8 million increase in research and development expenses was primarily due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 in direct costs related to our pemivibart program resulted from a decrease of $0.4 million in contract costs for manufacturing, $0.1 million in nonclinical expenses and $0.1 million in external discovery-related and other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related to our VYD2311 program resulted from an increase of $18.5 million in contract research costs for our Phase 3 DECLARATION and LIBERTY clinical trials, $0.5 million in external discovery-related and other costs, and $0.3 million in contract costs for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related to our VBY329 program resulted from the nomination of VBY329 as an RSV mAb candidate in the fourth quarter of 2025, and consist primarily of external discovery-related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for our VMS063 program resulted from the nomination of VMS063 as a measles mAb candidate in the second quarter of 2026, and consist primarily of contract development and manufacturing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Early-stage program costs remained relatively consistent between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personnel related costs resulted from an increase in headcount-related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discovery-related and other costs remained relatively consistent between periods.</w:t>
      </w:r>
    </w:p>
    <w:p>
      <w:pPr>
        <w:pStyle w:val="TextBody"/>
        <w:bidi w:val="0"/>
        <w:spacing w:before="120" w:after="120"/>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292"/>
        <w:gridCol w:w="146"/>
        <w:gridCol w:w="464"/>
        <w:gridCol w:w="1487"/>
        <w:gridCol w:w="146"/>
        <w:gridCol w:w="146"/>
        <w:gridCol w:w="464"/>
        <w:gridCol w:w="1487"/>
        <w:gridCol w:w="146"/>
        <w:gridCol w:w="146"/>
        <w:gridCol w:w="211"/>
        <w:gridCol w:w="676"/>
        <w:gridCol w:w="394"/>
      </w:tblGrid>
      <w:tr>
        <w:trPr/>
        <w:tc>
          <w:tcPr>
            <w:tcW w:w="4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costs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Selling, general and administrative expenses were $29.5 million for the three months ended June 30, 2026, compared to $16.6 million for the three months ended June 30, 2025. The $12.9 million increase in selling, general and administrative expenses was primarily due to the following: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 in personnel related costs resulted from an increase in headcount-related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professional and consultant fees primarily resulted from an increase of $4.2 million in professional service fees and $3.5 million related to sales and marketing costs, partially offset by $0.1 million in insurance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other costs primarily resulted from an increase of $0.5 million in employee related travel expense, $0.2 million in software licensing costs and $0.2 million in rent expense.</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income, net was $1.4 million and $0.4 million for the three months ended June 30, 2026 and 2025, respectively, consisting primarily of interest earned on our invested cash balances. The $1.0 million increase in other income, net was primarily due to an increase in cash invested.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tbl>
      <w:tblPr>
        <w:tblW w:w="9804" w:type="dxa"/>
        <w:jc w:val="left"/>
        <w:tblInd w:w="0" w:type="dxa"/>
        <w:tblLayout w:type="fixed"/>
        <w:tblCellMar>
          <w:top w:w="28" w:type="dxa"/>
          <w:left w:w="28" w:type="dxa"/>
          <w:bottom w:w="28" w:type="dxa"/>
          <w:right w:w="28" w:type="dxa"/>
        </w:tblCellMar>
      </w:tblPr>
      <w:tblGrid>
        <w:gridCol w:w="3356"/>
        <w:gridCol w:w="146"/>
        <w:gridCol w:w="440"/>
        <w:gridCol w:w="1630"/>
        <w:gridCol w:w="166"/>
        <w:gridCol w:w="146"/>
        <w:gridCol w:w="461"/>
        <w:gridCol w:w="1609"/>
        <w:gridCol w:w="166"/>
        <w:gridCol w:w="146"/>
        <w:gridCol w:w="211"/>
        <w:gridCol w:w="736"/>
        <w:gridCol w:w="59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discussion presents the components of our expenses for the periods presented: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revenue, net was $28.0 million and $23.1 million for the six months ended June 30, 2026 and 2025, respectively. The $4.9 million increase is the result of increased product sales of PEMGARDA due to an increase in product demand.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Cost of product revenue was $2.3 million and $1.5 million for the six months ended June 30, 2026 and 2025, respectively. The $0.8 million increase is the result of increased PEMGARDA product sales.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120"/>
        <w:jc w:val="both"/>
        <w:rPr>
          <w:rFonts w:ascii="Times New Roman" w:hAnsi="Times New Roman"/>
          <w:b/>
          <w:i/>
          <w:color w:val="000000"/>
          <w:sz w:val="20"/>
        </w:rPr>
      </w:pPr>
      <w:r>
        <w:rPr>
          <w:rFonts w:ascii="Times New Roman" w:hAnsi="Times New Roman"/>
          <w:b/>
          <w:i/>
          <w:color w:val="000000"/>
          <w:sz w:val="20"/>
        </w:rPr>
        <w:t>Research and Development Expenses</w:t>
      </w:r>
    </w:p>
    <w:tbl>
      <w:tblPr>
        <w:tblW w:w="10205" w:type="dxa"/>
        <w:jc w:val="left"/>
        <w:tblInd w:w="0" w:type="dxa"/>
        <w:tblLayout w:type="fixed"/>
        <w:tblCellMar>
          <w:top w:w="28" w:type="dxa"/>
          <w:left w:w="28" w:type="dxa"/>
          <w:bottom w:w="28" w:type="dxa"/>
          <w:right w:w="28" w:type="dxa"/>
        </w:tblCellMar>
      </w:tblPr>
      <w:tblGrid>
        <w:gridCol w:w="4432"/>
        <w:gridCol w:w="146"/>
        <w:gridCol w:w="421"/>
        <w:gridCol w:w="1350"/>
        <w:gridCol w:w="146"/>
        <w:gridCol w:w="146"/>
        <w:gridCol w:w="421"/>
        <w:gridCol w:w="1350"/>
        <w:gridCol w:w="146"/>
        <w:gridCol w:w="146"/>
        <w:gridCol w:w="211"/>
        <w:gridCol w:w="676"/>
        <w:gridCol w:w="614"/>
      </w:tblGrid>
      <w:tr>
        <w:trPr/>
        <w:tc>
          <w:tcPr>
            <w:tcW w:w="4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Pemivibart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VYD2311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VBY329</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VMS063</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discovery-related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39,884</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 March 2023, we announced the nomination of VYD222 (pemivibart) as a novel mAb therapeutic option for COVID-19.</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 March 2024, we announced the nomination of VYD2311 as a novel mAb therapeutic option for COVID-19.</w:t>
      </w:r>
    </w:p>
    <w:p>
      <w:pPr>
        <w:pStyle w:val="TextBody"/>
        <w:bidi w:val="0"/>
        <w:jc w:val="both"/>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In November 2025, we announced the nomination of VBY329 as an RSV mAb candidate for preclinical development.</w:t>
      </w:r>
    </w:p>
    <w:p>
      <w:pPr>
        <w:pStyle w:val="TextBody"/>
        <w:bidi w:val="0"/>
        <w:jc w:val="both"/>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In April 2026, we announced the nomination of VMS063 as a measles mAb candidate for preclinical development.</w:t>
      </w:r>
    </w:p>
    <w:p>
      <w:pPr>
        <w:pStyle w:val="TextBody"/>
        <w:bidi w:val="0"/>
        <w:jc w:val="left"/>
        <w:rPr/>
      </w:pPr>
      <w:r>
        <w:rPr/>
        <w:t>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Research and development expenses were $60.1 million for the six months ended June 30, 2026, compared to $20.2 million for the six months ended June 30, 2025. The $39.9 million increase was primarily due to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Decrease in direct costs related to our pemivibart program resulted from decrease of $0.7 million in contract research costs for our Phase 3 CANOPY clinical trial, $0.6 million in nonclinical costs, and $0.5 million in contract costs for commercial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related to our VYD2311 program resulted from an increase of $40.0 million in contract research costs for our Phase 3 DECLARATION and LIBERTY clinical trials, $0.7 million in external discovery-related and other costs, partially offset by a decrease of $0.1 million in nonclinical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related to our VBY329 program resulted from the nomination of VBY329 as an RSV mAb candidate in the fourth quarter of 2025, and consist primarily of external discovery-related and other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direct costs related to our VMS063 program resulted from the nomination of VMS063 as a measles mAb candidate in the second quarter of 2026, and consist primarily of contract development and manufacturing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Early-stage programs costs remained relatively consistent between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personnel related costs resulted from an increase in headcount-related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discovery-related and other costs remained relatively consistent between periods.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4206"/>
        <w:gridCol w:w="146"/>
        <w:gridCol w:w="474"/>
        <w:gridCol w:w="1521"/>
        <w:gridCol w:w="146"/>
        <w:gridCol w:w="146"/>
        <w:gridCol w:w="474"/>
        <w:gridCol w:w="1521"/>
        <w:gridCol w:w="146"/>
        <w:gridCol w:w="146"/>
        <w:gridCol w:w="211"/>
        <w:gridCol w:w="676"/>
        <w:gridCol w:w="392"/>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expenses were $54.6 million for the six months ended June 30, 2026, compared to $33.3 million for the six months ended June 30, 2025. The $21.3 million increase in selling, general and administrative expenses was primarily due to the following:</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personnel related costs resulted from an increase of $6.8 million in headcount-related costs, partially offset by a decrease in stock-based compensation costs of $0.3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professional and consultant fees resulted from an increase of $7.6 million in professional service fees and $5.2 million in sales and marketing costs, partially offset by a decrease of $0.2 million in insurance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in other costs primarily resulted from an increase of $1.2 million in employee related travel costs, $0.3 million in technology related costs, $0.2 million in conference related costs, $0.2 million in rent expense, and $0.1 million in educational grant costs.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income, net was $3.2 million and $1.0 million for the six months ended June 30, 2026 and 2025, respectively, in each case consisting primarily of interest earned on our cash balances. The $2.2 million increase in other income, net was primarily due to an increase in cash invested.</w:t>
      </w:r>
    </w:p>
    <w:p>
      <w:pPr>
        <w:pStyle w:val="TextBody"/>
        <w:bidi w:val="0"/>
        <w:spacing w:before="0" w:after="120"/>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Through June 30, 2026,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while it remains authorized and advance the development of VYD2311, VBY329, VMS063 and our other product candidates. As of June 30, 2026, we have financed our operations primarily with net proceeds of $464.7 million from sales of our preferred stock, $327.5 million from sales of our common stock from our IPO in August 2021, $92.1 million from sales of our common stock under the Sales Agreement (as defined below), and $181.6 million from sales of our common stock and pre-funded warrants under the Underwriting Agreements (as defined below). After receiving EUA in March 2024, we have also funded our operations from sales of PEMGARDA.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authorization is revoked sooner. On June 30, 2026, HHS provided advance notice of the termination of the declaration, which will take effect after a twelve-month transition period ending on June 29, 2027. Consequently, the EUA for PEMGARDA is set to terminate on June 29, 2027. When the EUA for PEMGARDA is terminated, we will be unable to sell PEMGARDA unless we are successful in obtaining regulatory approval, the process for which may be lengthy, time consuming and inherently unpredictable. We have not obtained regulatory authorization or approval for any other product candidates, and we do not expect to generate any significant revenue from the sale of other product candidates until we complete clinical development, submit regulatory filings and receive regulatory approval for such product candidates, if ever.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had cash and cash equivalents of $160.1 million.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Shelf Registration Statements</w:t>
      </w:r>
    </w:p>
    <w:p>
      <w:pPr>
        <w:pStyle w:val="TextBody"/>
        <w:bidi w:val="0"/>
        <w:jc w:val="both"/>
        <w:rPr>
          <w:rFonts w:ascii="Times New Roman" w:hAnsi="Times New Roman"/>
          <w:color w:val="000000"/>
          <w:sz w:val="20"/>
        </w:rPr>
      </w:pPr>
      <w:r>
        <w:rPr>
          <w:rFonts w:ascii="Times New Roman" w:hAnsi="Times New Roman"/>
          <w:color w:val="000000"/>
          <w:sz w:val="20"/>
        </w:rPr>
        <w:t>In September 2022, we filed a shelf registration statement on Form S-3 with the SEC and an accompanying base prospectus, which was declared effective by the SEC on October 5, 2022, for the offer and sale of up to $400 million of our securities (the “2022 Shelf Registration Statement”). The 2022 Shelf Registration Statement expired upon the effectiveness of the 2025 Shelf Registration Statement (as defined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filed a new shelf registration statement on Form S-3 with the SEC and an accompanying base prospectus, which was declared effective by the SEC on December 23, 2025, for the offer and sale of up to $350 million of our securities (the “2025 Shelf Registration Statement”). As of June 30, 2026, excluding the $75 million allocated to the 2025 ATM Prospectus Supplement (as defined below), $275 million of our securities remained available for offer and sale under the 2025 Shelf Registration Statement.</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Sales Agreement</w:t>
      </w:r>
    </w:p>
    <w:p>
      <w:pPr>
        <w:pStyle w:val="TextBody"/>
        <w:bidi w:val="0"/>
        <w:spacing w:before="0" w:after="120"/>
        <w:jc w:val="both"/>
        <w:rPr>
          <w:rFonts w:ascii="Times New Roman" w:hAnsi="Times New Roman"/>
          <w:sz w:val="20"/>
        </w:rPr>
      </w:pPr>
      <w:r>
        <w:rPr>
          <w:rFonts w:ascii="Times New Roman" w:hAnsi="Times New Roman"/>
          <w:color w:val="000000"/>
          <w:sz w:val="20"/>
        </w:rPr>
        <w:t>In December 2023, we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(the “Sales Agreement”) with Cantor Fitzgerald &amp; Co., as sales agent (“Cantor”) and filed with the SEC a prospectus supplement to the 2022 Shelf Registration Statement (the “2023 ATM Prospectus Supplement”), pursuant to which we could, at our option, offer and sell shares of our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we sold 9,000,000 shares of our common stock under the Sales Agreement and 2023 ATM Prospectus Supplement at an average price of $4.50 per share for $39.3 million in proceeds net of commissions. In 2025, we sold 23,055,402 shares of our common stock under the Sales Agreement and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October 2025, in connection with the filing of the 2025 Shelf Registration Statement, we filed with the SEC a new prospectus supplement (the “2025 ATM Prospectus Supplement”), pursuant to which we may, at our option, offer and sell shares of our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As of June 30, 2026, $55.0 million remained available for sale under the 2025 ATM Prospectus Supplement.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Underwriting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August 2025, we completed an underwritten public offering pursuant to an underwriting agreement (the “August Underwriting Agreement”) with Cantor, as representative of the underwriters named therein, pursuant to which we issued and sold an aggregate of 89,234,480 shares of our common stock at a price of $0.52 per share, and pre-funded warrants to purchase up to an aggregate of 21,342,442 shares of common stock at a price of $0.5199 per pre-funded warrant. The price of $0.5199 per pre-funded warrant represented the $0.52 per share purchase price for the common stock less the exercise price of $0.0001 per pre-funded warrant. The pre-funded warrants are exercisable at any time after their original issuance and will not expire. We received total net proceeds of approximately $53.5 million, after deducting underwriting discounts and commissions and offering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2025, we completed an underwritten public offering pursuant to an underwriting agreement (the “November Underwriting Agreement” and together with the August Underwriting Agreement, the “Underwriting Agreements”) with Cantor, as representative of the underwriters named therein, pursuant to which we issued and sold an aggregate of 44,000,000 shares of our common stock at a price of $2.50 per share, and pre-funded warrants to purchase up to an aggregate of 6,000,000 shares of common stock at a price of $2.4999 per pre-funded warrant (the “November 2025 Underwritten Public Offering”). The price of $2.4999 per pre-funded warrant represented the $2.50 per share purchase price for the common stock less the exercise price of $0.0001 per pre-funded warrant. The pre-funded warrants are exercisable at any time after their original issuance and will not expire. We received total net proceeds of approximately $117.2 million, after deducting underwriting discounts and commissions and offering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we received total net proceeds of approximately $10.9 million, after deducting underwriting discounts and commissions and offering expenses payable by us.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Loan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June 30, 2026, we had not satisfied certain financial covenants and conditions, including the net product revenue milestone required to be eligible to access proceeds from the Term Facility. Accordingly, as of June 30, 2026, no amounts have been drawn down under the Loan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we have requested and the Lender has funded any loans under the Term Facility prior to such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tbl>
      <w:tblPr>
        <w:tblW w:w="8685" w:type="dxa"/>
        <w:jc w:val="left"/>
        <w:tblInd w:w="0" w:type="dxa"/>
        <w:tblLayout w:type="fixed"/>
        <w:tblCellMar>
          <w:top w:w="28" w:type="dxa"/>
          <w:left w:w="28" w:type="dxa"/>
          <w:bottom w:w="28" w:type="dxa"/>
          <w:right w:w="28" w:type="dxa"/>
        </w:tblCellMar>
      </w:tblPr>
      <w:tblGrid>
        <w:gridCol w:w="3696"/>
        <w:gridCol w:w="146"/>
        <w:gridCol w:w="461"/>
        <w:gridCol w:w="1609"/>
        <w:gridCol w:w="166"/>
        <w:gridCol w:w="146"/>
        <w:gridCol w:w="461"/>
        <w:gridCol w:w="1609"/>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8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40" w:after="120"/>
        <w:jc w:val="both"/>
        <w:rPr>
          <w:rFonts w:ascii="Times New Roman" w:hAnsi="Times New Roman"/>
          <w:color w:val="000000"/>
          <w:sz w:val="20"/>
        </w:rPr>
      </w:pPr>
      <w:r>
        <w:rPr>
          <w:rFonts w:ascii="Times New Roman" w:hAnsi="Times New Roman"/>
          <w:color w:val="000000"/>
          <w:sz w:val="20"/>
        </w:rPr>
        <w:t>During the six months ended June 30, 2026, operating activities used $84.7 million of cash, primarily due to our net loss of $85.8 million and changes in our operating assets and liabilities of $5.7 million, partially offset by non-cash charges of $6.8 million. The changes in our operating assets and liabilities primarily consisted of a $4.2 million decrease in accounts payable, a $3.7 million increase in prepaid expenses and other current assets, a $1.1 million increase in other non-current assets, and a $0.5 million decrease in operating lease liabilities, partially offset by a $2.7 million decrease in accounts receivable, a $1.0 million increase in accrued expenses and a $0.1 million decrease in inventory. The change in accounts payable and accrued expenses was primarily due to the timing of vendor invoicing and payments.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During the six months ended June 30, 2025, operating activities used $34.4 million of cash, primarily due to our net loss of $30.9 million, and changes in our operating assets and liabilities of $10.8 million, partially offset by non-cash charges of $7.3 million. The changes in our operating assets and liabilities primarily consisted of a $24.6 million decrease in accrued expenses, a $0.7 million decrease in operating lease liabilities, and a $0.1 million increase in inventory, partially offset by a $7.7 million increase in accounts payable, $4.8 million decrease in prepaid expenses and other current assets, and $2.1 million decrease in accounts receivable. The change in accrued expenses and accounts payable was primarily due to the timing of vendor invoicing and payments. </w:t>
      </w:r>
    </w:p>
    <w:p>
      <w:pPr>
        <w:pStyle w:val="TextBody"/>
        <w:bidi w:val="0"/>
        <w:spacing w:before="0" w:after="120"/>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investing activities during the six months ended June 30, 2026 consisted of $1.2 million in purchases of property and equipment.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investing activities during the six months ended June 30, 2025 consisted of $0.2 million in purchases of property and equipment.</w:t>
      </w:r>
    </w:p>
    <w:p>
      <w:pPr>
        <w:pStyle w:val="TextBody"/>
        <w:bidi w:val="0"/>
        <w:spacing w:before="0" w:after="120"/>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financing activities during the six months ended June 30, 2026 consisted of $19.4 million from the issuance of common stock under the Sales Agreement, $0.2 million from the issuance of common stock under our employee stock purchase plan, and $0.1 million from exercises of stock options, partially offset by $0.2 million in payments for offering costs related to the Underwriting Agreements and $0.2 million in payments for offering costs related to the Sales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financing activities during the six months ended June 30, 2025 consisted of $0.2 million from the exercises of stock options and the issuance of common stock under our employee stock purchase plan, offset by $0.1 million in payments for offering costs related to the Sales Agreement.</w:t>
      </w:r>
    </w:p>
    <w:p>
      <w:pPr>
        <w:pStyle w:val="TextBody"/>
        <w:bidi w:val="0"/>
        <w:spacing w:before="0" w:after="120"/>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expenses are expected to increase in connection with our ongoing activities, particularly as we advance the REVOLUTION clinical program, our nonclinical and preclinical studies, and the clinical trials of our other product candidates, our ongoing and planned commercialization efforts, and any associated manufacturing activities in connection with our clinical development and commercialization activities. Our funding requirements and timing and amount of our operating expenditures will depend on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revenue received from sales of PEMGARDA while it remains authorized and any other product candidates for which we receive future regulatory authorization or approval;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rate of progress in the development of our product candidates, such as VYD2311, VBY329 and VMS063;</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discovery, nonclinical studies, preclinical development, laboratory testing and clinical trials for our product candidates and associated development programs, including our REVOLUTION clinical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extent to which we develop, in-license or acquire other product candidates, intellectual property and/or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manufacturing and validation activities associated with our current product candidates and our future product candidates as we advance them through preclinical and clinical development;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development requirements of product candidates that we may pursue;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including our eligibility for expedited regulatory review and approval approaches that we may pursue for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headcount growth and associated costs as we expand our research and development capabilities and build and maintain a commercial infrastructure for product candidates for which we obtain regulatory authorization or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costs of securing sufficient manufacturing capacity for clinical and commercial supply of our product candidates, or the raw material components thereof;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and timing of commercialization activities, including product manufacturing, marketing, sales and distribution, for any of our product candidates for which we receive regulatory authorization or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necessary to obtain regulatory authorizations or approvals, and the costs of post-marketing studies that could be required by regulatory authorities in jurisdictions where authorization or approval is obtained;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continuation of our existing licensing and collaboration arrangements and entry into new collaborations and licensing arrangements, if at all;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we incur in maintaining business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need to implement additional internal systems and infrastructure;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competing technological, product and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impact of any business interruptions to our operations or to those of our third-party contractors resulting from any public health crisis. </w:t>
      </w:r>
    </w:p>
    <w:p>
      <w:pPr>
        <w:pStyle w:val="TextBody"/>
        <w:bidi w:val="0"/>
        <w:jc w:val="both"/>
        <w:rPr>
          <w:rFonts w:ascii="Times New Roman" w:hAnsi="Times New Roman"/>
          <w:b/>
          <w:i/>
          <w:color w:val="000000"/>
          <w:sz w:val="20"/>
        </w:rPr>
      </w:pPr>
      <w:r>
        <w:rPr>
          <w:rFonts w:ascii="Times New Roman" w:hAnsi="Times New Roman"/>
          <w:b/>
          <w:i/>
          <w:color w:val="000000"/>
          <w:sz w:val="20"/>
        </w:rPr>
        <w:t>Substantial Doubt about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condensed consolidated financial statements. Based on current operating plans and excluding future external financing, we will not have sufficient cash and cash equivalents to fund our operating expenses and capital requirements beyond one year from the issuance of these condensed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lease certain office and laboratory space classified as operating leases. See Note 9 of our condensed consolidated financial statements included in this Quarterly Report on Form 10-Q for further detail on our lease obligations and the timing of expected future payments.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enter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we are contractually obligated to make certain payments to vendors upon early termination, primarily to reimburse them for their unrecoverable outlays incurred prior to cancellation as well as any amounts owed by us prior to early termination. The actual amounts we could pay in the future to the vendors under such agreements may differ from the purchase order amounts due to cancellation provisions. The termination fees were not probable of payment as of June 30, 2026.</w:t>
      </w:r>
    </w:p>
    <w:p>
      <w:pPr>
        <w:pStyle w:val="TextBody"/>
        <w:bidi w:val="0"/>
        <w:spacing w:before="0" w:after="120"/>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financial statements are prepared in accordance with generally accepted accounting principles in the U.S. The preparation of our financial statements and related disclosures requires us to make estimates, assumptions and judgments that affect the reported amounts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2025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2025 Form 10-K. </w:t>
      </w:r>
    </w:p>
    <w:p>
      <w:pPr>
        <w:pStyle w:val="TextBody"/>
        <w:bidi w:val="0"/>
        <w:spacing w:before="0" w:after="120"/>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and cash flows is disclosed in Note 2 to our condensed consolidated financial statements appearing elsewhere in this Quarterly Report on Form 10-Q. </w:t>
      </w:r>
    </w:p>
    <w:p>
      <w:pPr>
        <w:pStyle w:val="TextBody"/>
        <w:bidi w:val="0"/>
        <w:spacing w:before="0" w:after="120"/>
        <w:jc w:val="both"/>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as defined in the JOBS Act, and will remain an emerging growth company until December 31, 2026.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exemption from compliance with the auditor attestation requirement in the assessment of our internal control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exemption from compliance with the requirements of the Public Company Accounting Oversight Board regarding the communication of critical audit matters in the auditor’s report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bookmarkStart w:id="14" w:name="i_item3"/>
      <w:bookmarkEnd w:id="14"/>
      <w:r>
        <w:rPr>
          <w:rFonts w:ascii="Times New Roman" w:hAnsi="Times New Roman"/>
          <w:b/>
          <w:color w:val="000000"/>
          <w:sz w:val="20"/>
        </w:rPr>
        <w:t>Item 3.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0" w:after="120"/>
        <w:jc w:val="left"/>
        <w:rPr>
          <w:rFonts w:ascii="Times New Roman" w:hAnsi="Times New Roman"/>
          <w:b/>
          <w:color w:val="000000"/>
          <w:sz w:val="20"/>
        </w:rPr>
      </w:pPr>
      <w:bookmarkStart w:id="15" w:name="i_item4"/>
      <w:bookmarkEnd w:id="15"/>
      <w:r>
        <w:rPr>
          <w:rFonts w:ascii="Times New Roman" w:hAnsi="Times New Roman"/>
          <w:b/>
          <w:color w:val="000000"/>
          <w:sz w:val="20"/>
        </w:rPr>
        <w:t>Item 4. Controls and Procedures.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management, with the participation of our Chief Financial Officer (our principal executive officer and principal financial officer), evaluated the effectiveness of our disclosure controls and procedures as of June 30, 2026.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Chief Financial Officer concluded that our disclosure controls and procedures as of such date were effective at the reasonable assurance level.</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0" w:after="120"/>
        <w:jc w:val="left"/>
        <w:rPr>
          <w:rFonts w:ascii="Times New Roman" w:hAnsi="Times New Roman"/>
          <w:b/>
          <w:color w:val="000000"/>
          <w:sz w:val="20"/>
        </w:rPr>
      </w:pPr>
      <w:bookmarkStart w:id="17" w:name="ii_item1"/>
      <w:bookmarkEnd w:id="17"/>
      <w:r>
        <w:rPr>
          <w:rFonts w:ascii="Times New Roman" w:hAnsi="Times New Roman"/>
          <w:b/>
          <w:color w:val="000000"/>
          <w:sz w:val="20"/>
        </w:rPr>
        <w:t>Item 1. 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2026, we were not a party to any material legal proceedings. </w:t>
      </w:r>
    </w:p>
    <w:p>
      <w:pPr>
        <w:pStyle w:val="TextBody"/>
        <w:bidi w:val="0"/>
        <w:spacing w:before="0" w:after="120"/>
        <w:jc w:val="left"/>
        <w:rPr>
          <w:rFonts w:ascii="Times New Roman" w:hAnsi="Times New Roman"/>
          <w:sz w:val="20"/>
        </w:rPr>
      </w:pPr>
      <w:bookmarkStart w:id="18" w:name="ii_item1a"/>
      <w:bookmarkEnd w:id="18"/>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Information regarding risks and uncertainties related to our business appears in Part I, Item 1A. “Risk Factors” of the 2025 Form 10-K. As of the date of this Quarterly Report on Form 10-Q, there have been no material changes from the risk factors set forth in the 2025 Form 10-K, other than as described below.</w:t>
      </w:r>
    </w:p>
    <w:p>
      <w:pPr>
        <w:pStyle w:val="TextBody"/>
        <w:bidi w:val="0"/>
        <w:spacing w:before="0" w:after="120"/>
        <w:jc w:val="both"/>
        <w:rPr>
          <w:rFonts w:ascii="Times New Roman" w:hAnsi="Times New Roman"/>
          <w:sz w:val="20"/>
        </w:rPr>
      </w:pPr>
      <w:r>
        <w:rPr>
          <w:rFonts w:ascii="Times New Roman" w:hAnsi="Times New Roman"/>
          <w:b/>
          <w:i/>
          <w:color w:val="000000"/>
          <w:sz w:val="20"/>
        </w:rPr>
        <w:t>The HHS declaration under Section 564 of the FDCA authorizing emergency use of COVID-19 drugs and biologics will be terminated, effective June 29, 2027, and, consequently, the EUA for PEMGARDA is set to terminate on such date. When the EUA for PEMGARDA is terminated, we will be unable to sell PEMGARDA unless we are successful in obtaining regulatory approval, the process for which may be lengthy, time consuming and inherently unpredictable. If we are not able to timely obtain regulatory approval for PEMGARDA before the EUA for PEMGARDA terminates, we will not be able to continue to generate product revenue from PEMGARDA and our business will be substantially harmed.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PEMGARDA is our first and only product candidate that has received regulatory authorization. PEMGARDA is not approved, but has been authorized for emergency use in the United States by the FDA under an EUA for pre-exposure prophylaxis of COVID-19 in certain immunocompromised patients.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authorization is revoked sooner. On June 30, 2026, HHS provided advance notice of the termination of the declaration, which will take effect after a twelve-month transition period ending on June 29, 2027. Consequently, the EUA for PEMGARDA is set to terminate on June 29, 2027.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market any drug product candidates in the United States unless we have regulatory authorization with an EUA or approval of a BLA from the FDA. Other than the EUA for PEMGARDA in the United States, we have not obtained regulatory authorization or approval for any other product candidate in any other jurisdiction. When the EUA for PEMGARDA is terminated, we will be unable to sell PEMGARDA unless we are successful in obtaining regulatory approval, the process for which may be lengthy, time consuming and inherently unpredictable. The time required to obtain approval depends upon numerous factors, including substantial discretion of the FDA. The FDA may change its policies, issue additional regulations, revise existing regulations or take other actions that could impose requirements upon us that prevent or delay us from successfully pursuing or receiving regulatory approval on a timely basis.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potential to obtain a BLA for PEMGARDA before the EUA for PEMGARDA terminates will require aligning with the FDA on the data required to support such regulatory approval, including whether the existing body of evidence supporting the emergency use of PEMGARDA is sufficient to satisfy BLA approval standards or whether additional data would be required to support approval. The HHS Secretary is obligated under Section 564(b)(5) of the FDCA to provide sponsors written notice of potential obstacles for an EUA product’s approval, including specific actions to be taken by HHS and the sponsor to overcome the same, when a product’s EUA has been in effect for more than one year. However, neither HHS nor the FDA has provided us with such written advice regarding a regulatory approval pathway for PEMGARDA to date, and there is no guarantee of the outcome of our regulatory engagement with the FDA or the timing thereof.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risks and uncertainties associated with the future PEMGARDA EUA termination and the twelve-month transition period before the PEMGARDA EUA is set to terminate include: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potential adverse impact on PEMGARDA demand, including the willingness of physicians to continue to prescribe PEMGARDA and their patients’ willingness to continue to receive PEMGARDA while it remains authorized;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regarding third-party payor coverage and reimbursement dynamics;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uncertainties regarding continued PEMGARDA placement in COVID-19 prevention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the future PEMGARDA EUA termination to render certain PEMGARDA inventory obsolete, which may require a write down or write off, which could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potential adverse publicity or unfavorable public perceptions related to the termination of the HHS declaration under Section 564 of the FDCA authorizing emergency use of COVID-19 drugs and biologics;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comply with the covenants or other terms of our Loan Agreement, including our ability to achieve the net product revenue milestones required to enable us to draw down on the term loan facility;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adverse impact on our stock price and our ability to access capital when needed on acceptable terms.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Additionally, in connection with the termination of the declaration under Section 564 of the FDCA authorizing emergency use of COVID-19 drugs and biologics, the FDA intends to decline to review and process any new EUA requests for COVID-19 drugs or biologics. Therefore, although we received an EUA from the FDA for PEMGARDA, we would be precluded from pursuing an EUA from the FDA for VYD2311 or other COVID-19 product candidates and, instead, we would need to pursue traditional regulatory approval processes, which may be lengthy and expensive.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our inception, we have financed our operations primarily with net proceeds from several public and private offerings of our capital stock. After receiving an EUA from the FDA for PEMGARDA in March 2024, we have also funded our operations from sales of PEMGARDA, but we have no other product candidates authorized or approved for commercialization. We will remain dependent on the commercial success of PEMGARDA, while it remains authorized, until VYD2311, our next-generation mAb candidate for COVID-19, or any other product candidate completes clinical development, receives regulatory approval and is successfully commercialized, if ever. If we are not able to timely obtain regulatory approval for PEMGARDA before the EUA for PEMGARDA terminates, we will not be able to generate product revenue from PEMGARDA and our business will be substantially harmed.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regain or maintain compliance with the continued listing standards of Nasdaq.</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Global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example, on July 23, 2026,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 Nasdaq’s notice has no immediate effect on the listing of our common stock, and, in accordance with Nasdaq Listing Rule 5810(c)(3)(A), we have until January 19, 2027 to regain compliance with the Minimum Bid Price Requirement by maintaining a closing bid price of at least $1.00 per share for a minimum of ten consecutive business days, unless Nasdaq exercises its discretion to extend this ten-day period pursuant to Nasdaq Listing Rule 5810(c)(3)(H). In the event that we do not regain compliance by January 19, 2027, we may be eligible for additional time to regain compliance with the Minimum Bid Price Requirement. We previously received similar letters from Nasdaq on December 27, 2024 and April 21, 2025, and, in each case, we were subsequently notified by Nasdaq that we had regained compliance with the Minimum Bid Price Requirement, and the matter with respect to each period of non-compliance was closed.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are unable to regain compliance with the Minimum Bid Price Requirement or fail to maintain compliance with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pStyle w:val="TextBody"/>
        <w:bidi w:val="0"/>
        <w:spacing w:before="120" w:after="120"/>
        <w:jc w:val="left"/>
        <w:rPr>
          <w:rFonts w:ascii="Times New Roman" w:hAnsi="Times New Roman"/>
          <w:sz w:val="20"/>
        </w:rPr>
      </w:pPr>
      <w:bookmarkStart w:id="19" w:name="ii_item2"/>
      <w:bookmarkEnd w:id="19"/>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Recent Sales of Unregistered Securities; 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did not issue any unregistered equity securities during the three months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did not purchase any of our equity securities during the three months ended June 30, 2026.</w:t>
      </w:r>
    </w:p>
    <w:p>
      <w:pPr>
        <w:pStyle w:val="TextBody"/>
        <w:bidi w:val="0"/>
        <w:spacing w:before="0" w:after="120"/>
        <w:jc w:val="both"/>
        <w:rPr>
          <w:rFonts w:ascii="Times New Roman" w:hAnsi="Times New Roman"/>
          <w:b/>
          <w:color w:val="000000"/>
          <w:sz w:val="20"/>
        </w:rPr>
      </w:pPr>
      <w:bookmarkStart w:id="20" w:name="ii_item5"/>
      <w:bookmarkEnd w:id="20"/>
      <w:r>
        <w:rPr>
          <w:rFonts w:ascii="Times New Roman" w:hAnsi="Times New Roman"/>
          <w:b/>
          <w:color w:val="000000"/>
          <w:sz w:val="20"/>
        </w:rPr>
        <w:t>Item 5. Other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adopted or terminated a “Rule 10b5-1 trading arrangement” or a “non-Rule 10b5-1 trading arrangement,” as each term is defined in Item 408 of Regulation S-K.</w:t>
      </w:r>
    </w:p>
    <w:p>
      <w:pPr>
        <w:pStyle w:val="TextBody"/>
        <w:bidi w:val="0"/>
        <w:jc w:val="left"/>
        <w:rPr/>
      </w:pPr>
      <w:r>
        <w:rPr/>
        <w:t> </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21" w:name="ii_item6"/>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02"/>
        <w:gridCol w:w="146"/>
        <w:gridCol w:w="9257"/>
      </w:tblGrid>
      <w:tr>
        <w:trPr/>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7" w:type="dxa"/>
            <w:tcBorders/>
            <w:vAlign w:val="center"/>
          </w:tcPr>
          <w:p>
            <w:pPr>
              <w:pStyle w:val="TableContents"/>
              <w:bidi w:val="0"/>
              <w:spacing w:before="0" w:after="283"/>
              <w:jc w:val="left"/>
              <w:rPr>
                <w:sz w:val="4"/>
                <w:szCs w:val="4"/>
              </w:rPr>
            </w:pPr>
            <w:r>
              <w:rPr>
                <w:sz w:val="4"/>
                <w:szCs w:val="4"/>
              </w:rPr>
            </w:r>
          </w:p>
        </w:tc>
      </w:tr>
      <w:tr>
        <w:trPr/>
        <w:tc>
          <w:tcPr>
            <w:tcW w:w="80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of the Company’s Current Report on Form 8-K (File No. 001-40703), filed with the Securities and Exchange Commission on August 10, 2021).</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(incorporated by reference to Exhibit 3.1 of the Company’s Current Report on Form 8-K (File No. 001-40703), filed with the Securities and Exchange Commission on September 13, 2022).</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Amended and Restated Certificate of Incorporation (incorporated by reference to Exhibit 3.1 of the Company’s Current Report on Form 8-K (File No. 001-40703), filed with the Securities and Exchange Commission on May 25, 2023).</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3.2 of the Company’s Current Report on Form 8-K (File No. 001-40703), filed with the Securities and Exchange Commission on September 13, 2022).</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1 to the Amended and Restated Bylaws (incorporated by reference to Exhibit 3.2 of the Company’s Current Report on Form 8-K (File No. 001-40703), filed with the Securities and Exchange Commission on May 25, 2023).</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Delaware Certificate of Change of Registered Agent (incorporated by reference to Exhibit 3.3 of the Company's Registration Statement on Form S-3 (File No. 333-267643), filed with the Securities and Exchange Commission on September 28, 2022).</w:t>
              </w:r>
            </w:hyperlink>
            <w:hyperlink r:id="rId8">
              <w:r>
                <w:rPr>
                  <w:rStyle w:val="InternetLink"/>
                  <w:rFonts w:ascii="Times New Roman" w:hAnsi="Times New Roman"/>
                  <w:color w:val="0000FF"/>
                  <w:sz w:val="20"/>
                </w:rPr>
                <w:t xml:space="preserve"> </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10_1.htm">
              <w:r>
                <w:rPr>
                  <w:rStyle w:val="InternetLink"/>
                  <w:rFonts w:ascii="Times New Roman" w:hAnsi="Times New Roman"/>
                  <w:color w:val="0000FF"/>
                  <w:sz w:val="20"/>
                  <w:u w:val="single"/>
                </w:rPr>
                <w:t>Employment Agreement by and between the Company and Timothy Lee, dated May 30, 2024.</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10_2.htm">
              <w:r>
                <w:rPr>
                  <w:rStyle w:val="InternetLink"/>
                  <w:rFonts w:ascii="Times New Roman" w:hAnsi="Times New Roman"/>
                  <w:color w:val="0000FF"/>
                  <w:sz w:val="20"/>
                  <w:u w:val="single"/>
                </w:rPr>
                <w:t>Employment Agreement by and between the Company and Michael Mina, dated July 31, 2026.</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1_1.htm">
              <w:r>
                <w:rPr>
                  <w:rStyle w:val="InternetLink"/>
                  <w:rFonts w:ascii="Times New Roman" w:hAnsi="Times New Roman"/>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vvd-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
        <w:gridCol w:w="146"/>
        <w:gridCol w:w="9826"/>
      </w:tblGrid>
      <w:tr>
        <w:trPr/>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schedules to this agreement have been omitted in accordance with Item 601(a)(5) of Regulation S-K. A copy of any omitted schedules will be furnished supplementally to the SEC upon request.</w:t>
            </w:r>
          </w:p>
        </w:tc>
      </w:tr>
      <w:tr>
        <w:trPr/>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1951"/>
        <w:gridCol w:w="146"/>
        <w:gridCol w:w="406"/>
        <w:gridCol w:w="769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INVIVYD,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 Principal Financial Officer and Principal Accounting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3" w:name="ivvd-ex10_1.htm"/>
      <w:bookmarkStart w:id="24" w:name="ksivvdex10_1"/>
      <w:bookmarkEnd w:id="23"/>
      <w:bookmarkEnd w:id="24"/>
      <w:r>
        <w:rPr>
          <w:rFonts w:ascii="Times New Roman" w:hAnsi="Times New Roman"/>
          <w:color w:val="000000"/>
          <w:sz w:val="24"/>
        </w:rPr>
        <w:t>Exhibit 10.1</w:t>
      </w:r>
      <w:r>
        <w:br w:type="page"/>
      </w:r>
    </w:p>
    <w:p>
      <w:pPr>
        <w:pStyle w:val="TextBody"/>
        <w:bidi w:val="0"/>
        <w:spacing w:before="0" w:after="360"/>
        <w:jc w:val="center"/>
        <w:rPr>
          <w:rFonts w:ascii="Times New Roman" w:hAnsi="Times New Roman"/>
          <w:b/>
          <w:caps/>
          <w:color w:val="000000"/>
          <w:sz w:val="28"/>
        </w:rPr>
      </w:pPr>
      <w:r>
        <w:rPr>
          <w:rFonts w:ascii="Times New Roman" w:hAnsi="Times New Roman"/>
          <w:b/>
          <w:caps/>
          <w:color w:val="000000"/>
          <w:sz w:val="28"/>
        </w:rPr>
        <w:br/>
        <w:t>Employment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Employment Agreement (“</w:t>
      </w:r>
      <w:r>
        <w:rPr>
          <w:rFonts w:ascii="Times New Roman" w:hAnsi="Times New Roman"/>
          <w:b/>
          <w:i/>
          <w:color w:val="000000"/>
          <w:sz w:val="24"/>
          <w:u w:val="single"/>
        </w:rPr>
        <w:t>Agreement</w:t>
      </w:r>
      <w:r>
        <w:rPr>
          <w:rFonts w:ascii="Times New Roman" w:hAnsi="Times New Roman"/>
          <w:color w:val="000000"/>
          <w:sz w:val="20"/>
        </w:rPr>
        <w:t>”</w:t>
      </w:r>
      <w:r>
        <w:rPr>
          <w:rFonts w:ascii="Times New Roman" w:hAnsi="Times New Roman"/>
          <w:color w:val="000000"/>
          <w:sz w:val="24"/>
        </w:rPr>
        <w:t>) is made between Invivyd, Inc., a Delaware corporation (the “</w:t>
      </w:r>
      <w:r>
        <w:rPr>
          <w:rFonts w:ascii="Times New Roman" w:hAnsi="Times New Roman"/>
          <w:b/>
          <w:i/>
          <w:color w:val="000000"/>
          <w:sz w:val="24"/>
          <w:u w:val="single"/>
        </w:rPr>
        <w:t>Company</w:t>
      </w:r>
      <w:r>
        <w:rPr>
          <w:rFonts w:ascii="Times New Roman" w:hAnsi="Times New Roman"/>
          <w:color w:val="000000"/>
          <w:sz w:val="20"/>
        </w:rPr>
        <w:t>”</w:t>
      </w:r>
      <w:r>
        <w:rPr>
          <w:rFonts w:ascii="Times New Roman" w:hAnsi="Times New Roman"/>
          <w:color w:val="000000"/>
          <w:sz w:val="24"/>
        </w:rPr>
        <w:t>), and Timothy Lee (“</w:t>
      </w:r>
      <w:r>
        <w:rPr>
          <w:rFonts w:ascii="Times New Roman" w:hAnsi="Times New Roman"/>
          <w:b/>
          <w:i/>
          <w:color w:val="000000"/>
          <w:sz w:val="24"/>
          <w:u w:val="single"/>
        </w:rPr>
        <w:t>Executive</w:t>
      </w:r>
      <w:r>
        <w:rPr>
          <w:rFonts w:ascii="Times New Roman" w:hAnsi="Times New Roman"/>
          <w:color w:val="000000"/>
          <w:sz w:val="20"/>
        </w:rPr>
        <w:t>”</w:t>
      </w:r>
      <w:r>
        <w:rPr>
          <w:rFonts w:ascii="Times New Roman" w:hAnsi="Times New Roman"/>
          <w:color w:val="000000"/>
          <w:sz w:val="24"/>
        </w:rPr>
        <w:t>), this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2024.</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Company desires to employ Executive in the role of Chief Commercial Officer of the Company, providing Executive with certain compensation and benefits in return for such employment services, and Executive desires to accept such employment and provide personal services to the Company in return for certain compensation and benefits set forth herein; and</w:t>
      </w:r>
    </w:p>
    <w:p>
      <w:pPr>
        <w:pStyle w:val="TextBody"/>
        <w:bidi w:val="0"/>
        <w:spacing w:before="0" w:after="240"/>
        <w:jc w:val="left"/>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0"/>
        </w:rPr>
        <w:t xml:space="preserve"> </w:t>
      </w:r>
      <w:r>
        <w:rPr>
          <w:rFonts w:ascii="Times New Roman" w:hAnsi="Times New Roman"/>
          <w:color w:val="000000"/>
          <w:sz w:val="24"/>
        </w:rPr>
        <w:t>the Company and Executive desire for this Agreement to be effective as of June 5, 2024 (the “</w:t>
      </w:r>
      <w:r>
        <w:rPr>
          <w:rFonts w:ascii="Times New Roman" w:hAnsi="Times New Roman"/>
          <w:b/>
          <w:i/>
          <w:color w:val="000000"/>
          <w:sz w:val="24"/>
          <w:u w:val="single"/>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as a condition of employment, Executive agrees to enter into an Employee Proprietary Information and Inventions Assignment Agreement (“</w:t>
      </w:r>
      <w:r>
        <w:rPr>
          <w:rFonts w:ascii="Times New Roman" w:hAnsi="Times New Roman"/>
          <w:b/>
          <w:i/>
          <w:color w:val="000000"/>
          <w:sz w:val="24"/>
        </w:rPr>
        <w:t>PIIA Agreement</w:t>
      </w:r>
      <w:r>
        <w:rPr>
          <w:rFonts w:ascii="Times New Roman" w:hAnsi="Times New Roman"/>
          <w:color w:val="000000"/>
          <w:sz w:val="20"/>
        </w:rPr>
        <w:t>”</w:t>
      </w:r>
      <w:r>
        <w:rPr>
          <w:rFonts w:ascii="Times New Roman" w:hAnsi="Times New Roman"/>
          <w:color w:val="000000"/>
          <w:sz w:val="24"/>
        </w:rPr>
        <w:t>) in a form acceptable to the Company on or before the Effective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consideration of the mutual covenants and agreements herein contained and other good and valuable consideration, the receipt and sufficiency of which is hereby acknowledged,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hAnsi="Times New Roman"/>
          <w:b/>
          <w:i/>
          <w:color w:val="000000"/>
          <w:sz w:val="24"/>
          <w:u w:val="single"/>
        </w:rPr>
        <w:t>Term</w:t>
      </w:r>
      <w:r>
        <w:rPr>
          <w:color w:val="000000"/>
        </w:rPr>
        <w:t>”</w:t>
      </w:r>
      <w:r>
        <w:rPr>
          <w:rFonts w:ascii="Times New Roman" w:hAnsi="Times New Roman"/>
          <w:color w:val="000000"/>
          <w:sz w:val="24"/>
        </w:rPr>
        <w:t>). Executive’s employment with the Company shall be “at will,” meaning that Executive’s employment may be terminated by the Company or Executive at any time and for any reason subject to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Position and Duties</w:t>
      </w:r>
      <w:r>
        <w:rPr>
          <w:rFonts w:ascii="Times New Roman" w:hAnsi="Times New Roman"/>
          <w:color w:val="000000"/>
          <w:sz w:val="24"/>
        </w:rPr>
        <w:t>. Executive shall serve as the Chief Commercial Officer and shall have such powers and duties as customarily associated with the office of Chief Commercial Officer, and as may from time to time be prescribed by the Chief Executive Officer of the Company (the “</w:t>
      </w:r>
      <w:r>
        <w:rPr>
          <w:rFonts w:ascii="Times New Roman" w:hAnsi="Times New Roman"/>
          <w:b/>
          <w:i/>
          <w:color w:val="000000"/>
          <w:sz w:val="24"/>
          <w:u w:val="single"/>
        </w:rPr>
        <w:t>CEO</w:t>
      </w:r>
      <w:r>
        <w:rPr>
          <w:color w:val="000000"/>
        </w:rPr>
        <w:t>”</w:t>
      </w:r>
      <w:r>
        <w:rPr>
          <w:rFonts w:ascii="Times New Roman" w:hAnsi="Times New Roman"/>
          <w:color w:val="000000"/>
          <w:sz w:val="24"/>
        </w:rPr>
        <w:t xml:space="preserve">). Executive shall report to the CEO and shall be subject to the direction and control of the CEO.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Outside Activities</w:t>
      </w:r>
      <w:r>
        <w:rPr>
          <w:rFonts w:ascii="Times New Roman" w:hAnsi="Times New Roman"/>
          <w:color w:val="000000"/>
          <w:sz w:val="24"/>
        </w:rPr>
        <w:t xml:space="preserve">.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 xml:space="preserve">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personal passive investments, and engage in the activities set forth in </w:t>
      </w:r>
      <w:r>
        <w:rPr>
          <w:rFonts w:ascii="Times New Roman" w:hAnsi="Times New Roman"/>
          <w:color w:val="000000"/>
          <w:sz w:val="24"/>
          <w:u w:val="single"/>
        </w:rPr>
        <w:t>Appendix A</w:t>
      </w:r>
      <w:r>
        <w:rPr>
          <w:color w:val="000000"/>
        </w:rPr>
        <w:t xml:space="preserve"> </w:t>
      </w:r>
      <w:r>
        <w:rPr>
          <w:rFonts w:ascii="Times New Roman" w:hAnsi="Times New Roman"/>
          <w:color w:val="000000"/>
          <w:sz w:val="24"/>
        </w:rPr>
        <w:t>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Compensation and Related Matters</w:t>
      </w:r>
      <w:r>
        <w:rPr>
          <w:rFonts w:ascii="Times New Roman" w:hAnsi="Times New Roman"/>
          <w:color w:val="000000"/>
          <w:sz w:val="24"/>
        </w:rPr>
        <w:t>. This Section 2 sets forth the compensation and benefits to be provided to Executive during the Term.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Base Salary</w:t>
      </w:r>
      <w:r>
        <w:rPr>
          <w:rFonts w:ascii="Times New Roman" w:hAnsi="Times New Roman"/>
          <w:color w:val="000000"/>
          <w:sz w:val="24"/>
        </w:rPr>
        <w:t>. The Company will pay Executive, as compensation for the performance of Executive’s duties and obligations hereunder, a base salary at the rate of $420,000 per year. Except for the 2024 calendar year (for which there shall be no salary review), Executive’s salary shall be subject to annual review not later than March 31</w:t>
      </w:r>
      <w:r>
        <w:rPr>
          <w:rFonts w:ascii="Times New Roman" w:hAnsi="Times New Roman"/>
          <w:color w:val="000000"/>
          <w:sz w:val="16"/>
        </w:rPr>
        <w:t>st</w:t>
      </w:r>
      <w:r>
        <w:rPr>
          <w:color w:val="000000"/>
        </w:rPr>
        <w:t xml:space="preserve"> </w:t>
      </w:r>
      <w:r>
        <w:rPr>
          <w:rFonts w:ascii="Times New Roman" w:hAnsi="Times New Roman"/>
          <w:color w:val="000000"/>
          <w:sz w:val="24"/>
        </w:rPr>
        <w:t>of each year for possible increase by the Board or the Compensation Committee of the Board (the “</w:t>
      </w:r>
      <w:r>
        <w:rPr>
          <w:rFonts w:ascii="Times New Roman" w:hAnsi="Times New Roman"/>
          <w:b/>
          <w:i/>
          <w:color w:val="000000"/>
          <w:sz w:val="24"/>
          <w:u w:val="single"/>
        </w:rPr>
        <w:t>Compensation Committee</w:t>
      </w:r>
      <w:r>
        <w:rPr>
          <w:color w:val="000000"/>
        </w:rPr>
        <w:t>”</w:t>
      </w:r>
      <w:r>
        <w:rPr>
          <w:rFonts w:ascii="Times New Roman" w:hAnsi="Times New Roman"/>
          <w:color w:val="000000"/>
          <w:sz w:val="24"/>
        </w:rPr>
        <w:t>), which may be adjusted from time to time. The base salary in effect at any given time is referred to herein as “</w:t>
      </w:r>
      <w:r>
        <w:rPr>
          <w:rFonts w:ascii="Times New Roman" w:hAnsi="Times New Roman"/>
          <w:b/>
          <w:i/>
          <w:color w:val="000000"/>
          <w:sz w:val="24"/>
          <w:u w:val="single"/>
        </w:rPr>
        <w:t>Base Salary</w:t>
      </w:r>
      <w:r>
        <w:rPr>
          <w:rFonts w:ascii="Times New Roman" w:hAnsi="Times New Roman"/>
          <w:color w:val="000000"/>
          <w:sz w:val="24"/>
        </w:rPr>
        <w:t>.” The Base Salary shall be payable in a manner that is consistent with the Company’s usual payroll practices for its executive officers.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Incentive Compensation</w:t>
      </w:r>
      <w:r>
        <w:rPr>
          <w:rFonts w:ascii="Times New Roman" w:hAnsi="Times New Roman"/>
          <w:color w:val="000000"/>
          <w:sz w:val="24"/>
        </w:rPr>
        <w:t>. Executive shall be eligible to participate in an annual cash incentive compensation plan that the Company offers to its executive officers (the “</w:t>
      </w:r>
      <w:r>
        <w:rPr>
          <w:rFonts w:ascii="Times New Roman" w:hAnsi="Times New Roman"/>
          <w:b/>
          <w:i/>
          <w:color w:val="000000"/>
          <w:sz w:val="24"/>
          <w:u w:val="single"/>
        </w:rPr>
        <w:t>Annual Bonus Plan</w:t>
      </w:r>
      <w:r>
        <w:rPr>
          <w:color w:val="000000"/>
        </w:rPr>
        <w:t>”</w:t>
      </w:r>
      <w:r>
        <w:rPr>
          <w:rFonts w:ascii="Times New Roman" w:hAnsi="Times New Roman"/>
          <w:color w:val="000000"/>
          <w:sz w:val="24"/>
        </w:rPr>
        <w:t>). Executive will be eligible to earn an annual bonus for each full calendar year completed (the “</w:t>
      </w:r>
      <w:r>
        <w:rPr>
          <w:rFonts w:ascii="Times New Roman" w:hAnsi="Times New Roman"/>
          <w:b/>
          <w:i/>
          <w:color w:val="000000"/>
          <w:sz w:val="24"/>
          <w:u w:val="single"/>
        </w:rPr>
        <w:t>Annual Bonus</w:t>
      </w:r>
      <w:r>
        <w:rPr>
          <w:color w:val="000000"/>
        </w:rPr>
        <w:t>”</w:t>
      </w:r>
      <w:r>
        <w:rPr>
          <w:rFonts w:ascii="Times New Roman" w:hAnsi="Times New Roman"/>
          <w:color w:val="000000"/>
          <w:sz w:val="24"/>
        </w:rPr>
        <w:t>). Executive’s target Annual Bonus will be 40% percent of Executive’s Base Salary (the “</w:t>
      </w:r>
      <w:r>
        <w:rPr>
          <w:rFonts w:ascii="Times New Roman" w:hAnsi="Times New Roman"/>
          <w:b/>
          <w:i/>
          <w:color w:val="000000"/>
          <w:sz w:val="24"/>
          <w:u w:val="single"/>
        </w:rPr>
        <w:t>Target Bonus</w:t>
      </w:r>
      <w:r>
        <w:rPr>
          <w:color w:val="000000"/>
        </w:rPr>
        <w:t>”</w:t>
      </w:r>
      <w:r>
        <w:rPr>
          <w:rFonts w:ascii="Times New Roman" w:hAnsi="Times New Roman"/>
          <w:color w:val="000000"/>
          <w:sz w:val="24"/>
        </w:rPr>
        <w:t>) in effect on January 1st of the applicable performance period, and will not be pro-rated for calendar year 2024.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Option Award</w:t>
      </w:r>
      <w:r>
        <w:rPr>
          <w:rFonts w:ascii="Times New Roman" w:hAnsi="Times New Roman"/>
          <w:color w:val="000000"/>
          <w:sz w:val="24"/>
        </w:rPr>
        <w:t>. Subject to approval by the Board (or any authorized committee thereof), the Company shall grant Executive an option (the “</w:t>
      </w:r>
      <w:r>
        <w:rPr>
          <w:rFonts w:ascii="Times New Roman" w:hAnsi="Times New Roman"/>
          <w:b/>
          <w:i/>
          <w:color w:val="000000"/>
          <w:sz w:val="24"/>
          <w:u w:val="single"/>
        </w:rPr>
        <w:t>Option</w:t>
      </w:r>
      <w:r>
        <w:rPr>
          <w:color w:val="000000"/>
        </w:rPr>
        <w:t>”</w:t>
      </w:r>
      <w:r>
        <w:rPr>
          <w:rFonts w:ascii="Times New Roman" w:hAnsi="Times New Roman"/>
          <w:color w:val="000000"/>
          <w:sz w:val="24"/>
        </w:rPr>
        <w:t xml:space="preserve">) to purchase 600,000 shares of the Company’s common stock, with an exercise price equal to the fair market value of a share of the Company’s common stock on the grant date, as determined by the Board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(or any authorized committee thereof), pursuant to the terms and conditions of the Company’s 2021 Equity Incentive Plan (the “</w:t>
      </w:r>
      <w:r>
        <w:rPr>
          <w:rFonts w:ascii="Times New Roman" w:hAnsi="Times New Roman"/>
          <w:b/>
          <w:i/>
          <w:color w:val="000000"/>
          <w:sz w:val="24"/>
          <w:u w:val="single"/>
        </w:rPr>
        <w:t>Plan</w:t>
      </w:r>
      <w:r>
        <w:rPr>
          <w:color w:val="000000"/>
        </w:rPr>
        <w:t>”</w:t>
      </w:r>
      <w:r>
        <w:rPr>
          <w:rFonts w:ascii="Times New Roman" w:hAnsi="Times New Roman"/>
          <w:color w:val="000000"/>
          <w:sz w:val="24"/>
        </w:rPr>
        <w:t>) and the applicable stock option grant notice and stock option agreement to be provided to Executive (together with the Plan, the “</w:t>
      </w:r>
      <w:r>
        <w:rPr>
          <w:rFonts w:ascii="Times New Roman" w:hAnsi="Times New Roman"/>
          <w:b/>
          <w:i/>
          <w:color w:val="000000"/>
          <w:sz w:val="24"/>
          <w:u w:val="single"/>
        </w:rPr>
        <w:t>Equity Documents</w:t>
      </w:r>
      <w:r>
        <w:rPr>
          <w:color w:val="000000"/>
        </w:rPr>
        <w:t>”</w:t>
      </w:r>
      <w:r>
        <w:rPr>
          <w:rFonts w:ascii="Times New Roman" w:hAnsi="Times New Roman"/>
          <w:color w:val="000000"/>
          <w:sz w:val="24"/>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Executive’s continuous service to the Company as of each such vesting date.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Expenses</w:t>
      </w:r>
      <w:r>
        <w:rPr>
          <w:rFonts w:ascii="Times New Roman" w:hAnsi="Times New Roman"/>
          <w:color w:val="000000"/>
          <w:sz w:val="24"/>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Other Benefits</w:t>
      </w:r>
      <w:r>
        <w:rPr>
          <w:rFonts w:ascii="Times New Roman" w:hAnsi="Times New Roman"/>
          <w:color w:val="000000"/>
          <w:sz w:val="24"/>
        </w:rPr>
        <w:t>. Executive shall be eligible to participate in or receive benefits under the Company’s employee benefit plans in effect from time to time, subject to the terms of such plans.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Paid Time Off</w:t>
      </w:r>
      <w:r>
        <w:rPr>
          <w:rFonts w:ascii="Times New Roman" w:hAnsi="Times New Roman"/>
          <w:color w:val="000000"/>
          <w:sz w:val="24"/>
        </w:rPr>
        <w:t>. Executive shall be entitled to take paid time off in accordance with the Company’s applicable paid time off policy for executives, as may be in effect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Stock Ownership Guidelines</w:t>
      </w:r>
      <w:r>
        <w:rPr>
          <w:rFonts w:ascii="Times New Roman" w:hAnsi="Times New Roman"/>
          <w:color w:val="000000"/>
          <w:sz w:val="24"/>
        </w:rPr>
        <w:t>. Executive shall be subject to the Company’s Executive Stock Ownership Guidelines while providing services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rFonts w:ascii="Times New Roman" w:hAnsi="Times New Roman"/>
          <w:color w:val="000000"/>
          <w:sz w:val="24"/>
          <w:u w:val="single"/>
        </w:rPr>
        <w:t>Treatment of Equity Awards upon a Change in Control</w:t>
      </w:r>
      <w:r>
        <w:rPr>
          <w:rFonts w:ascii="Times New Roman" w:hAnsi="Times New Roman"/>
          <w:color w:val="000000"/>
          <w:sz w:val="24"/>
        </w:rPr>
        <w:t>. The following provisions shall apply to any award granted under the Plan or any other plan, agreement or arrangement based on the value of a share of the Company’s common stock on or after the Effective Date (collectively, the “</w:t>
      </w:r>
      <w:r>
        <w:rPr>
          <w:rFonts w:ascii="Times New Roman" w:hAnsi="Times New Roman"/>
          <w:b/>
          <w:i/>
          <w:color w:val="000000"/>
          <w:sz w:val="24"/>
          <w:u w:val="single"/>
        </w:rPr>
        <w:t>Equity Awards</w:t>
      </w:r>
      <w:r>
        <w:rPr>
          <w:color w:val="000000"/>
        </w:rPr>
        <w:t>”</w:t>
      </w:r>
      <w:r>
        <w:rPr>
          <w:rFonts w:ascii="Times New Roman" w:hAnsi="Times New Roman"/>
          <w:color w:val="000000"/>
          <w:sz w:val="24"/>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Except as otherwise provided in the Change in Control transaction’s definitive agreement, the Plan or the applicable award agreement, or as set forth in Section 6 below, Equity Awards subject to vesting solely on account of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completing periods of covered employment or service (collectively, the “</w:t>
      </w:r>
      <w:r>
        <w:rPr>
          <w:rFonts w:ascii="Times New Roman" w:hAnsi="Times New Roman"/>
          <w:b/>
          <w:i/>
          <w:color w:val="000000"/>
          <w:sz w:val="24"/>
          <w:u w:val="single"/>
        </w:rPr>
        <w:t>Time-Based Equity Awards</w:t>
      </w:r>
      <w:r>
        <w:rPr>
          <w:color w:val="000000"/>
        </w:rPr>
        <w:t>”</w:t>
      </w:r>
      <w:r>
        <w:rPr>
          <w:rFonts w:ascii="Times New Roman" w:hAnsi="Times New Roman"/>
          <w:color w:val="000000"/>
          <w:sz w:val="24"/>
        </w:rPr>
        <w:t>) shall not immediately accelerate and become fully vested and exercisable or non-forfeitable on such a Change in Control,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all other Equity Awards, including but not limited to performance stock units vesting based on achieving pre-established performance goals (collectively, the “</w:t>
      </w:r>
      <w:r>
        <w:rPr>
          <w:rFonts w:ascii="Times New Roman" w:hAnsi="Times New Roman"/>
          <w:b/>
          <w:i/>
          <w:color w:val="000000"/>
          <w:sz w:val="24"/>
          <w:u w:val="single"/>
        </w:rPr>
        <w:t>Performance-Based Equity Awards</w:t>
      </w:r>
      <w:r>
        <w:rPr>
          <w:color w:val="000000"/>
        </w:rPr>
        <w:t>”</w:t>
      </w:r>
      <w:r>
        <w:rPr>
          <w:rFonts w:ascii="Times New Roman" w:hAnsi="Times New Roman"/>
          <w:color w:val="000000"/>
          <w:sz w:val="24"/>
        </w:rPr>
        <w:t>) shall be governed by the terms of the Plan and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Executive’s employment hereunder may be terminated without any breach of this Agreement under the following circumstances: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Death</w:t>
      </w:r>
      <w:r>
        <w:rPr>
          <w:rFonts w:ascii="Times New Roman" w:hAnsi="Times New Roman"/>
          <w:color w:val="000000"/>
          <w:sz w:val="24"/>
        </w:rPr>
        <w:t>. Executive’s employment hereunder shall terminate upon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Disability</w:t>
      </w:r>
      <w:r>
        <w:rPr>
          <w:rFonts w:ascii="Times New Roman" w:hAnsi="Times New Roman"/>
          <w:color w:val="000000"/>
          <w:sz w:val="24"/>
        </w:rPr>
        <w:t xml:space="preserve">.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 by the Company for Cause</w:t>
      </w:r>
      <w:r>
        <w:rPr>
          <w:rFonts w:ascii="Times New Roman" w:hAnsi="Times New Roman"/>
          <w:color w:val="000000"/>
          <w:sz w:val="24"/>
        </w:rPr>
        <w:t>. The Company may terminate Executive’s employment hereunder for Cause. For purposes of this Agreement, “</w:t>
      </w:r>
      <w:r>
        <w:rPr>
          <w:rFonts w:ascii="Times New Roman" w:hAnsi="Times New Roman"/>
          <w:b/>
          <w:i/>
          <w:color w:val="000000"/>
          <w:sz w:val="24"/>
          <w:u w:val="single"/>
        </w:rPr>
        <w:t>Cause</w:t>
      </w:r>
      <w:r>
        <w:rPr>
          <w:color w:val="000000"/>
        </w:rPr>
        <w:t xml:space="preserve">” </w:t>
      </w:r>
      <w:r>
        <w:rPr>
          <w:rFonts w:ascii="Times New Roman" w:hAnsi="Times New Roman"/>
          <w:color w:val="000000"/>
          <w:sz w:val="24"/>
        </w:rPr>
        <w:t xml:space="preserve">shall mean any of the following: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act of fraud, embezzlement or material misappropriation committed by Executive against the Company (other than good faith expense account disputes);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willful engaging by Executive in any act that brings or is reasonably likely to bring the Company into public disrepute or disgrace or causes material harm to the customer relations, operations or business prospects of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termination for Cause under this Section 3(c) (other than with respect to Section 3(c)(ii)) shall in no event become effective under the Agreement unless the provisions of this paragraph are complied with. Executive must be given written notice by the Company of the intention to terminate Executive’s employment for Cause, such notice to be given within three (3) months of the Company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Termination by the Company without Cause</w:t>
      </w:r>
      <w:r>
        <w:rPr>
          <w:rFonts w:ascii="Times New Roman" w:hAnsi="Times New Roman"/>
          <w:color w:val="000000"/>
          <w:sz w:val="24"/>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Termination by Executive</w:t>
      </w:r>
      <w:r>
        <w:rPr>
          <w:rFonts w:ascii="Times New Roman" w:hAnsi="Times New Roman"/>
          <w:color w:val="000000"/>
          <w:sz w:val="24"/>
        </w:rPr>
        <w:t>. Executive may terminate employment hereunder at any time for any reason, including but not limited to, Good Reason. For purposes of this Agreement, “</w:t>
      </w:r>
      <w:r>
        <w:rPr>
          <w:rFonts w:ascii="Times New Roman" w:hAnsi="Times New Roman"/>
          <w:b/>
          <w:i/>
          <w:color w:val="000000"/>
          <w:sz w:val="24"/>
          <w:u w:val="single"/>
        </w:rPr>
        <w:t>Good Reason</w:t>
      </w:r>
      <w:r>
        <w:rPr>
          <w:color w:val="000000"/>
        </w:rPr>
        <w:t xml:space="preserve">” </w:t>
      </w:r>
      <w:r>
        <w:rPr>
          <w:rFonts w:ascii="Times New Roman" w:hAnsi="Times New Roman"/>
          <w:color w:val="000000"/>
          <w:sz w:val="24"/>
        </w:rPr>
        <w:t>shall mean that Executive has completed all steps of the Good Reason Process (hereinafter defined) following the occurrence of any of the following events without Executive’s consent (each, a “</w:t>
      </w:r>
      <w:r>
        <w:rPr>
          <w:rFonts w:ascii="Times New Roman" w:hAnsi="Times New Roman"/>
          <w:b/>
          <w:i/>
          <w:color w:val="000000"/>
          <w:sz w:val="24"/>
          <w:u w:val="single"/>
        </w:rPr>
        <w:t>Good Reason Condition</w:t>
      </w:r>
      <w:r>
        <w:rPr>
          <w:color w:val="000000"/>
        </w:rPr>
        <w: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diminution in Executive’s title, responsibilities, authority or duties;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Control following which either: (A) Executive is not Chief Commercial Officer of the Company or, (B) if the Company becomes a subsidiary of one or more entities following the Change in Control, the post-consummation ultimate parent entity of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Good Reason Process</w:t>
      </w:r>
      <w:r>
        <w:rPr>
          <w:rFonts w:ascii="Times New Roman" w:hAnsi="Times New Roman"/>
          <w:color w:val="000000"/>
          <w:sz w:val="24"/>
        </w:rPr>
        <w:t>. The “</w:t>
      </w:r>
      <w:r>
        <w:rPr>
          <w:rFonts w:ascii="Times New Roman" w:hAnsi="Times New Roman"/>
          <w:b/>
          <w:i/>
          <w:color w:val="000000"/>
          <w:sz w:val="24"/>
          <w:u w:val="single"/>
        </w:rPr>
        <w:t>Good Reason Process</w:t>
      </w:r>
      <w:r>
        <w:rPr>
          <w:color w:val="000000"/>
        </w:rPr>
        <w:t xml:space="preserve">” </w:t>
      </w:r>
      <w:r>
        <w:rPr>
          <w:rFonts w:ascii="Times New Roman" w:hAnsi="Times New Roman"/>
          <w:color w:val="000000"/>
          <w:sz w:val="24"/>
        </w:rPr>
        <w:t>consists of the following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reasonably determines in good faith that a Good Reason Condition has occurred;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notifies the Company in writing of the first occurrence of the Good Reason Condition within sixty (60) days of the first occurrence of such condition;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Executive cooperates in good faith with the Company’s efforts, for a period of not less than thirty (30) days following such notice (the “</w:t>
      </w:r>
      <w:r>
        <w:rPr>
          <w:rFonts w:ascii="Times New Roman" w:hAnsi="Times New Roman"/>
          <w:b/>
          <w:i/>
          <w:color w:val="000000"/>
          <w:sz w:val="24"/>
          <w:u w:val="single"/>
        </w:rPr>
        <w:t xml:space="preserve">Cure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b/>
          <w:i/>
          <w:color w:val="000000"/>
          <w:sz w:val="24"/>
          <w:u w:val="single"/>
        </w:rPr>
        <w:t>Period</w:t>
      </w:r>
      <w:r>
        <w:rPr>
          <w:color w:val="000000"/>
        </w:rPr>
        <w:t>”</w:t>
      </w:r>
      <w:r>
        <w:rPr>
          <w:rFonts w:ascii="Times New Roman" w:hAnsi="Times New Roman"/>
          <w:color w:val="000000"/>
          <w:sz w:val="24"/>
        </w:rPr>
        <w:t>), to remedy the Good Reason Condition (to the extent such cure is possible);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such efforts, the Good Reason Condition continues to exist at the end of the Cure Period;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terminates employment within sixty (60) days after the end of the Cure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cures the Good Reason Condition during the Cure Period, Good Reason shall be deemed not to have occurred.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Matters Related to Termination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hAnsi="Times New Roman"/>
          <w:b/>
          <w:i/>
          <w:color w:val="000000"/>
          <w:sz w:val="24"/>
          <w:u w:val="single"/>
        </w:rPr>
        <w:t>Notice of Termination</w:t>
      </w:r>
      <w:r>
        <w:rPr>
          <w:color w:val="000000"/>
        </w:rPr>
        <w:t xml:space="preserve">” </w:t>
      </w:r>
      <w:r>
        <w:rPr>
          <w:rFonts w:ascii="Times New Roman" w:hAnsi="Times New Roman"/>
          <w:color w:val="000000"/>
          <w:sz w:val="24"/>
        </w:rPr>
        <w:t>shall mean a notice which shall indicate the specific termination provision in this Agreement relied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Date of Termination</w:t>
      </w:r>
      <w:r>
        <w:rPr>
          <w:rFonts w:ascii="Times New Roman" w:hAnsi="Times New Roman"/>
          <w:color w:val="000000"/>
          <w:sz w:val="24"/>
        </w:rPr>
        <w:t>. “</w:t>
      </w:r>
      <w:r>
        <w:rPr>
          <w:rFonts w:ascii="Times New Roman" w:hAnsi="Times New Roman"/>
          <w:b/>
          <w:i/>
          <w:color w:val="000000"/>
          <w:sz w:val="24"/>
          <w:u w:val="single"/>
        </w:rPr>
        <w:t>Date of Termination</w:t>
      </w:r>
      <w:r>
        <w:rPr>
          <w:color w:val="000000"/>
        </w:rPr>
        <w:t xml:space="preserve">” </w:t>
      </w:r>
      <w:r>
        <w:rPr>
          <w:rFonts w:ascii="Times New Roman" w:hAnsi="Times New Roman"/>
          <w:color w:val="000000"/>
          <w:sz w:val="24"/>
        </w:rPr>
        <w:t xml:space="preserve">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Accrued Obligations</w:t>
      </w:r>
      <w:r>
        <w:rPr>
          <w:rFonts w:ascii="Times New Roman" w:hAnsi="Times New Roman"/>
          <w:color w:val="000000"/>
          <w:sz w:val="24"/>
        </w:rPr>
        <w:t>. If Executive’s employment with the Company is terminated for any reason, the Company shall pay or provide to Executive (or to Executive’s</w:t>
      </w:r>
      <w:r>
        <w:rPr>
          <w:color w:val="000000"/>
        </w:rPr>
        <w:t xml:space="preserve"> </w:t>
      </w:r>
      <w:r>
        <w:rPr>
          <w:rFonts w:ascii="Times New Roman" w:hAnsi="Times New Roman"/>
          <w:color w:val="000000"/>
          <w:sz w:val="24"/>
        </w:rPr>
        <w:t xml:space="preserve">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hAnsi="Times New Roman"/>
          <w:b/>
          <w:i/>
          <w:color w:val="000000"/>
          <w:sz w:val="24"/>
          <w:u w:val="single"/>
        </w:rPr>
        <w:t>Accrued Obligations</w:t>
      </w:r>
      <w:r>
        <w:rPr>
          <w:rFonts w:ascii="Times New Roman" w:hAnsi="Times New Roman"/>
          <w:color w:val="000000"/>
          <w:sz w:val="24"/>
        </w:rPr>
        <w:t>.”</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Resignation of All Other Positions</w:t>
      </w:r>
      <w:r>
        <w:rPr>
          <w:rFonts w:ascii="Times New Roman" w:hAnsi="Times New Roman"/>
          <w:color w:val="000000"/>
          <w:sz w:val="24"/>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Severance Pay and Benefits Upon Termination by the Company without Cause or by Executive for Good Reason</w:t>
      </w:r>
      <w:r>
        <w:rPr>
          <w:rFonts w:ascii="Times New Roman" w:hAnsi="Times New Roman"/>
          <w:color w:val="000000"/>
          <w:sz w:val="24"/>
        </w:rPr>
        <w:t>. If Executive’s employment is terminated by the Company without Cause as provided in Section 3(d), or Executive terminates employment for Good Reason as provided in Section 3(e), then, in addition to the</w:t>
      </w:r>
      <w:r>
        <w:rPr>
          <w:color w:val="000000"/>
        </w:rPr>
        <w:t xml:space="preserve"> </w:t>
      </w:r>
      <w:r>
        <w:rPr>
          <w:rFonts w:ascii="Times New Roman" w:hAnsi="Times New Roman"/>
          <w:color w:val="000000"/>
          <w:sz w:val="24"/>
        </w:rPr>
        <w:t xml:space="preserve">Accrued Obligations, and subject to (i) Executive signing and allowing to become effective a separation agreement and release in a form substantially the same as set forth in </w:t>
      </w:r>
      <w:r>
        <w:rPr>
          <w:rFonts w:ascii="Times New Roman" w:hAnsi="Times New Roman"/>
          <w:color w:val="000000"/>
          <w:sz w:val="24"/>
          <w:u w:val="single"/>
        </w:rPr>
        <w:t>Appendix B</w:t>
      </w:r>
      <w:r>
        <w:rPr>
          <w:color w:val="000000"/>
        </w:rPr>
        <w:t xml:space="preserve"> </w:t>
      </w:r>
      <w:r>
        <w:rPr>
          <w:rFonts w:ascii="Times New Roman" w:hAnsi="Times New Roman"/>
          <w:color w:val="000000"/>
          <w:sz w:val="24"/>
        </w:rPr>
        <w:t>to this Agreement (the “</w:t>
      </w:r>
      <w:r>
        <w:rPr>
          <w:rFonts w:ascii="Times New Roman" w:hAnsi="Times New Roman"/>
          <w:b/>
          <w:i/>
          <w:color w:val="000000"/>
          <w:sz w:val="24"/>
          <w:u w:val="single"/>
        </w:rPr>
        <w:t>Separation Agreement</w:t>
      </w:r>
      <w:r>
        <w:rPr>
          <w:color w:val="000000"/>
        </w:rPr>
        <w:t>”</w:t>
      </w:r>
      <w:r>
        <w:rPr>
          <w:rFonts w:ascii="Times New Roman" w:hAnsi="Times New Roman"/>
          <w:color w:val="000000"/>
          <w:sz w:val="24"/>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Cash Severance</w:t>
      </w:r>
      <w:r>
        <w:rPr>
          <w:rFonts w:ascii="Times New Roman" w:hAnsi="Times New Roman"/>
          <w:color w:val="000000"/>
          <w:sz w:val="24"/>
        </w:rPr>
        <w:t>. The Company shall pay Executive an amount equal to nine (9) months’ of Executive’s Base Salary (the “</w:t>
      </w:r>
      <w:r>
        <w:rPr>
          <w:rFonts w:ascii="Times New Roman" w:hAnsi="Times New Roman"/>
          <w:b/>
          <w:i/>
          <w:color w:val="000000"/>
          <w:sz w:val="24"/>
          <w:u w:val="single"/>
        </w:rPr>
        <w:t>Severance Amount</w:t>
      </w:r>
      <w:r>
        <w:rPr>
          <w:color w:val="000000"/>
        </w:rPr>
        <w:t>”</w:t>
      </w:r>
      <w:r>
        <w:rPr>
          <w:rFonts w:ascii="Times New Roman" w:hAnsi="Times New Roman"/>
          <w:color w:val="000000"/>
          <w:sz w:val="24"/>
        </w:rPr>
        <w:t>) and,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hAnsi="Times New Roman"/>
          <w:b/>
          <w:i/>
          <w:color w:val="000000"/>
          <w:sz w:val="24"/>
          <w:u w:val="single"/>
        </w:rPr>
        <w:t>Earned Bonus</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COBRA Premiums</w:t>
      </w:r>
      <w:r>
        <w:rPr>
          <w:rFonts w:ascii="Times New Roman" w:hAnsi="Times New Roman"/>
          <w:color w:val="000000"/>
          <w:sz w:val="24"/>
        </w:rPr>
        <w:t>. Subject to Executive’s copayment of premium amounts at the applicable active employees’ rate and Executive’s proper election to receive benefits under the Consolidated Omnibus Budget Reconciliation Act of 1985, as amended (“</w:t>
      </w:r>
      <w:r>
        <w:rPr>
          <w:rFonts w:ascii="Times New Roman" w:hAnsi="Times New Roman"/>
          <w:b/>
          <w:i/>
          <w:color w:val="000000"/>
          <w:sz w:val="24"/>
          <w:u w:val="single"/>
        </w:rPr>
        <w:t>COBRA</w:t>
      </w:r>
      <w:r>
        <w:rPr>
          <w:color w:val="000000"/>
        </w:rPr>
        <w:t>”</w:t>
      </w:r>
      <w:r>
        <w:rPr>
          <w:rFonts w:ascii="Times New Roman" w:hAnsi="Times New Roman"/>
          <w:color w:val="000000"/>
          <w:sz w:val="24"/>
        </w:rPr>
        <w:t xml:space="preserve">),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Delayed Forfeiture of Time-Based Equity Awards</w:t>
      </w:r>
      <w:r>
        <w:rPr>
          <w:rFonts w:ascii="Times New Roman" w:hAnsi="Times New Roman"/>
          <w:color w:val="000000"/>
          <w:sz w:val="24"/>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hAnsi="Times New Roman"/>
          <w:b/>
          <w:i/>
          <w:color w:val="000000"/>
          <w:sz w:val="24"/>
          <w:u w:val="single"/>
        </w:rPr>
        <w:t>Pre-CIC Protection Period</w:t>
      </w:r>
      <w:r>
        <w:rPr>
          <w:color w:val="000000"/>
        </w:rPr>
        <w:t>”</w:t>
      </w:r>
      <w:r>
        <w:rPr>
          <w:rFonts w:ascii="Times New Roman" w:hAnsi="Times New Roman"/>
          <w:color w:val="000000"/>
          <w:sz w:val="24"/>
        </w:rPr>
        <w:t>). If the Company has not, prior to the end of the Pre-CIC Protection Period, entered into a definitive agreement that, if closed, would result in a Change in Control (a “</w:t>
      </w:r>
      <w:r>
        <w:rPr>
          <w:rFonts w:ascii="Times New Roman" w:hAnsi="Times New Roman"/>
          <w:b/>
          <w:i/>
          <w:color w:val="000000"/>
          <w:sz w:val="24"/>
          <w:u w:val="single"/>
        </w:rPr>
        <w:t>P&amp;S Agreement</w:t>
      </w:r>
      <w:r>
        <w:rPr>
          <w:color w:val="000000"/>
        </w:rPr>
        <w:t>”</w:t>
      </w:r>
      <w:r>
        <w:rPr>
          <w:rFonts w:ascii="Times New Roman" w:hAnsi="Times New Roman"/>
          <w:color w:val="000000"/>
          <w:sz w:val="24"/>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Severance Payment Timing</w:t>
      </w:r>
      <w:r>
        <w:rPr>
          <w:rFonts w:ascii="Times New Roman" w:hAnsi="Times New Roman"/>
          <w:color w:val="000000"/>
          <w:sz w:val="24"/>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hAnsi="Times New Roman"/>
          <w:b/>
          <w:i/>
          <w:color w:val="000000"/>
          <w:sz w:val="24"/>
          <w:u w:val="single"/>
        </w:rPr>
        <w:t>Code</w:t>
      </w:r>
      <w:r>
        <w:rPr>
          <w:color w:val="000000"/>
        </w:rPr>
        <w:t>”</w:t>
      </w:r>
      <w:r>
        <w:rPr>
          <w:rFonts w:ascii="Times New Roman" w:hAnsi="Times New Roman"/>
          <w:color w:val="000000"/>
          <w:sz w:val="24"/>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Severance Pay and Benefits Upon Termination by the Company without Cause or by Executive for Good Reason within the Change in Control Period</w:t>
      </w:r>
      <w:r>
        <w:rPr>
          <w:rFonts w:ascii="Times New Roman" w:hAnsi="Times New Roman"/>
          <w:color w:val="000000"/>
          <w:sz w:val="24"/>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hAnsi="Times New Roman"/>
          <w:b/>
          <w:i/>
          <w:color w:val="000000"/>
          <w:sz w:val="24"/>
          <w:u w:val="single"/>
        </w:rPr>
        <w:t>Change in Control Period</w:t>
      </w:r>
      <w:r>
        <w:rPr>
          <w:color w:val="000000"/>
        </w:rPr>
        <w:t xml:space="preserve">” </w:t>
      </w:r>
      <w:r>
        <w:rPr>
          <w:rFonts w:ascii="Times New Roman" w:hAnsi="Times New Roman"/>
          <w:color w:val="000000"/>
          <w:sz w:val="24"/>
        </w:rPr>
        <w:t>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Cash Severance</w:t>
      </w:r>
      <w:r>
        <w:rPr>
          <w:rFonts w:ascii="Times New Roman" w:hAnsi="Times New Roman"/>
          <w:color w:val="000000"/>
          <w:sz w:val="24"/>
        </w:rPr>
        <w:t>. The Company shall pay Executive a lump sum in cash in an amount equal to the sum of (A) 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hAnsi="Times New Roman"/>
          <w:b/>
          <w:i/>
          <w:color w:val="000000"/>
          <w:sz w:val="24"/>
          <w:u w:val="single"/>
        </w:rPr>
        <w:t>Change in Control Payment</w:t>
      </w:r>
      <w:r>
        <w:rPr>
          <w:color w:val="000000"/>
        </w:rPr>
        <w: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COBRA Premiums</w:t>
      </w:r>
      <w:r>
        <w:rPr>
          <w:rFonts w:ascii="Times New Roman" w:hAnsi="Times New Roman"/>
          <w:color w:val="000000"/>
          <w:sz w:val="24"/>
        </w:rPr>
        <w:t xml:space="preserve">.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Executive for the time period specified above. Such payments to Executive shall be subject to tax-related deductions and withholdings and paid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Accelerated Vesting of Equity Awards</w:t>
      </w:r>
      <w:r>
        <w:rPr>
          <w:rFonts w:ascii="Times New Roman" w:hAnsi="Times New Roman"/>
          <w:color w:val="000000"/>
          <w:sz w:val="24"/>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hAnsi="Times New Roman"/>
          <w:b/>
          <w:i/>
          <w:color w:val="000000"/>
          <w:sz w:val="24"/>
          <w:u w:val="single"/>
        </w:rPr>
        <w:t>Accelerated Vesting Date</w:t>
      </w:r>
      <w:r>
        <w:rPr>
          <w:color w:val="000000"/>
        </w:rPr>
        <w:t>”</w:t>
      </w:r>
      <w:r>
        <w:rPr>
          <w:rFonts w:ascii="Times New Roman" w:hAnsi="Times New Roman"/>
          <w:color w:val="000000"/>
          <w:sz w:val="24"/>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Change in Control Payment Timing</w:t>
      </w:r>
      <w:r>
        <w:rPr>
          <w:rFonts w:ascii="Times New Roman" w:hAnsi="Times New Roman"/>
          <w:color w:val="000000"/>
          <w:sz w:val="24"/>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280G Limitation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hAnsi="Times New Roman"/>
          <w:b/>
          <w:i/>
          <w:color w:val="000000"/>
          <w:sz w:val="24"/>
          <w:u w:val="single"/>
        </w:rPr>
        <w:t>Aggregate Payments</w:t>
      </w:r>
      <w:r>
        <w:rPr>
          <w:color w:val="000000"/>
        </w:rPr>
        <w:t>”</w:t>
      </w:r>
      <w:r>
        <w:rPr>
          <w:rFonts w:ascii="Times New Roman" w:hAnsi="Times New Roman"/>
          <w:color w:val="000000"/>
          <w:sz w:val="24"/>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For purposes of this Section 7, the “</w:t>
      </w:r>
      <w:r>
        <w:rPr>
          <w:rFonts w:ascii="Times New Roman" w:hAnsi="Times New Roman"/>
          <w:b/>
          <w:i/>
          <w:color w:val="000000"/>
          <w:sz w:val="24"/>
          <w:u w:val="single"/>
        </w:rPr>
        <w:t>After Tax Amount</w:t>
      </w:r>
      <w:r>
        <w:rPr>
          <w:color w:val="000000"/>
        </w:rPr>
        <w:t xml:space="preserve">” </w:t>
      </w:r>
      <w:r>
        <w:rPr>
          <w:rFonts w:ascii="Times New Roman" w:hAnsi="Times New Roman"/>
          <w:color w:val="000000"/>
          <w:sz w:val="24"/>
        </w:rPr>
        <w:t xml:space="preserve">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hAnsi="Times New Roman"/>
          <w:b/>
          <w:i/>
          <w:color w:val="000000"/>
          <w:sz w:val="24"/>
        </w:rPr>
        <w:t>Independent Advisors</w:t>
      </w:r>
      <w:r>
        <w:rPr>
          <w:color w:val="000000"/>
        </w:rPr>
        <w:t>”</w:t>
      </w:r>
      <w:r>
        <w:rPr>
          <w:rFonts w:ascii="Times New Roman" w:hAnsi="Times New Roman"/>
          <w:color w:val="000000"/>
          <w:sz w:val="24"/>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noBreakHyphen/>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Continuing Obligations</w:t>
      </w:r>
      <w:r>
        <w:rPr>
          <w:rFonts w:ascii="Times New Roman" w:hAnsi="Times New Roman"/>
          <w:color w:val="000000"/>
          <w:sz w:val="24"/>
        </w:rPr>
        <w:t>.</w:t>
      </w:r>
      <w:r>
        <w:rPr>
          <w:color w:val="000000"/>
          <w:u w:val="single"/>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PIIA Agreement</w:t>
      </w:r>
      <w:r>
        <w:rPr>
          <w:rFonts w:ascii="Times New Roman" w:hAnsi="Times New Roman"/>
          <w:color w:val="000000"/>
          <w:sz w:val="24"/>
        </w:rPr>
        <w:t>. As a condition of entering into this Agreement, Executive agrees to execute and deliver, on or before the Effective Date, the PIIA Agreement, which is attached hereto as Appendix C.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hAnsi="Times New Roman"/>
          <w:b/>
          <w:i/>
          <w:color w:val="000000"/>
          <w:sz w:val="24"/>
          <w:u w:val="single"/>
        </w:rPr>
        <w:t>Continuing Obligations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Third-Party Agreements and Rights</w:t>
      </w:r>
      <w:r>
        <w:rPr>
          <w:rFonts w:ascii="Times New Roman" w:hAnsi="Times New Roman"/>
          <w:color w:val="000000"/>
          <w:sz w:val="24"/>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Litigation and Regulatory Cooperation</w:t>
      </w:r>
      <w:r>
        <w:rPr>
          <w:rFonts w:ascii="Times New Roman" w:hAnsi="Times New Roman"/>
          <w:color w:val="000000"/>
          <w:sz w:val="24"/>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noBreakHyphen/>
        <w:t>of</w:t>
        <w:noBreakHyphen/>
        <w:t>pocket expenses incurred in connection with Executive’s performance of obligations pursuant to this Section 9(c), which shall be in addition to its obligations to provide indemnification to Executive.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Non-Disparagement</w:t>
      </w:r>
      <w:r>
        <w:rPr>
          <w:rFonts w:ascii="Times New Roman" w:hAnsi="Times New Roman"/>
          <w:color w:val="000000"/>
          <w:sz w:val="24"/>
        </w:rPr>
        <w:t xml:space="preserve">. Executive agrees not to disparage the Company, and/or the Company’s attorneys, directors, managers, partners, employees, agents and affiliates, in any manner likely to be harmful to them or their business, business reputation or personal 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Relief</w:t>
      </w:r>
      <w:r>
        <w:rPr>
          <w:rFonts w:ascii="Times New Roman" w:hAnsi="Times New Roman"/>
          <w:color w:val="000000"/>
          <w:sz w:val="24"/>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hAnsi="Times New Roman"/>
          <w:b/>
          <w:color w:val="000000"/>
          <w:sz w:val="24"/>
        </w:rPr>
        <w:t>,</w:t>
      </w:r>
      <w:r>
        <w:rPr>
          <w:color w:val="000000"/>
        </w:rPr>
        <w:t xml:space="preserve"> </w:t>
      </w:r>
      <w:r>
        <w:rPr>
          <w:rFonts w:ascii="Times New Roman" w:hAnsi="Times New Roman"/>
          <w:color w:val="000000"/>
          <w:sz w:val="24"/>
        </w:rPr>
        <w:t>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Consent to Jurisdiction</w:t>
      </w:r>
      <w:r>
        <w:rPr>
          <w:rFonts w:ascii="Times New Roman" w:hAnsi="Times New Roman"/>
          <w:color w:val="000000"/>
          <w:sz w:val="24"/>
        </w:rPr>
        <w:t>. The parties hereby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the subject matter hereof and supersedes all prior agreements between the parties concerning such subject matter</w:t>
      </w:r>
      <w:r>
        <w:rPr>
          <w:rFonts w:ascii="Times New Roman" w:hAnsi="Times New Roman"/>
          <w:b/>
          <w:color w:val="000000"/>
          <w:sz w:val="24"/>
        </w:rPr>
        <w:t xml:space="preserve">, </w:t>
      </w:r>
      <w:r>
        <w:rPr>
          <w:rFonts w:ascii="Times New Roman" w:hAnsi="Times New Roman"/>
          <w:color w:val="000000"/>
          <w:sz w:val="24"/>
        </w:rPr>
        <w:t>provided that the PIIA Agreement and the agreements governing any Equity Awards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Withholding; Tax Effect</w:t>
      </w:r>
      <w:r>
        <w:rPr>
          <w:rFonts w:ascii="Times New Roman" w:hAnsi="Times New Roman"/>
          <w:color w:val="000000"/>
          <w:sz w:val="24"/>
        </w:rPr>
        <w:t xml:space="preserve">.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xml:space="preserve">.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Enforceability</w:t>
      </w:r>
      <w:r>
        <w:rPr>
          <w:rFonts w:ascii="Times New Roman" w:hAnsi="Times New Roman"/>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Survival</w:t>
      </w:r>
      <w:r>
        <w:rPr>
          <w:rFonts w:ascii="Times New Roman" w:hAnsi="Times New Roman"/>
          <w:color w:val="000000"/>
          <w:sz w:val="24"/>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Waiver</w:t>
      </w:r>
      <w:r>
        <w:rPr>
          <w:rFonts w:ascii="Times New Roman" w:hAnsi="Times New Roman"/>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xml:space="preserve">.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with the Company or, in the case of the Company, at its main offices, attention of the Chief Legal Officer or (iii) sent via email to Executive at Executive’s Company email address or, in the case of the Company, to the CEO’s or Chief Legal Officer’s Company email address.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signed by Executive and by a duly authorized representative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No Mitigation; Offset</w:t>
      </w:r>
      <w:r>
        <w:rPr>
          <w:rFonts w:ascii="Times New Roman" w:hAnsi="Times New Roman"/>
          <w:color w:val="000000"/>
          <w:sz w:val="24"/>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Effect on Other Plans and Agreements</w:t>
      </w:r>
      <w:r>
        <w:rPr>
          <w:rFonts w:ascii="Times New Roman" w:hAnsi="Times New Roman"/>
          <w:color w:val="000000"/>
          <w:sz w:val="24"/>
        </w:rPr>
        <w:t xml:space="preserve">.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PIIA Agreement, in the event that Executive is party to an agreement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Governing Law; Venue and Enforcement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will be governed by and construed in accordance with applicable federal laws and, to the extent not inconsistent therewith or preempted thereby, with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award shall be payable to Executive no later than the end of Executive’s first taxable year in which the Company either concedes the amount (or portion of the amount) payable or is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employment for Cause was proper; or (iii) if the Company determines in good faith that as of the date of Executive’s termination of employment and service, grounds for an involuntary termination for Cause had existed.</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Recoupment</w:t>
      </w:r>
      <w:r>
        <w:rPr>
          <w:rFonts w:ascii="Times New Roman" w:hAnsi="Times New Roman"/>
          <w:color w:val="000000"/>
          <w:sz w:val="24"/>
        </w:rPr>
        <w:t>. Executive shall be required to repay incentive pay received throughout Executive’s employment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hAnsi="Times New Roman"/>
          <w:b/>
          <w:i/>
          <w:color w:val="000000"/>
          <w:sz w:val="24"/>
        </w:rPr>
        <w:t>Recoupment Policy</w:t>
      </w:r>
      <w:r>
        <w:rPr>
          <w:color w:val="000000"/>
        </w:rPr>
        <w:t>”</w:t>
      </w:r>
      <w:r>
        <w:rPr>
          <w:rFonts w:ascii="Times New Roman" w:hAnsi="Times New Roman"/>
          <w:color w:val="000000"/>
          <w:sz w:val="24"/>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executed this Agreement effective on the Effective Date.</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INVIVYD,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Marc Elia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Its: </w:t>
      </w:r>
      <w:r>
        <w:rPr>
          <w:rFonts w:ascii="Times New Roman" w:hAnsi="Times New Roman"/>
          <w:color w:val="000000"/>
          <w:sz w:val="24"/>
          <w:u w:val="single"/>
        </w:rPr>
        <w:t xml:space="preserve">Chairperson of the Board of Directors </w:t>
      </w:r>
    </w:p>
    <w:p>
      <w:pPr>
        <w:pStyle w:val="TextBody"/>
        <w:bidi w:val="0"/>
        <w:spacing w:before="0" w:after="72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TIMOTHY LEE</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Timothy Lee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Outside Activities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Appendix B</w:t>
        <w:br/>
        <w:br/>
        <w:t>FORM SEPARATION AGREEMENT</w:t>
      </w:r>
      <w:r>
        <w:rPr>
          <w:rFonts w:ascii="Times New Roman" w:hAnsi="Times New Roman"/>
          <w:b/>
          <w:color w:val="000000"/>
          <w:sz w:val="16"/>
        </w:rPr>
        <w:t>1</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[Address]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left"/>
        <w:rPr>
          <w:rFonts w:ascii="Times New Roman" w:hAnsi="Times New Roman"/>
          <w:sz w:val="20"/>
        </w:rPr>
      </w:pPr>
      <w:r>
        <w:rPr>
          <w:rFonts w:ascii="Times New Roman" w:hAnsi="Times New Roman"/>
          <w:color w:val="000000"/>
          <w:sz w:val="24"/>
        </w:rPr>
        <w:t>Dear</w:t>
      </w:r>
      <w:r>
        <w:rPr>
          <w:rFonts w:ascii="Times New Roman" w:hAnsi="Times New Roman"/>
          <w:color w:val="000000"/>
          <w:sz w:val="20"/>
        </w:rPr>
        <w:t xml:space="preserve"> </w:t>
      </w:r>
      <w:r>
        <w:rPr>
          <w:rFonts w:ascii="Times New Roman" w:hAnsi="Times New Roman"/>
          <w:color w:val="000000"/>
          <w:sz w:val="24"/>
        </w:rPr>
        <w:t>[Name]: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sets forth the substance of the separation agreement (the “Agreement”) which Invivyd, Inc. (the “Company”)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w:t>
      </w:r>
      <w:r>
        <w:rPr>
          <w:color w:val="000000"/>
        </w:rPr>
        <w:t xml:space="preserve"> </w:t>
      </w:r>
      <w:r>
        <w:rPr>
          <w:rFonts w:ascii="Times New Roman" w:hAnsi="Times New Roman"/>
          <w:color w:val="000000"/>
          <w:sz w:val="24"/>
        </w:rPr>
        <w:t>Your last day of work with the Company and your employment termination date will be [Date]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 xml:space="preserve">Accrued Salary. </w:t>
      </w:r>
      <w:r>
        <w:rPr>
          <w:rFonts w:ascii="Times New Roman" w:hAnsi="Times New Roman"/>
          <w:color w:val="000000"/>
          <w:sz w:val="24"/>
        </w:rPr>
        <w:t>On the Separation Date, the Company will pay you all accrued salary earned through the Separation Date, subject to standard payroll deductions and withholdings. You will receive these payments regardless of whether or not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Benefits.</w:t>
      </w:r>
      <w:r>
        <w:rPr>
          <w:color w:val="000000"/>
        </w:rPr>
        <w:t xml:space="preserve"> </w:t>
      </w:r>
      <w:r>
        <w:rPr>
          <w:rFonts w:ascii="Times New Roman" w:hAnsi="Times New Roman"/>
          <w:color w:val="000000"/>
          <w:sz w:val="24"/>
        </w:rPr>
        <w:t>If you execute and do not revoke this Agreement, and comply with its terms, the Company will provide you with the following Severance Benefits pursuant to the terms of your [month, date, year] Employment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Benefit Plans.</w:t>
      </w:r>
      <w:r>
        <w:rPr>
          <w:color w:val="00000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you are currently participating in the Company’s group health insurance plans, your participation as an employee will end on [the Separation Date] </w:t>
      </w:r>
      <w:r>
        <w:rPr>
          <w:rFonts w:ascii="Times New Roman" w:hAnsi="Times New Roman"/>
          <w:i/>
          <w:color w:val="000000"/>
          <w:sz w:val="24"/>
        </w:rPr>
        <w:t>or</w:t>
      </w:r>
      <w:r>
        <w:rPr>
          <w:rFonts w:ascii="Times New Roman" w:hAnsi="Times New Roman"/>
          <w:color w:val="000000"/>
          <w:sz w:val="20"/>
        </w:rPr>
        <w:t xml:space="preserve"> </w:t>
      </w:r>
      <w:r>
        <w:rPr>
          <w:rFonts w:ascii="Times New Roman" w:hAnsi="Times New Roman"/>
          <w:color w:val="000000"/>
          <w:sz w:val="24"/>
        </w:rPr>
        <w:t>[the last day of the month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To be revised by the Company to include provisions that are necessary based on the jurisdiction in which the employee works or resides or necessary updates to applicable law.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which separation occurs]. Thereafter,</w:t>
      </w:r>
      <w:r>
        <w:rPr>
          <w:rFonts w:ascii="Times New Roman" w:hAnsi="Times New Roman"/>
          <w:color w:val="000000"/>
          <w:sz w:val="20"/>
        </w:rPr>
        <w:t xml:space="preserve"> </w:t>
      </w:r>
      <w:r>
        <w:rPr>
          <w:rFonts w:ascii="Times New Roman" w:hAnsi="Times New Roman"/>
          <w:color w:val="000000"/>
          <w:sz w:val="24"/>
        </w:rPr>
        <w:t>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Deductions for the 401(k) Plan will end with your last regular paycheck. You will receive information by mail concerning 401(k) plan rollover procedures should you be a participant in this program.</w:t>
      </w:r>
    </w:p>
    <w:p>
      <w:pPr>
        <w:pStyle w:val="TextBody"/>
        <w:bidi w:val="0"/>
        <w:spacing w:before="0" w:after="240"/>
        <w:jc w:val="both"/>
        <w:rPr>
          <w:rFonts w:ascii="Times New Roman" w:hAnsi="Times New Roman"/>
          <w:sz w:val="20"/>
        </w:rPr>
      </w:pPr>
      <w:r>
        <w:rPr>
          <w:rFonts w:ascii="Times New Roman" w:hAnsi="Times New Roman"/>
          <w:color w:val="000000"/>
          <w:sz w:val="24"/>
        </w:rPr>
        <w:t>You may be eligible for unemployment insurance benefits after the Separation Date.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Stock Options.</w:t>
      </w:r>
      <w:r>
        <w:rPr>
          <w:color w:val="000000"/>
        </w:rPr>
        <w:t xml:space="preserve"> </w:t>
      </w:r>
      <w:r>
        <w:rPr>
          <w:rFonts w:ascii="Times New Roman" w:hAnsi="Times New Roman"/>
          <w:color w:val="000000"/>
          <w:sz w:val="24"/>
        </w:rPr>
        <w:t>You were granted options to purchase shares of the Company’s common stock, pursuant to the Company’s</w:t>
      </w:r>
      <w:r>
        <w:rPr>
          <w:color w:val="000000"/>
        </w:rPr>
        <w:t xml:space="preserve"> </w:t>
      </w:r>
      <w:r>
        <w:rPr>
          <w:rFonts w:ascii="Times New Roman" w:hAnsi="Times New Roman"/>
          <w:color w:val="000000"/>
          <w:sz w:val="24"/>
        </w:rPr>
        <w:t xml:space="preserve">2021 Equity Incentive Plan (the “Plan”). Under the terms of the Plan and your stock option grant, vesting will cease as of the Separation Date, all of your then vested options will remain outstanding for ninety (90) days after the date of such termination and all of your then unvested options will terminate and be forfeited as of the date of such 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 xml:space="preserve">You acknowledge that, except as expressly provided in this Agreement, as of the 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You agree that, within ten (10) days of the Separation Date, you will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Return of Company Property.</w:t>
      </w:r>
      <w:r>
        <w:rPr>
          <w:color w:val="000000"/>
        </w:rPr>
        <w:t xml:space="preserve"> </w:t>
      </w:r>
      <w:r>
        <w:rPr>
          <w:rFonts w:ascii="Times New Roman" w:hAnsi="Times New Roman"/>
          <w:color w:val="000000"/>
          <w:sz w:val="24"/>
        </w:rPr>
        <w:t>By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[name/title].</w:t>
      </w:r>
      <w:r>
        <w:rPr>
          <w:color w:val="000000"/>
        </w:rPr>
        <w:t xml:space="preserve"> </w:t>
      </w:r>
      <w:r>
        <w:rPr>
          <w:rFonts w:ascii="Times New Roman" w:hAnsi="Times New Roman"/>
          <w:b/>
          <w:color w:val="000000"/>
          <w:sz w:val="24"/>
        </w:rPr>
        <w:t>Receipt of the severance benefits described in Section 3 of this Agreement is expressly conditioned upon return of all Company Property.</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Confidential Information; Reaffirmation of Post-Termination Obligations.</w:t>
      </w:r>
      <w:r>
        <w:rPr>
          <w:color w:val="000000"/>
        </w:rPr>
        <w:t xml:space="preserve"> </w:t>
      </w:r>
      <w:r>
        <w:rPr>
          <w:rFonts w:ascii="Times New Roman" w:hAnsi="Times New Roman"/>
          <w:color w:val="000000"/>
          <w:sz w:val="24"/>
        </w:rPr>
        <w:t>Both during and after your employment you acknowledge your continuing obligations under your Employee Proprietary Information and Inventions Assignment Agreement that you entered into as part of your employment (“Restrictive Covenants Agreement”) not to use or disclose any confidential or proprietary information of the Company and to refrain from certain solicitation and competition activities. By signing this Agreement, except as modified herein, you hereby reaffirm your continuing obligations under the Restrictive Covenants Agreement to the Company, which may include, but are not limited to, non-competition and non-solicitation provisions. If you have any doubts as to the scope of the restrictions in your Restrictive Covenants Agreement, you should contact Jill Andersen, Chief Legal Officer immediately to assess your compliance. As you know, the Company will enforce its contract rights. Please familiarize yourself with the agreement which you signed.</w:t>
      </w:r>
      <w:r>
        <w:rPr>
          <w:color w:val="000000"/>
        </w:rPr>
        <w:t xml:space="preserve"> </w:t>
      </w:r>
      <w:r>
        <w:rPr>
          <w:rFonts w:ascii="Times New Roman" w:hAnsi="Times New Roman"/>
          <w:color w:val="000000"/>
          <w:sz w:val="24"/>
        </w:rPr>
        <w:t>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 xml:space="preserve">Non-Compete. </w:t>
      </w:r>
      <w:r>
        <w:rPr>
          <w:rFonts w:ascii="Times New Roman" w:hAnsi="Times New Roman"/>
          <w:color w:val="000000"/>
          <w:sz w:val="24"/>
        </w:rPr>
        <w:t xml:space="preserve">In exchange for the payments and other consideration under this Agreement, to which you would not 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that for purposes of this Agreement, “Conflicting Services” means any business in which the Company is engaged, or in which the Company has plans to be engaged, or any service that the Company provides or has plans to provide.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Confidentiality.</w:t>
      </w:r>
      <w:r>
        <w:rPr>
          <w:color w:val="000000"/>
        </w:rPr>
        <w:t xml:space="preserve"> </w:t>
      </w:r>
      <w:r>
        <w:rPr>
          <w:rFonts w:ascii="Times New Roman" w:hAnsi="Times New Roman"/>
          <w:color w:val="000000"/>
          <w:sz w:val="24"/>
        </w:rPr>
        <w:t xml:space="preserve">The provisions of this Agreement will be held in strictest confidence by you and will not be publicized or disclosed in any manner whatsoever;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Non-Disparagement.</w:t>
      </w:r>
      <w:r>
        <w:rPr>
          <w:color w:val="000000"/>
        </w:rPr>
        <w:t xml:space="preserve"> </w:t>
      </w:r>
      <w:r>
        <w:rPr>
          <w:rFonts w:ascii="Times New Roman" w:hAnsi="Times New Roman"/>
          <w:color w:val="000000"/>
          <w:sz w:val="24"/>
        </w:rPr>
        <w:t xml:space="preserve">You agree not to disparage the Company, and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Cooperation after Termination. </w:t>
      </w:r>
      <w:r>
        <w:rPr>
          <w:rFonts w:ascii="Times New Roman" w:hAnsi="Times New Roman"/>
          <w:color w:val="000000"/>
          <w:sz w:val="24"/>
        </w:rPr>
        <w:t>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Release. </w:t>
      </w:r>
      <w:r>
        <w:rPr>
          <w:rFonts w:ascii="Times New Roman" w:hAnsi="Times New Roman"/>
          <w:color w:val="000000"/>
          <w:sz w:val="24"/>
        </w:rPr>
        <w:t xml:space="preserve">In exchange for the payments 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its personnel policies, handbooks, contracts of employment, or covenants of good faith and fair dealing;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pStyle w:val="TextBody"/>
        <w:bidi w:val="0"/>
        <w:spacing w:before="0" w:after="240"/>
        <w:jc w:val="both"/>
        <w:rPr>
          <w:rFonts w:ascii="Times New Roman" w:hAnsi="Times New Roman"/>
          <w:sz w:val="20"/>
        </w:rPr>
      </w:pPr>
      <w:r>
        <w:rPr>
          <w:rFonts w:ascii="Times New Roman" w:hAnsi="Times New Roman"/>
          <w:color w:val="000000"/>
          <w:sz w:val="24"/>
        </w:rPr>
        <w:t> 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Connecticut Family and Medical Leave Act, the Connecticut Free Speech Law, the Connecticut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minimum wage and wage payment laws, all as amended, and any and all other federal, state or local laws, rules, regulations, constitutions, ordinances or public policies, whether known or unknown relating to employment laws, such as veterans’ reemployment rights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however, it does waive, release and forever discharge Claims existing as of the date you execute this Agreement pursuant to any such plan or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Your Acknowledgments and Affirmations/ Effective Date of Agreement. </w:t>
      </w:r>
      <w:r>
        <w:rPr>
          <w:rFonts w:ascii="Times New Roman" w:hAnsi="Times New Roman"/>
          <w:color w:val="000000"/>
          <w:sz w:val="24"/>
        </w:rPr>
        <w:t>You acknowledge that you are knowingly and 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w:t>
      </w:r>
      <w:r>
        <w:rPr>
          <w:rFonts w:ascii="Times New Roman" w:hAnsi="Times New Roman"/>
          <w:color w:val="000000"/>
          <w:sz w:val="16"/>
        </w:rPr>
        <w:t>2</w:t>
      </w:r>
      <w:r>
        <w:rPr>
          <w:rFonts w:ascii="Times New Roman" w:hAnsi="Times New Roman"/>
          <w:color w:val="000000"/>
          <w:sz w:val="24"/>
        </w:rPr>
        <w:t>] days to consider this Agreement (although you may choose to voluntarily execute this Agreement earlier and if you do you will sign the Consideration Period waiver below); (d) you have seven (7) business</w:t>
      </w:r>
      <w:r>
        <w:rPr>
          <w:color w:val="000000"/>
        </w:rPr>
        <w:t xml:space="preserve"> </w:t>
      </w:r>
      <w:r>
        <w:rPr>
          <w:rFonts w:ascii="Times New Roman" w:hAnsi="Times New Roman"/>
          <w:color w:val="000000"/>
          <w:sz w:val="24"/>
        </w:rPr>
        <w:t>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w:t>
      </w:r>
      <w:r>
        <w:rPr>
          <w:color w:val="000000"/>
        </w:rPr>
        <w:t xml:space="preserve"> </w:t>
      </w:r>
      <w:r>
        <w:rPr>
          <w:rFonts w:ascii="Times New Roman" w:hAnsi="Times New Roman"/>
          <w:color w:val="000000"/>
          <w:sz w:val="24"/>
        </w:rPr>
        <w:t>day after this Agreement is executed by you[ and (f) you acknowledge that with your receipt of this Agreement, you also received an “Age Discrimination in Employment Act Disclosure,” attached as Exhibit A]</w:t>
      </w:r>
      <w:r>
        <w:rPr>
          <w:rFonts w:ascii="Times New Roman" w:hAnsi="Times New Roman"/>
          <w:color w:val="000000"/>
          <w:sz w:val="16"/>
        </w:rPr>
        <w:t>3</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Admission. </w:t>
      </w:r>
      <w:r>
        <w:rPr>
          <w:rFonts w:ascii="Times New Roman" w:hAnsi="Times New Roman"/>
          <w:color w:val="000000"/>
          <w:sz w:val="24"/>
        </w:rPr>
        <w:t xml:space="preserve">This Agreement does not constitute an admission by the Company of any wrongful action or violation of any federal, state, or local statute, or common law rights, including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Applicable only in event of group layoff.</w:t>
      </w:r>
    </w:p>
    <w:p>
      <w:pPr>
        <w:pStyle w:val="TextBody"/>
        <w:bidi w:val="0"/>
        <w:spacing w:before="0" w:after="12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Applicable only in event of group layoff.</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Breach.</w:t>
      </w:r>
      <w:r>
        <w:rPr>
          <w:color w:val="000000"/>
        </w:rPr>
        <w:t xml:space="preserve"> </w:t>
      </w:r>
      <w:r>
        <w:rPr>
          <w:rFonts w:ascii="Times New Roman" w:hAnsi="Times New Roman"/>
          <w:color w:val="000000"/>
          <w:sz w:val="24"/>
        </w:rPr>
        <w:t>You agree that upon any breach of this Agreement you will forfeit all amounts paid or owing to you under this 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Except as set forth herein, this Agreement, including any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 ] as applied to contracts made and to be performed entirely within [ ]. To the fullest extent allowable by law, any dispute concerning this Agreement shall be resolved in the United States District Court with jurisdiction over Waltham, Massachusetts, and you and the Company hereby consent to the personal and exclusive jurisdiction of such court and hereby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wish you good luck in your future endeavors.</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Invivyd,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spacing w:before="0" w:after="24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Julie Green</w:t>
        <w:br/>
        <w:t>Chief Human Resources Officer</w:t>
      </w:r>
      <w:r>
        <w:rPr>
          <w:rFonts w:ascii="Times New Roman" w:hAnsi="Times New Roman"/>
          <w:color w:val="000000"/>
          <w:sz w:val="20"/>
        </w:rPr>
        <w:t xml:space="preserve"> </w:t>
      </w:r>
    </w:p>
    <w:p>
      <w:pPr>
        <w:pStyle w:val="TextBody"/>
        <w:bidi w:val="0"/>
        <w:spacing w:before="0" w:after="480"/>
        <w:jc w:val="left"/>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Timothy Lee</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CONSIDERATION PERIOD</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I, ____________________, understand that I have the right to take at least [21][45] days to consider whether to sign this Agreement, which I received on ___________ __, 20__. If I elect to sign this Agreement before [21][45] days have passed, I understand I am to sign and date below this paragraph to confirm that I knowingly and voluntarily agree to waive the 21-day consideration period.</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Agreed: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Date</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Appendix C</w:t>
      </w:r>
    </w:p>
    <w:p>
      <w:pPr>
        <w:pStyle w:val="TextBody"/>
        <w:bidi w:val="0"/>
        <w:jc w:val="center"/>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PIIA AGREEMENT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5" w:name="ivvd-ex10_2.htm"/>
      <w:bookmarkStart w:id="26" w:name="ksivvdex10_2"/>
      <w:bookmarkEnd w:id="25"/>
      <w:bookmarkEnd w:id="26"/>
      <w:r>
        <w:rPr>
          <w:rFonts w:ascii="Times New Roman" w:hAnsi="Times New Roman"/>
          <w:color w:val="000000"/>
          <w:sz w:val="24"/>
        </w:rPr>
        <w:t>Exhibit 10.2</w:t>
      </w:r>
      <w:r>
        <w:br w:type="page"/>
      </w:r>
    </w:p>
    <w:p>
      <w:pPr>
        <w:pStyle w:val="TextBody"/>
        <w:bidi w:val="0"/>
        <w:jc w:val="left"/>
        <w:rPr/>
      </w:pPr>
      <w:r>
        <w:rPr/>
        <w:t> </w:t>
      </w:r>
    </w:p>
    <w:p>
      <w:pPr>
        <w:pStyle w:val="TextBody"/>
        <w:bidi w:val="0"/>
        <w:spacing w:before="0" w:after="360"/>
        <w:jc w:val="center"/>
        <w:rPr>
          <w:rFonts w:ascii="Times New Roman" w:hAnsi="Times New Roman"/>
          <w:b/>
          <w:caps/>
          <w:color w:val="000000"/>
          <w:sz w:val="28"/>
        </w:rPr>
      </w:pPr>
      <w:r>
        <w:rPr>
          <w:rFonts w:ascii="Times New Roman" w:hAnsi="Times New Roman"/>
          <w:b/>
          <w:caps/>
          <w:color w:val="000000"/>
          <w:sz w:val="28"/>
        </w:rPr>
        <w:t>Employment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Employment Agreement (“</w:t>
      </w:r>
      <w:r>
        <w:rPr>
          <w:rFonts w:ascii="Times New Roman" w:hAnsi="Times New Roman"/>
          <w:b/>
          <w:i/>
          <w:color w:val="000000"/>
          <w:sz w:val="24"/>
          <w:u w:val="single"/>
        </w:rPr>
        <w:t>Agreement</w:t>
      </w:r>
      <w:r>
        <w:rPr>
          <w:rFonts w:ascii="Times New Roman" w:hAnsi="Times New Roman"/>
          <w:color w:val="000000"/>
          <w:sz w:val="20"/>
        </w:rPr>
        <w:t>”</w:t>
      </w:r>
      <w:r>
        <w:rPr>
          <w:rFonts w:ascii="Times New Roman" w:hAnsi="Times New Roman"/>
          <w:color w:val="000000"/>
          <w:sz w:val="24"/>
        </w:rPr>
        <w:t>) is made between Invivyd, Inc., a Delaware corporation (the “</w:t>
      </w:r>
      <w:r>
        <w:rPr>
          <w:rFonts w:ascii="Times New Roman" w:hAnsi="Times New Roman"/>
          <w:b/>
          <w:i/>
          <w:color w:val="000000"/>
          <w:sz w:val="24"/>
          <w:u w:val="single"/>
        </w:rPr>
        <w:t>Company</w:t>
      </w:r>
      <w:r>
        <w:rPr>
          <w:rFonts w:ascii="Times New Roman" w:hAnsi="Times New Roman"/>
          <w:color w:val="000000"/>
          <w:sz w:val="20"/>
        </w:rPr>
        <w:t>”</w:t>
      </w:r>
      <w:r>
        <w:rPr>
          <w:rFonts w:ascii="Times New Roman" w:hAnsi="Times New Roman"/>
          <w:color w:val="000000"/>
          <w:sz w:val="24"/>
        </w:rPr>
        <w:t>), and Michael Mina (“</w:t>
      </w:r>
      <w:r>
        <w:rPr>
          <w:rFonts w:ascii="Times New Roman" w:hAnsi="Times New Roman"/>
          <w:b/>
          <w:i/>
          <w:color w:val="000000"/>
          <w:sz w:val="24"/>
          <w:u w:val="single"/>
        </w:rPr>
        <w:t>Executive</w:t>
      </w:r>
      <w:r>
        <w:rPr>
          <w:rFonts w:ascii="Times New Roman" w:hAnsi="Times New Roman"/>
          <w:color w:val="000000"/>
          <w:sz w:val="20"/>
        </w:rPr>
        <w:t>”</w:t>
      </w:r>
      <w:r>
        <w:rPr>
          <w:rFonts w:ascii="Times New Roman" w:hAnsi="Times New Roman"/>
          <w:color w:val="000000"/>
          <w:sz w:val="24"/>
        </w:rPr>
        <w:t>), this 31st day of July, 2026.</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the Executive have entered into that certain Offer Letter, dated February 24, 2026 (the “</w:t>
      </w:r>
      <w:r>
        <w:rPr>
          <w:rFonts w:ascii="Times New Roman" w:hAnsi="Times New Roman"/>
          <w:b/>
          <w:i/>
          <w:color w:val="000000"/>
          <w:sz w:val="24"/>
          <w:u w:val="single"/>
        </w:rPr>
        <w:t>Offer Letter</w:t>
      </w:r>
      <w:r>
        <w:rPr>
          <w:rFonts w:ascii="Times New Roman" w:hAnsi="Times New Roman"/>
          <w:color w:val="000000"/>
          <w:sz w:val="20"/>
        </w:rPr>
        <w:t>”</w:t>
      </w:r>
      <w:r>
        <w:rPr>
          <w:rFonts w:ascii="Times New Roman" w:hAnsi="Times New Roman"/>
          <w:color w:val="000000"/>
          <w:sz w:val="24"/>
        </w:rPr>
        <w:t>), pursuant to which Executive has provided services to the Company as the Chief Medical Officer from on or about March 5, 2026, through the effective date of this Agreement (the “</w:t>
      </w:r>
      <w:r>
        <w:rPr>
          <w:rFonts w:ascii="Times New Roman" w:hAnsi="Times New Roman"/>
          <w:b/>
          <w:i/>
          <w:color w:val="000000"/>
          <w:sz w:val="24"/>
          <w:u w:val="single"/>
        </w:rPr>
        <w:t>Offer Letter Period</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Company desires to employ Executive in the role of Chief Medical Officer and Chief Epidemiologist of the Company, providing Executive with certain compensation and benefits in return for such full-time employment services, and Executive desires to accept such full-time employment and provide personal services to the Company in return for certain compensation and benefits set forth below;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Executive desire for this Agreement to be effective as of July 31, 2026 (the “</w:t>
      </w:r>
      <w:r>
        <w:rPr>
          <w:rFonts w:ascii="Times New Roman" w:hAnsi="Times New Roman"/>
          <w:b/>
          <w:i/>
          <w:color w:val="000000"/>
          <w:sz w:val="24"/>
          <w:u w:val="single"/>
        </w:rPr>
        <w:t>Effective Date</w:t>
      </w:r>
      <w:r>
        <w:rPr>
          <w:rFonts w:ascii="Times New Roman" w:hAnsi="Times New Roman"/>
          <w:color w:val="000000"/>
          <w:sz w:val="20"/>
        </w:rPr>
        <w:t>”</w:t>
      </w:r>
      <w:r>
        <w:rPr>
          <w:rFonts w:ascii="Times New Roman" w:hAnsi="Times New Roman"/>
          <w:color w:val="000000"/>
          <w:sz w:val="24"/>
        </w:rPr>
        <w:t>) and for this Agreement to supersede the Offer Letter, in its entirety, as of the Effective Date;</w:t>
      </w:r>
    </w:p>
    <w:p>
      <w:pPr>
        <w:pStyle w:val="TextBody"/>
        <w:bidi w:val="0"/>
        <w:spacing w:before="0" w:after="240"/>
        <w:jc w:val="left"/>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as a condition of employment, Executive entered into an Employee Proprietary Information and Inventions Assignment Agreement on March 4, 2026 (“</w:t>
      </w:r>
      <w:r>
        <w:rPr>
          <w:rFonts w:ascii="Times New Roman" w:hAnsi="Times New Roman"/>
          <w:b/>
          <w:i/>
          <w:color w:val="000000"/>
          <w:sz w:val="24"/>
        </w:rPr>
        <w:t>PIIA Agreement</w:t>
      </w:r>
      <w:r>
        <w:rPr>
          <w:rFonts w:ascii="Times New Roman" w:hAnsi="Times New Roman"/>
          <w:color w:val="000000"/>
          <w:sz w:val="20"/>
        </w:rPr>
        <w:t>”</w:t>
      </w:r>
      <w:r>
        <w:rPr>
          <w:rFonts w:ascii="Times New Roman" w:hAnsi="Times New Roman"/>
          <w:color w:val="000000"/>
          <w:sz w:val="24"/>
        </w:rPr>
        <w:t xml:space="preserve">), attached as </w:t>
      </w:r>
      <w:r>
        <w:rPr>
          <w:rFonts w:ascii="Times New Roman" w:hAnsi="Times New Roman"/>
          <w:color w:val="000000"/>
          <w:sz w:val="24"/>
          <w:u w:val="single"/>
        </w:rPr>
        <w:t>Appendix B</w:t>
      </w:r>
      <w:r>
        <w:rPr>
          <w:rFonts w:ascii="Times New Roman" w:hAnsi="Times New Roman"/>
          <w:color w:val="000000"/>
          <w:sz w:val="24"/>
        </w:rPr>
        <w:t>; and</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Executive hereby reaffirms the PIIA Agreement in its entirety.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consideration of the mutual covenants and agreements found below and other good and valuable considerations, the receipt and sufficiency of which are acknowledged,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The Company shall continue to employ Executive and Executive shall be employed by the Company pursuant to this Agreement commencing as of the Effective Date and continuing until such employment is terminated in accordance with the provisions found below (the “</w:t>
      </w:r>
      <w:r>
        <w:rPr>
          <w:rFonts w:ascii="Times New Roman" w:hAnsi="Times New Roman"/>
          <w:b/>
          <w:i/>
          <w:color w:val="000000"/>
          <w:sz w:val="24"/>
          <w:u w:val="single"/>
        </w:rPr>
        <w:t>Term</w:t>
      </w:r>
      <w:r>
        <w:rPr>
          <w:color w:val="000000"/>
        </w:rPr>
        <w:t>”</w:t>
      </w:r>
      <w:r>
        <w:rPr>
          <w:rFonts w:ascii="Times New Roman" w:hAnsi="Times New Roman"/>
          <w:color w:val="000000"/>
          <w:sz w:val="24"/>
        </w:rPr>
        <w:t>). Executive’s employment with the Company shall be “at will,” meaning that Executive’s employment may be terminated by the Company or Executive at any time and for any reason subject to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Position and Duties</w:t>
      </w:r>
      <w:r>
        <w:rPr>
          <w:rFonts w:ascii="Times New Roman" w:hAnsi="Times New Roman"/>
          <w:color w:val="000000"/>
          <w:sz w:val="24"/>
        </w:rPr>
        <w:t xml:space="preserve">. Executive shall serve as the Chief Medical Officer and Chief Epidemiologist and shall have such powers and duties as customarily associated with such position, and as may from time to time be prescribed by the Chief Executive Officer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Company (the “</w:t>
      </w:r>
      <w:r>
        <w:rPr>
          <w:rFonts w:ascii="Times New Roman" w:hAnsi="Times New Roman"/>
          <w:b/>
          <w:i/>
          <w:color w:val="000000"/>
          <w:sz w:val="24"/>
          <w:u w:val="single"/>
        </w:rPr>
        <w:t>CEO</w:t>
      </w:r>
      <w:r>
        <w:rPr>
          <w:color w:val="000000"/>
        </w:rPr>
        <w:t>”</w:t>
      </w:r>
      <w:r>
        <w:rPr>
          <w:rFonts w:ascii="Times New Roman" w:hAnsi="Times New Roman"/>
          <w:color w:val="000000"/>
          <w:sz w:val="24"/>
        </w:rPr>
        <w:t>). Executive shall report to the CEO and shall be subject to the direction and control of the CEO.</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Outside Activities</w:t>
      </w:r>
      <w:r>
        <w:rPr>
          <w:rFonts w:ascii="Times New Roman" w:hAnsi="Times New Roman"/>
          <w:color w:val="000000"/>
          <w:sz w:val="24"/>
        </w:rPr>
        <w:t xml:space="preserve">.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Board, or of an Officer delegated by the CEO or the Chairperson of the Board; provided, however, that Executive may, without such approval, serve in any capacity with any civic, educational, or charitable organization, participate in industry affairs, and manage Executive’s personal passive investments, and engage in the activities set forth in </w:t>
      </w:r>
      <w:r>
        <w:rPr>
          <w:rFonts w:ascii="Times New Roman" w:hAnsi="Times New Roman"/>
          <w:color w:val="000000"/>
          <w:sz w:val="24"/>
          <w:u w:val="single"/>
        </w:rPr>
        <w:t>Appendix A</w:t>
      </w:r>
      <w:r>
        <w:rPr>
          <w:color w:val="000000"/>
        </w:rPr>
        <w:t xml:space="preserve"> </w:t>
      </w:r>
      <w:r>
        <w:rPr>
          <w:rFonts w:ascii="Times New Roman" w:hAnsi="Times New Roman"/>
          <w:color w:val="000000"/>
          <w:sz w:val="24"/>
        </w:rPr>
        <w:t>to this Agreement, provided that in each case such services do not materially interfere with Executive’s obligations to the Company, create a conflict of interest, violate any of Executive’s Continuing Obligations (as defined in Section 9 below), violate any terms of the PIAA or cause any reputational damage to the Company as reasonably determined by the Board. Executive may retain any compensation or benefits received as a result of any such consented to service without any offset in respect of any compensation or benefits to be provided.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Compensation and Related Matters</w:t>
      </w:r>
      <w:r>
        <w:rPr>
          <w:rFonts w:ascii="Times New Roman" w:hAnsi="Times New Roman"/>
          <w:color w:val="000000"/>
          <w:sz w:val="24"/>
        </w:rPr>
        <w:t>. This Section 2 sets forth the compensation and benefits to be provided to Executive during the Term.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Base Salary</w:t>
      </w:r>
      <w:r>
        <w:rPr>
          <w:rFonts w:ascii="Times New Roman" w:hAnsi="Times New Roman"/>
          <w:color w:val="000000"/>
          <w:sz w:val="24"/>
        </w:rPr>
        <w:t>. The Company will pay Executive, as compensation for the performance of Executive’s duties and obligations, a base salary at the rate of $535,000 per year. Except for the 2026 calendar year (for which there shall be no salary review), Executive’s salary shall be subject to annual review not later than March 31</w:t>
      </w:r>
      <w:r>
        <w:rPr>
          <w:rFonts w:ascii="Times New Roman" w:hAnsi="Times New Roman"/>
          <w:color w:val="000000"/>
          <w:sz w:val="16"/>
        </w:rPr>
        <w:t>st</w:t>
      </w:r>
      <w:r>
        <w:rPr>
          <w:color w:val="000000"/>
        </w:rPr>
        <w:t xml:space="preserve"> </w:t>
      </w:r>
      <w:r>
        <w:rPr>
          <w:rFonts w:ascii="Times New Roman" w:hAnsi="Times New Roman"/>
          <w:color w:val="000000"/>
          <w:sz w:val="24"/>
        </w:rPr>
        <w:t>of each year for possible increase by the Board or the Compensation Committee of the Board (the “</w:t>
      </w:r>
      <w:r>
        <w:rPr>
          <w:rFonts w:ascii="Times New Roman" w:hAnsi="Times New Roman"/>
          <w:b/>
          <w:i/>
          <w:color w:val="000000"/>
          <w:sz w:val="24"/>
          <w:u w:val="single"/>
        </w:rPr>
        <w:t>Compensation Committee</w:t>
      </w:r>
      <w:r>
        <w:rPr>
          <w:color w:val="000000"/>
        </w:rPr>
        <w:t>”</w:t>
      </w:r>
      <w:r>
        <w:rPr>
          <w:rFonts w:ascii="Times New Roman" w:hAnsi="Times New Roman"/>
          <w:color w:val="000000"/>
          <w:sz w:val="24"/>
        </w:rPr>
        <w:t>), which may be adjusted from time to time. The base salary in effect at any given time is referred to as “</w:t>
      </w:r>
      <w:r>
        <w:rPr>
          <w:rFonts w:ascii="Times New Roman" w:hAnsi="Times New Roman"/>
          <w:b/>
          <w:i/>
          <w:color w:val="000000"/>
          <w:sz w:val="24"/>
          <w:u w:val="single"/>
        </w:rPr>
        <w:t>Base Salary</w:t>
      </w:r>
      <w:r>
        <w:rPr>
          <w:rFonts w:ascii="Times New Roman" w:hAnsi="Times New Roman"/>
          <w:color w:val="000000"/>
          <w:sz w:val="24"/>
        </w:rPr>
        <w:t>.” The Base Salary shall be payable in a manner that is consistent with the Company’s usual payroll practices for its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Incentive Compensation</w:t>
      </w:r>
      <w:r>
        <w:rPr>
          <w:rFonts w:ascii="Times New Roman" w:hAnsi="Times New Roman"/>
          <w:color w:val="000000"/>
          <w:sz w:val="24"/>
        </w:rPr>
        <w:t>. Executive shall be eligible to participate in an annual cash incentive compensation plan that the Company offers to its executive officers (the “</w:t>
      </w:r>
      <w:r>
        <w:rPr>
          <w:rFonts w:ascii="Times New Roman" w:hAnsi="Times New Roman"/>
          <w:b/>
          <w:i/>
          <w:color w:val="000000"/>
          <w:sz w:val="24"/>
          <w:u w:val="single"/>
        </w:rPr>
        <w:t>Annual Bonus Plan</w:t>
      </w:r>
      <w:r>
        <w:rPr>
          <w:color w:val="000000"/>
        </w:rPr>
        <w:t>”</w:t>
      </w:r>
      <w:r>
        <w:rPr>
          <w:rFonts w:ascii="Times New Roman" w:hAnsi="Times New Roman"/>
          <w:color w:val="000000"/>
          <w:sz w:val="24"/>
        </w:rPr>
        <w:t>). Executive will be eligible to earn an annual bonus for each full calendar year completed (the “</w:t>
      </w:r>
      <w:r>
        <w:rPr>
          <w:rFonts w:ascii="Times New Roman" w:hAnsi="Times New Roman"/>
          <w:b/>
          <w:i/>
          <w:color w:val="000000"/>
          <w:sz w:val="24"/>
          <w:u w:val="single"/>
        </w:rPr>
        <w:t>Annual Bonus</w:t>
      </w:r>
      <w:r>
        <w:rPr>
          <w:color w:val="000000"/>
        </w:rPr>
        <w:t>”</w:t>
      </w:r>
      <w:r>
        <w:rPr>
          <w:rFonts w:ascii="Times New Roman" w:hAnsi="Times New Roman"/>
          <w:color w:val="000000"/>
          <w:sz w:val="24"/>
        </w:rPr>
        <w:t>). Executive’s target Annual Bonus will be 45% percent of Executive’s Base Salary (the “</w:t>
      </w:r>
      <w:r>
        <w:rPr>
          <w:rFonts w:ascii="Times New Roman" w:hAnsi="Times New Roman"/>
          <w:b/>
          <w:i/>
          <w:color w:val="000000"/>
          <w:sz w:val="24"/>
          <w:u w:val="single"/>
        </w:rPr>
        <w:t>Target Bonus</w:t>
      </w:r>
      <w:r>
        <w:rPr>
          <w:color w:val="000000"/>
        </w:rPr>
        <w:t>”</w:t>
      </w:r>
      <w:r>
        <w:rPr>
          <w:rFonts w:ascii="Times New Roman" w:hAnsi="Times New Roman"/>
          <w:color w:val="000000"/>
          <w:sz w:val="24"/>
        </w:rPr>
        <w:t xml:space="preserve">) in effect on January 1st of the applicable performance period. For 2026, Executive’s target Annual Bonus will be prorated for the period March 5, 2026 through December 31, 2026 and will be based on Executive’s actual earnings during the 2026 performance period. The actual Annual Bonus payable to Executive with respect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hAnsi="Times New Roman"/>
          <w:color w:val="000000"/>
          <w:sz w:val="16"/>
        </w:rPr>
        <w:t>th</w:t>
      </w:r>
      <w:r>
        <w:rPr>
          <w:color w:val="000000"/>
        </w:rPr>
        <w:t xml:space="preserve"> </w:t>
      </w:r>
      <w:r>
        <w:rPr>
          <w:rFonts w:ascii="Times New Roman" w:hAnsi="Times New Roman"/>
          <w:color w:val="000000"/>
          <w:sz w:val="24"/>
        </w:rPr>
        <w:t>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Option Award</w:t>
      </w:r>
      <w:r>
        <w:rPr>
          <w:rFonts w:ascii="Times New Roman" w:hAnsi="Times New Roman"/>
          <w:color w:val="000000"/>
          <w:sz w:val="24"/>
        </w:rPr>
        <w:t>. Subject to approval by the Board (or any authorized committee thereof), the Company shall grant Executive an option (the “</w:t>
      </w:r>
      <w:r>
        <w:rPr>
          <w:rFonts w:ascii="Times New Roman" w:hAnsi="Times New Roman"/>
          <w:b/>
          <w:i/>
          <w:color w:val="000000"/>
          <w:sz w:val="24"/>
          <w:u w:val="single"/>
        </w:rPr>
        <w:t>Option</w:t>
      </w:r>
      <w:r>
        <w:rPr>
          <w:color w:val="000000"/>
        </w:rPr>
        <w:t>”</w:t>
      </w:r>
      <w:r>
        <w:rPr>
          <w:rFonts w:ascii="Times New Roman" w:hAnsi="Times New Roman"/>
          <w:color w:val="000000"/>
          <w:sz w:val="24"/>
        </w:rPr>
        <w:t>) to purchase 1,125,000 shares of the Company’s common stock, with an exercise price equal to the fair market value of a share of the Company’s common stock on the grant date, as determined by the Board (or any authorized committee ), pursuant to the terms and conditions of the Company’s 2021 Equity Incentive Plan (the “</w:t>
      </w:r>
      <w:r>
        <w:rPr>
          <w:rFonts w:ascii="Times New Roman" w:hAnsi="Times New Roman"/>
          <w:b/>
          <w:i/>
          <w:color w:val="000000"/>
          <w:sz w:val="24"/>
          <w:u w:val="single"/>
        </w:rPr>
        <w:t>Plan</w:t>
      </w:r>
      <w:r>
        <w:rPr>
          <w:color w:val="000000"/>
        </w:rPr>
        <w:t>”</w:t>
      </w:r>
      <w:r>
        <w:rPr>
          <w:rFonts w:ascii="Times New Roman" w:hAnsi="Times New Roman"/>
          <w:color w:val="000000"/>
          <w:sz w:val="24"/>
        </w:rPr>
        <w:t>) and the applicable stock option grant notice and stock option agreement to be provided to Executive (together with the Plan, the “</w:t>
      </w:r>
      <w:r>
        <w:rPr>
          <w:rFonts w:ascii="Times New Roman" w:hAnsi="Times New Roman"/>
          <w:b/>
          <w:i/>
          <w:color w:val="000000"/>
          <w:sz w:val="24"/>
          <w:u w:val="single"/>
        </w:rPr>
        <w:t>Equity Documents</w:t>
      </w:r>
      <w:r>
        <w:rPr>
          <w:color w:val="000000"/>
        </w:rPr>
        <w:t>”</w:t>
      </w:r>
      <w:r>
        <w:rPr>
          <w:rFonts w:ascii="Times New Roman" w:hAnsi="Times New Roman"/>
          <w:color w:val="000000"/>
          <w:sz w:val="24"/>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w:t>
      </w:r>
      <w:r>
        <w:rPr>
          <w:rFonts w:ascii="Times New Roman" w:hAnsi="Times New Roman"/>
          <w:color w:val="000000"/>
          <w:sz w:val="16"/>
        </w:rPr>
        <w:t>th</w:t>
      </w:r>
      <w:r>
        <w:rPr>
          <w:color w:val="000000"/>
        </w:rPr>
        <w:t xml:space="preserve"> </w:t>
      </w:r>
      <w:r>
        <w:rPr>
          <w:rFonts w:ascii="Times New Roman" w:hAnsi="Times New Roman"/>
          <w:color w:val="000000"/>
          <w:sz w:val="24"/>
        </w:rPr>
        <w:t>of the total shares subject to the Option, subject to Executive’s continuous service to the Company as of each such vesting date. For avoidance of doubt, the option to purchase 375,000 shares of the Company’s common stock granted to Executive on April 1, 2026 shall remain in full force and effect pursuant to the terms and conditions of the Company’s 2026 Inducement Plan (the “</w:t>
      </w:r>
      <w:r>
        <w:rPr>
          <w:rFonts w:ascii="Times New Roman" w:hAnsi="Times New Roman"/>
          <w:b/>
          <w:i/>
          <w:color w:val="000000"/>
          <w:sz w:val="24"/>
          <w:u w:val="single"/>
        </w:rPr>
        <w:t>2026 Inducement Plan</w:t>
      </w:r>
      <w:r>
        <w:rPr>
          <w:color w:val="000000"/>
        </w:rPr>
        <w:t>”</w:t>
      </w:r>
      <w:r>
        <w:rPr>
          <w:rFonts w:ascii="Times New Roman" w:hAnsi="Times New Roman"/>
          <w:color w:val="000000"/>
          <w:sz w:val="24"/>
        </w:rPr>
        <w:t>) and the applicable stock option grant notice and stock option agreement (together with the 2026 Inducement Plan, the “</w:t>
      </w:r>
      <w:r>
        <w:rPr>
          <w:rFonts w:ascii="Times New Roman" w:hAnsi="Times New Roman"/>
          <w:b/>
          <w:i/>
          <w:color w:val="000000"/>
          <w:sz w:val="24"/>
          <w:u w:val="single"/>
        </w:rPr>
        <w:t>2026 Inducement Plan Equity Documents</w:t>
      </w:r>
      <w:r>
        <w:rPr>
          <w:color w:val="000000"/>
        </w:rPr>
        <w:t>”</w:t>
      </w:r>
      <w:r>
        <w:rPr>
          <w:rFonts w:ascii="Times New Roman" w:hAnsi="Times New Roman"/>
          <w:color w:val="000000"/>
          <w:sz w:val="24"/>
        </w:rPr>
        <w:t xml:space="preserve">); provided, however, and notwithstanding anything to the contrary in the 2026 Inducement Plan Equity Documents, Section 5 and Section 6 of this Agreement, as applicable, shall apply in the event of a termination by the Company without Cause or by Executive for Good Reason (as such terms are defined below).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Deferred Award</w:t>
      </w:r>
      <w:r>
        <w:rPr>
          <w:rFonts w:ascii="Times New Roman" w:hAnsi="Times New Roman"/>
          <w:color w:val="000000"/>
          <w:sz w:val="24"/>
        </w:rPr>
        <w:t>. Invivyd will pay you a one-time Deferred Award of $225,000.00 (“</w:t>
      </w:r>
      <w:r>
        <w:rPr>
          <w:rFonts w:ascii="Times New Roman" w:hAnsi="Times New Roman"/>
          <w:b/>
          <w:i/>
          <w:color w:val="000000"/>
          <w:sz w:val="24"/>
          <w:u w:val="single"/>
        </w:rPr>
        <w:t>Deferred Award</w:t>
      </w:r>
      <w:r>
        <w:rPr>
          <w:color w:val="000000"/>
        </w:rPr>
        <w:t>”</w:t>
      </w:r>
      <w:r>
        <w:rPr>
          <w:rFonts w:ascii="Times New Roman" w:hAnsi="Times New Roman"/>
          <w:color w:val="000000"/>
          <w:sz w:val="24"/>
        </w:rPr>
        <w:t>) less applicable deductions and withholdings, which will be paid on or around, but not later than, December 31, 2026. The Deferred Award will be considered earned on the twelve (12) month anniversary of the Effective Date of this Agreement (“</w:t>
      </w:r>
      <w:r>
        <w:rPr>
          <w:rFonts w:ascii="Times New Roman" w:hAnsi="Times New Roman"/>
          <w:b/>
          <w:i/>
          <w:color w:val="000000"/>
          <w:sz w:val="24"/>
          <w:u w:val="single"/>
        </w:rPr>
        <w:t>Deferred Award Anniversary Date</w:t>
      </w:r>
      <w:r>
        <w:rPr>
          <w:color w:val="000000"/>
        </w:rPr>
        <w:t>”</w:t>
      </w:r>
      <w:r>
        <w:rPr>
          <w:rFonts w:ascii="Times New Roman" w:hAnsi="Times New Roman"/>
          <w:color w:val="000000"/>
          <w:sz w:val="24"/>
        </w:rPr>
        <w:t xml:space="preserve">). If, for any reason other than Termination by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without Cause or Termination by Executive for Good Reason, you are not an employee of Invivyd in good standing on the Deferred Award Anniversary Date, you agree and authorize Invivyd to deduct any amounts of this Deferred Award owed by you from your paycheck(s) to the maximum extent permitted by law, after which time you will remain responsible for the net, after-tax amount of the remaining Deferred Award, which you agree to repay to Invivyd within thirty (30) calendar days of the effective date of your separation. In addition, you agree that the Deferred Award is not wages, salary, commissions, incentive compensation, or other compensation tied to specific job performance.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Expenses</w:t>
      </w:r>
      <w:r>
        <w:rPr>
          <w:rFonts w:ascii="Times New Roman" w:hAnsi="Times New Roman"/>
          <w:color w:val="000000"/>
          <w:sz w:val="24"/>
        </w:rPr>
        <w:t>. The Company shall promptly pay or reimburse Executive for all reasonable expenses incurred by Executive while performing services to the Company,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Other Benefits</w:t>
      </w:r>
      <w:r>
        <w:rPr>
          <w:rFonts w:ascii="Times New Roman" w:hAnsi="Times New Roman"/>
          <w:color w:val="000000"/>
          <w:sz w:val="24"/>
        </w:rPr>
        <w:t>. Executive shall be eligible to participate in or receive benefits under the Company’s employee benefit plans in effect from time to time, subject to the terms of such plans.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Paid Time Off</w:t>
      </w:r>
      <w:r>
        <w:rPr>
          <w:rFonts w:ascii="Times New Roman" w:hAnsi="Times New Roman"/>
          <w:color w:val="000000"/>
          <w:sz w:val="24"/>
        </w:rPr>
        <w:t>. Executive shall be entitled to take paid time off in accordance with the Company’s applicable paid time off policy for executives, as may be in effect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rFonts w:ascii="Times New Roman" w:hAnsi="Times New Roman"/>
          <w:color w:val="000000"/>
          <w:sz w:val="24"/>
          <w:u w:val="single"/>
        </w:rPr>
        <w:t>Stock Ownership Guidelines</w:t>
      </w:r>
      <w:r>
        <w:rPr>
          <w:rFonts w:ascii="Times New Roman" w:hAnsi="Times New Roman"/>
          <w:color w:val="000000"/>
          <w:sz w:val="24"/>
        </w:rPr>
        <w:t>. Executive shall be subject to the Company’s Executive Stock Ownership Guidelines while providing services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u w:val="single"/>
        </w:rPr>
        <w:t>Treatment of Equity Awards upon a Change in Control</w:t>
      </w:r>
      <w:r>
        <w:rPr>
          <w:rFonts w:ascii="Times New Roman" w:hAnsi="Times New Roman"/>
          <w:color w:val="000000"/>
          <w:sz w:val="24"/>
        </w:rPr>
        <w:t>. The following provisions shall apply to any award granted under the Plan or any other plan, agreement or arrangement based on the value of a share of the Company’s common stock on or after the Effective Date (collectively, the “</w:t>
      </w:r>
      <w:r>
        <w:rPr>
          <w:rFonts w:ascii="Times New Roman" w:hAnsi="Times New Roman"/>
          <w:b/>
          <w:i/>
          <w:color w:val="000000"/>
          <w:sz w:val="24"/>
          <w:u w:val="single"/>
        </w:rPr>
        <w:t>Equity Awards</w:t>
      </w:r>
      <w:r>
        <w:rPr>
          <w:color w:val="000000"/>
        </w:rPr>
        <w:t>”</w:t>
      </w:r>
      <w:r>
        <w:rPr>
          <w:rFonts w:ascii="Times New Roman" w:hAnsi="Times New Roman"/>
          <w:color w:val="000000"/>
          <w:sz w:val="24"/>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the “</w:t>
      </w:r>
      <w:r>
        <w:rPr>
          <w:rFonts w:ascii="Times New Roman" w:hAnsi="Times New Roman"/>
          <w:b/>
          <w:i/>
          <w:color w:val="000000"/>
          <w:sz w:val="24"/>
          <w:u w:val="single"/>
        </w:rPr>
        <w:t>Time-Based Equity Awards</w:t>
      </w:r>
      <w:r>
        <w:rPr>
          <w:color w:val="000000"/>
        </w:rPr>
        <w:t>”</w:t>
      </w:r>
      <w:r>
        <w:rPr>
          <w:rFonts w:ascii="Times New Roman" w:hAnsi="Times New Roman"/>
          <w:color w:val="000000"/>
          <w:sz w:val="24"/>
        </w:rPr>
        <w:t>) shall not immediately accelerate and become fully vested and exercisable or non-forfeitable on such a Change in Control,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pPr>
      <w:r>
        <w:rPr>
          <w:rFonts w:ascii="Times New Roman" w:hAnsi="Times New Roman"/>
          <w:color w:val="000000"/>
          <w:sz w:val="24"/>
        </w:rPr>
        <w:t>all other Equity Awards, including but not limited to performance stock units vesting based on achieving pre-established performance goals (collectively, the “</w:t>
      </w:r>
      <w:r>
        <w:rPr>
          <w:rFonts w:ascii="Times New Roman" w:hAnsi="Times New Roman"/>
          <w:b/>
          <w:i/>
          <w:color w:val="000000"/>
          <w:sz w:val="24"/>
          <w:u w:val="single"/>
        </w:rPr>
        <w:t>Performance-Based Equity Awards</w:t>
      </w:r>
      <w:r>
        <w:rPr>
          <w:color w:val="000000"/>
        </w:rPr>
        <w:t>”</w:t>
      </w:r>
      <w:r>
        <w:rPr>
          <w:rFonts w:ascii="Times New Roman" w:hAnsi="Times New Roman"/>
          <w:color w:val="000000"/>
          <w:sz w:val="24"/>
        </w:rPr>
        <w:t>) shall be governed by the terms of the Plan and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Executive’s employment may be terminated without any breach of this Agreement under the following circumstances: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Death</w:t>
      </w:r>
      <w:r>
        <w:rPr>
          <w:rFonts w:ascii="Times New Roman" w:hAnsi="Times New Roman"/>
          <w:color w:val="000000"/>
          <w:sz w:val="24"/>
        </w:rPr>
        <w:t>. Executive’s employment shall terminate upon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Disability</w:t>
      </w:r>
      <w:r>
        <w:rPr>
          <w:rFonts w:ascii="Times New Roman" w:hAnsi="Times New Roman"/>
          <w:color w:val="000000"/>
          <w:sz w:val="24"/>
        </w:rPr>
        <w:t xml:space="preserve">.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 by the Company for Cause</w:t>
      </w:r>
      <w:r>
        <w:rPr>
          <w:rFonts w:ascii="Times New Roman" w:hAnsi="Times New Roman"/>
          <w:color w:val="000000"/>
          <w:sz w:val="24"/>
        </w:rPr>
        <w:t>. The Company may terminate Executive’s employment for Cause. For purposes of this Agreement, “</w:t>
      </w:r>
      <w:r>
        <w:rPr>
          <w:rFonts w:ascii="Times New Roman" w:hAnsi="Times New Roman"/>
          <w:b/>
          <w:i/>
          <w:color w:val="000000"/>
          <w:sz w:val="24"/>
          <w:u w:val="single"/>
        </w:rPr>
        <w:t>Cause</w:t>
      </w:r>
      <w:r>
        <w:rPr>
          <w:color w:val="000000"/>
        </w:rPr>
        <w:t xml:space="preserve">” </w:t>
      </w:r>
      <w:r>
        <w:rPr>
          <w:rFonts w:ascii="Times New Roman" w:hAnsi="Times New Roman"/>
          <w:color w:val="000000"/>
          <w:sz w:val="24"/>
        </w:rPr>
        <w:t xml:space="preserve">shall mean any of the following: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conviction of, or pleading no contest to, a felony under the laws of the United States or any state (other than in connection with a traffic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violation that does not result in imprisonment) or any crime that results in Executive’s incarceration in a federal, state, or local jail or prison;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act of fraud, embezzlement or material misappropriation committed by Executive against the Company (other than good faith expense account disputes);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Willful engaging by Executive in any act that brings or is reasonably likely to bring the Company into public disrepute or disgrace or causes material harm to the customer relations, operations or business prospects of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any termination for Cause, the Company shall provide written notice to Executive setting forth to a reasonable extent at least the principal acts or omissions of Executive giving rise to Cause for termination. It is agreed to by the parties that below par or below average financial performance of the Company and/or its subsidiaries, in and of itself shall not constitute Cause for employment termination under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A termination for Cause under this Section 3(c) (other than with respect to Section 3(c)(ii)) shall in no event become effective under the Agreement unless the provisions of this paragraph are complied with. Executive must be given written notice by the Company of the intention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terminate Executive’s employment for Cause, such notice to be given within three (3) months of the Company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then be terminated for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Termination by the Company without Cause</w:t>
      </w:r>
      <w:r>
        <w:rPr>
          <w:rFonts w:ascii="Times New Roman" w:hAnsi="Times New Roman"/>
          <w:color w:val="000000"/>
          <w:sz w:val="24"/>
        </w:rPr>
        <w:t>. The Company may terminate Executive’s employment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Termination by Executive</w:t>
      </w:r>
      <w:r>
        <w:rPr>
          <w:rFonts w:ascii="Times New Roman" w:hAnsi="Times New Roman"/>
          <w:color w:val="000000"/>
          <w:sz w:val="24"/>
        </w:rPr>
        <w:t>. Executive may terminate employment at any time for any reason, including but not limited to, Good Reason. For purposes of this Agreement, “</w:t>
      </w:r>
      <w:r>
        <w:rPr>
          <w:rFonts w:ascii="Times New Roman" w:hAnsi="Times New Roman"/>
          <w:b/>
          <w:i/>
          <w:color w:val="000000"/>
          <w:sz w:val="24"/>
          <w:u w:val="single"/>
        </w:rPr>
        <w:t>Good Reason</w:t>
      </w:r>
      <w:r>
        <w:rPr>
          <w:color w:val="000000"/>
        </w:rPr>
        <w:t xml:space="preserve">” </w:t>
      </w:r>
      <w:r>
        <w:rPr>
          <w:rFonts w:ascii="Times New Roman" w:hAnsi="Times New Roman"/>
          <w:color w:val="000000"/>
          <w:sz w:val="24"/>
        </w:rPr>
        <w:t>shall mean that Executive has completed all steps of the Good Reason Process (defined below) following the occurrence of any of the following events without Executive’s consent (each, a “</w:t>
      </w:r>
      <w:r>
        <w:rPr>
          <w:rFonts w:ascii="Times New Roman" w:hAnsi="Times New Roman"/>
          <w:b/>
          <w:i/>
          <w:color w:val="000000"/>
          <w:sz w:val="24"/>
          <w:u w:val="single"/>
        </w:rPr>
        <w:t>Good Reason Condition</w:t>
      </w:r>
      <w:r>
        <w:rPr>
          <w:color w:val="000000"/>
        </w:rPr>
        <w: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diminution in Executive’s title, responsibilities, authority or duties;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Change in Control following which either: (A) Executive is not Chief Medical Officer of the Company or, (B) the Company becomes a subsidiary of one or more entities of, following the Change in Control, the post-consummation ultimate parent entity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or the failure of the Company to obtain the assumption in writing of the Company’s obligations to Executive under this Agreement by any successor as required under Section 13 below;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change in the Company’s corporate headquarters that would increase Executive’s one-way commute from Executive’s residence in Saratoga Springs, New York to the Company’s corporate headquarters located at 209 Church Street, New Haven Connecticut by more than fifty (50) miles.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Good Reason Process</w:t>
      </w:r>
      <w:r>
        <w:rPr>
          <w:rFonts w:ascii="Times New Roman" w:hAnsi="Times New Roman"/>
          <w:color w:val="000000"/>
          <w:sz w:val="24"/>
        </w:rPr>
        <w:t>. The “</w:t>
      </w:r>
      <w:r>
        <w:rPr>
          <w:rFonts w:ascii="Times New Roman" w:hAnsi="Times New Roman"/>
          <w:b/>
          <w:i/>
          <w:color w:val="000000"/>
          <w:sz w:val="24"/>
          <w:u w:val="single"/>
        </w:rPr>
        <w:t>Good Reason Process</w:t>
      </w:r>
      <w:r>
        <w:rPr>
          <w:color w:val="000000"/>
        </w:rPr>
        <w:t xml:space="preserve">” </w:t>
      </w:r>
      <w:r>
        <w:rPr>
          <w:rFonts w:ascii="Times New Roman" w:hAnsi="Times New Roman"/>
          <w:color w:val="000000"/>
          <w:sz w:val="24"/>
        </w:rPr>
        <w:t>consists of the following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reasonably determines in good faith that a Good Reason Condition has occurred;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notifies the Company in writing of the first occurrence of the Good Reason Condition within sixty (60) days of the first occurrence of such condition;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Executive cooperates in good faith with the Company’s efforts, for a period of not less than thirty (30) days following such notice (the “</w:t>
      </w:r>
      <w:r>
        <w:rPr>
          <w:rFonts w:ascii="Times New Roman" w:hAnsi="Times New Roman"/>
          <w:b/>
          <w:i/>
          <w:color w:val="000000"/>
          <w:sz w:val="24"/>
          <w:u w:val="single"/>
        </w:rPr>
        <w:t>Cure Period</w:t>
      </w:r>
      <w:r>
        <w:rPr>
          <w:color w:val="000000"/>
        </w:rPr>
        <w:t>”</w:t>
      </w:r>
      <w:r>
        <w:rPr>
          <w:rFonts w:ascii="Times New Roman" w:hAnsi="Times New Roman"/>
          <w:color w:val="000000"/>
          <w:sz w:val="24"/>
        </w:rPr>
        <w:t xml:space="preserve">), to remedy the Good Reason Condition (to the extent such cure is possible);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such efforts, the Good Reason Condition continues to exist at the end of the Cure Period;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terminates employment within sixty (60) days after the end of the Cure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cures the Good Reason Condition during the Cure Period, Good Reason shall be deemed not to have occurred.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Matters Related to Termination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3(a), any termination of Executive’s employment by the Company or any such termination by Executive shall be communicated by written Notice of Termination to the other party. For purposes of this Agreement, a “</w:t>
      </w:r>
      <w:r>
        <w:rPr>
          <w:rFonts w:ascii="Times New Roman" w:hAnsi="Times New Roman"/>
          <w:b/>
          <w:i/>
          <w:color w:val="000000"/>
          <w:sz w:val="24"/>
          <w:u w:val="single"/>
        </w:rPr>
        <w:t>Notice of Termination</w:t>
      </w:r>
      <w:r>
        <w:rPr>
          <w:color w:val="000000"/>
        </w:rPr>
        <w:t xml:space="preserve">” </w:t>
      </w:r>
      <w:r>
        <w:rPr>
          <w:rFonts w:ascii="Times New Roman" w:hAnsi="Times New Roman"/>
          <w:color w:val="000000"/>
          <w:sz w:val="24"/>
        </w:rPr>
        <w:t>shall mean a notice that shall indicate the specific termination provision in this Agreement relied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Date of Termination</w:t>
      </w:r>
      <w:r>
        <w:rPr>
          <w:rFonts w:ascii="Times New Roman" w:hAnsi="Times New Roman"/>
          <w:color w:val="000000"/>
          <w:sz w:val="24"/>
        </w:rPr>
        <w:t>. “</w:t>
      </w:r>
      <w:r>
        <w:rPr>
          <w:rFonts w:ascii="Times New Roman" w:hAnsi="Times New Roman"/>
          <w:b/>
          <w:i/>
          <w:color w:val="000000"/>
          <w:sz w:val="24"/>
          <w:u w:val="single"/>
        </w:rPr>
        <w:t>Date of Termination</w:t>
      </w:r>
      <w:r>
        <w:rPr>
          <w:color w:val="000000"/>
        </w:rPr>
        <w:t xml:space="preserve">” </w:t>
      </w:r>
      <w:r>
        <w:rPr>
          <w:rFonts w:ascii="Times New Roman" w:hAnsi="Times New Roman"/>
          <w:color w:val="000000"/>
          <w:sz w:val="24"/>
        </w:rPr>
        <w:t xml:space="preserve">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Accrued Obligations</w:t>
      </w:r>
      <w:r>
        <w:rPr>
          <w:rFonts w:ascii="Times New Roman" w:hAnsi="Times New Roman"/>
          <w:color w:val="000000"/>
          <w:sz w:val="24"/>
        </w:rPr>
        <w:t>. If Executive’s employment with the Company is terminated for any reason, the Company shall pay or provide to Executive (or to Executive’s</w:t>
      </w:r>
      <w:r>
        <w:rPr>
          <w:color w:val="000000"/>
        </w:rPr>
        <w:t xml:space="preserve"> </w:t>
      </w:r>
      <w:r>
        <w:rPr>
          <w:rFonts w:ascii="Times New Roman" w:hAnsi="Times New Roman"/>
          <w:color w:val="000000"/>
          <w:sz w:val="24"/>
        </w:rPr>
        <w:t>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Severance Earned Bonus (as defined in Section 5(a)) at the same time bonuses are paid to other employees who are actively employed by the Company. The amounts described under this Section 4(c) are referred to below as the “</w:t>
      </w:r>
      <w:r>
        <w:rPr>
          <w:rFonts w:ascii="Times New Roman" w:hAnsi="Times New Roman"/>
          <w:b/>
          <w:i/>
          <w:color w:val="000000"/>
          <w:sz w:val="24"/>
          <w:u w:val="single"/>
        </w:rPr>
        <w:t>Accrued Obligations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Resignation of All Other Positions</w:t>
      </w:r>
      <w:r>
        <w:rPr>
          <w:rFonts w:ascii="Times New Roman" w:hAnsi="Times New Roman"/>
          <w:color w:val="000000"/>
          <w:sz w:val="24"/>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a form as may reasonably be requested by the Company to confirm or effectuate any such resignations.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Severance Pay and Benefits Upon Termination by the Company without Cause or by Executive for Good Reason</w:t>
      </w:r>
      <w:r>
        <w:rPr>
          <w:rFonts w:ascii="Times New Roman" w:hAnsi="Times New Roman"/>
          <w:color w:val="000000"/>
          <w:sz w:val="24"/>
        </w:rPr>
        <w:t>. If Executive’s employment is terminated by the Company without Cause as provided in Section 3(d), or Executive terminates employment for Good Reason as provided in Section 3(e), then, in addition to the</w:t>
      </w:r>
      <w:r>
        <w:rPr>
          <w:color w:val="000000"/>
        </w:rPr>
        <w:t xml:space="preserve"> </w:t>
      </w:r>
      <w:r>
        <w:rPr>
          <w:rFonts w:ascii="Times New Roman" w:hAnsi="Times New Roman"/>
          <w:color w:val="000000"/>
          <w:sz w:val="24"/>
        </w:rPr>
        <w:t xml:space="preserve">Accrued Obligations, and subject to (i) Executive signing and allowing to become effective a separation agreement and release in a form substantially the same as set forth in </w:t>
      </w:r>
      <w:r>
        <w:rPr>
          <w:rFonts w:ascii="Times New Roman" w:hAnsi="Times New Roman"/>
          <w:color w:val="000000"/>
          <w:sz w:val="24"/>
          <w:u w:val="single"/>
        </w:rPr>
        <w:t>Appendix C</w:t>
      </w:r>
      <w:r>
        <w:rPr>
          <w:color w:val="000000"/>
        </w:rPr>
        <w:t xml:space="preserve"> </w:t>
      </w:r>
      <w:r>
        <w:rPr>
          <w:rFonts w:ascii="Times New Roman" w:hAnsi="Times New Roman"/>
          <w:color w:val="000000"/>
          <w:sz w:val="24"/>
        </w:rPr>
        <w:t>to this Agreement (the “</w:t>
      </w:r>
      <w:r>
        <w:rPr>
          <w:rFonts w:ascii="Times New Roman" w:hAnsi="Times New Roman"/>
          <w:b/>
          <w:i/>
          <w:color w:val="000000"/>
          <w:sz w:val="24"/>
          <w:u w:val="single"/>
        </w:rPr>
        <w:t>Separation Agreement</w:t>
      </w:r>
      <w:r>
        <w:rPr>
          <w:color w:val="000000"/>
        </w:rPr>
        <w:t>”</w:t>
      </w:r>
      <w:r>
        <w:rPr>
          <w:rFonts w:ascii="Times New Roman" w:hAnsi="Times New Roman"/>
          <w:color w:val="000000"/>
          <w:sz w:val="24"/>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Cash Severance</w:t>
      </w:r>
      <w:r>
        <w:rPr>
          <w:rFonts w:ascii="Times New Roman" w:hAnsi="Times New Roman"/>
          <w:color w:val="000000"/>
          <w:sz w:val="24"/>
        </w:rPr>
        <w:t>. The Company shall pay Executive an amount equal to nine (9) months of Executive’s Base Salary (the “</w:t>
      </w:r>
      <w:r>
        <w:rPr>
          <w:rFonts w:ascii="Times New Roman" w:hAnsi="Times New Roman"/>
          <w:b/>
          <w:i/>
          <w:color w:val="000000"/>
          <w:sz w:val="24"/>
          <w:u w:val="single"/>
        </w:rPr>
        <w:t>Severance Amount</w:t>
      </w:r>
      <w:r>
        <w:rPr>
          <w:color w:val="000000"/>
        </w:rPr>
        <w:t>”</w:t>
      </w:r>
      <w:r>
        <w:rPr>
          <w:rFonts w:ascii="Times New Roman" w:hAnsi="Times New Roman"/>
          <w:color w:val="000000"/>
          <w:sz w:val="24"/>
        </w:rPr>
        <w:t xml:space="preserve">). In the event that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hAnsi="Times New Roman"/>
          <w:b/>
          <w:i/>
          <w:color w:val="000000"/>
          <w:sz w:val="24"/>
          <w:u w:val="single"/>
        </w:rPr>
        <w:t>Severance</w:t>
      </w:r>
      <w:r>
        <w:rPr>
          <w:color w:val="000000"/>
          <w:u w:val="single"/>
        </w:rPr>
        <w:t xml:space="preserve"> </w:t>
      </w:r>
      <w:r>
        <w:rPr>
          <w:rFonts w:ascii="Times New Roman" w:hAnsi="Times New Roman"/>
          <w:b/>
          <w:i/>
          <w:color w:val="000000"/>
          <w:sz w:val="24"/>
          <w:u w:val="single"/>
        </w:rPr>
        <w:t>Earned Bonus</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COBRA Premiums</w:t>
      </w:r>
      <w:r>
        <w:rPr>
          <w:rFonts w:ascii="Times New Roman" w:hAnsi="Times New Roman"/>
          <w:color w:val="000000"/>
          <w:sz w:val="24"/>
        </w:rPr>
        <w:t>. Subject to Executive’s copayment of premium amounts at the applicable active employees’ rate and Executive’s proper election to receive benefits under the Consolidated Omnibus Budget Reconciliation Act of 1985, as amended (“</w:t>
      </w:r>
      <w:r>
        <w:rPr>
          <w:rFonts w:ascii="Times New Roman" w:hAnsi="Times New Roman"/>
          <w:b/>
          <w:i/>
          <w:color w:val="000000"/>
          <w:sz w:val="24"/>
          <w:u w:val="single"/>
        </w:rPr>
        <w:t>COBRA</w:t>
      </w:r>
      <w:r>
        <w:rPr>
          <w:color w:val="000000"/>
        </w:rPr>
        <w:t>”</w:t>
      </w:r>
      <w:r>
        <w:rPr>
          <w:rFonts w:ascii="Times New Roman" w:hAnsi="Times New Roman"/>
          <w:color w:val="000000"/>
          <w:sz w:val="24"/>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Delayed Forfeiture of Time-Based Equity Awards</w:t>
      </w:r>
      <w:r>
        <w:rPr>
          <w:rFonts w:ascii="Times New Roman" w:hAnsi="Times New Roman"/>
          <w:color w:val="000000"/>
          <w:sz w:val="24"/>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hAnsi="Times New Roman"/>
          <w:b/>
          <w:i/>
          <w:color w:val="000000"/>
          <w:sz w:val="24"/>
          <w:u w:val="single"/>
        </w:rPr>
        <w:t>Pre-CIC Protection Period</w:t>
      </w:r>
      <w:r>
        <w:rPr>
          <w:color w:val="000000"/>
        </w:rPr>
        <w:t>”</w:t>
      </w:r>
      <w:r>
        <w:rPr>
          <w:rFonts w:ascii="Times New Roman" w:hAnsi="Times New Roman"/>
          <w:color w:val="000000"/>
          <w:sz w:val="24"/>
        </w:rPr>
        <w:t>). If the Company has not, prior to the end of the Pre-CIC Protection Period, entered into a definitive agreement that, if closed, would result in a Change in Control (a “</w:t>
      </w:r>
      <w:r>
        <w:rPr>
          <w:rFonts w:ascii="Times New Roman" w:hAnsi="Times New Roman"/>
          <w:b/>
          <w:i/>
          <w:color w:val="000000"/>
          <w:sz w:val="24"/>
          <w:u w:val="single"/>
        </w:rPr>
        <w:t>P&amp;S Agreement</w:t>
      </w:r>
      <w:r>
        <w:rPr>
          <w:color w:val="000000"/>
        </w:rPr>
        <w:t>”</w:t>
      </w:r>
      <w:r>
        <w:rPr>
          <w:rFonts w:ascii="Times New Roman" w:hAnsi="Times New Roman"/>
          <w:color w:val="000000"/>
          <w:sz w:val="24"/>
        </w:rPr>
        <w:t xml:space="preserve">),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within to the contrary, no Time-Based Awards shall remain outstanding following the original expiration date of such award, as set forth in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Severance Payment Timing</w:t>
      </w:r>
      <w:r>
        <w:rPr>
          <w:rFonts w:ascii="Times New Roman" w:hAnsi="Times New Roman"/>
          <w:color w:val="000000"/>
          <w:sz w:val="24"/>
        </w:rPr>
        <w:t>. The amounts payable under Section 5, (other than the Severance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hAnsi="Times New Roman"/>
          <w:b/>
          <w:i/>
          <w:color w:val="000000"/>
          <w:sz w:val="24"/>
          <w:u w:val="single"/>
        </w:rPr>
        <w:t>Code</w:t>
      </w:r>
      <w:r>
        <w:rPr>
          <w:color w:val="000000"/>
        </w:rPr>
        <w:t>”</w:t>
      </w:r>
      <w:r>
        <w:rPr>
          <w:rFonts w:ascii="Times New Roman" w:hAnsi="Times New Roman"/>
          <w:color w:val="000000"/>
          <w:sz w:val="24"/>
        </w:rPr>
        <w:t>), shall be paid or commence to be paid in the second calendar year by the last day of such period. The Severance Amount shall be paid in a single lump sum, and the Severance Earned Bonus, if any, shall be paid at the same time as if Executive had remained employed with the Company through the payment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Severance Pay and Benefits Upon Termination by the Company without Cause or by Executive for Good Reason within the Change in Control Period</w:t>
      </w:r>
      <w:r>
        <w:rPr>
          <w:rFonts w:ascii="Times New Roman" w:hAnsi="Times New Roman"/>
          <w:color w:val="000000"/>
          <w:sz w:val="24"/>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hAnsi="Times New Roman"/>
          <w:b/>
          <w:i/>
          <w:color w:val="000000"/>
          <w:sz w:val="24"/>
          <w:u w:val="single"/>
        </w:rPr>
        <w:t>Change in Control Period</w:t>
      </w:r>
      <w:r>
        <w:rPr>
          <w:color w:val="000000"/>
        </w:rPr>
        <w:t xml:space="preserve">” </w:t>
      </w:r>
      <w:r>
        <w:rPr>
          <w:rFonts w:ascii="Times New Roman" w:hAnsi="Times New Roman"/>
          <w:color w:val="000000"/>
          <w:sz w:val="24"/>
        </w:rPr>
        <w:t>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pStyle w:val="Heading2"/>
        <w:bidi w:val="0"/>
        <w:spacing w:before="0" w:after="240"/>
        <w:jc w:val="left"/>
        <w:rPr>
          <w:rFonts w:ascii="Times New Roman" w:hAnsi="Times New Roman"/>
          <w:sz w:val="20"/>
        </w:rPr>
      </w:pPr>
      <w:r>
        <w:rPr>
          <w:rFonts w:ascii="Times New Roman" w:hAnsi="Times New Roman"/>
          <w:b w:val="false"/>
          <w:color w:val="000000"/>
          <w:sz w:val="24"/>
        </w:rPr>
        <w:t>If Executive’s employment is terminated by the Company without Cause as provided in Section 3(d) or Executive terminates employment for Good Reason as provided in Section 3(e) and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Cash Severance</w:t>
      </w:r>
      <w:r>
        <w:rPr>
          <w:rFonts w:ascii="Times New Roman" w:hAnsi="Times New Roman"/>
          <w:color w:val="000000"/>
          <w:sz w:val="24"/>
        </w:rPr>
        <w:t>. The Company shall pay Executive a lump sum in cash in an amount equal to the sum of (A) 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Severance Earned Bonus (the “</w:t>
      </w:r>
      <w:r>
        <w:rPr>
          <w:rFonts w:ascii="Times New Roman" w:hAnsi="Times New Roman"/>
          <w:b/>
          <w:i/>
          <w:color w:val="000000"/>
          <w:sz w:val="24"/>
          <w:u w:val="single"/>
        </w:rPr>
        <w:t>Change in Control Payment</w:t>
      </w:r>
      <w:r>
        <w:rPr>
          <w:color w:val="000000"/>
        </w:rPr>
        <w: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COBRA Premiums</w:t>
      </w:r>
      <w:r>
        <w:rPr>
          <w:rFonts w:ascii="Times New Roman" w:hAnsi="Times New Roman"/>
          <w:color w:val="000000"/>
          <w:sz w:val="24"/>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Accelerated Vesting of Equity Awards</w:t>
      </w:r>
      <w:r>
        <w:rPr>
          <w:rFonts w:ascii="Times New Roman" w:hAnsi="Times New Roman"/>
          <w:color w:val="000000"/>
          <w:sz w:val="24"/>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hAnsi="Times New Roman"/>
          <w:b/>
          <w:i/>
          <w:color w:val="000000"/>
          <w:sz w:val="24"/>
          <w:u w:val="single"/>
        </w:rPr>
        <w:t>Accelerated Vesting Date</w:t>
      </w:r>
      <w:r>
        <w:rPr>
          <w:color w:val="000000"/>
        </w:rPr>
        <w:t>”</w:t>
      </w:r>
      <w:r>
        <w:rPr>
          <w:rFonts w:ascii="Times New Roman" w:hAnsi="Times New Roman"/>
          <w:color w:val="000000"/>
          <w:sz w:val="24"/>
        </w:rPr>
        <w:t xml:space="preserve">),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between the Date of Termination and the Accelerated Vesting Date except as specifically provided in this Section 6(c).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Change in Control Payment Timing</w:t>
      </w:r>
      <w:r>
        <w:rPr>
          <w:rFonts w:ascii="Times New Roman" w:hAnsi="Times New Roman"/>
          <w:color w:val="000000"/>
          <w:sz w:val="24"/>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280G Limitation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 “</w:t>
      </w:r>
      <w:r>
        <w:rPr>
          <w:rFonts w:ascii="Times New Roman" w:hAnsi="Times New Roman"/>
          <w:b/>
          <w:i/>
          <w:color w:val="000000"/>
          <w:sz w:val="24"/>
          <w:u w:val="single"/>
        </w:rPr>
        <w:t>Aggregate Payments</w:t>
      </w:r>
      <w:r>
        <w:rPr>
          <w:color w:val="000000"/>
        </w:rPr>
        <w:t>”</w:t>
      </w:r>
      <w:r>
        <w:rPr>
          <w:rFonts w:ascii="Times New Roman" w:hAnsi="Times New Roman"/>
          <w:color w:val="000000"/>
          <w:sz w:val="24"/>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For purposes of this Section 7, the “</w:t>
      </w:r>
      <w:r>
        <w:rPr>
          <w:rFonts w:ascii="Times New Roman" w:hAnsi="Times New Roman"/>
          <w:b/>
          <w:i/>
          <w:color w:val="000000"/>
          <w:sz w:val="24"/>
          <w:u w:val="single"/>
        </w:rPr>
        <w:t>After Tax Amount</w:t>
      </w:r>
      <w:r>
        <w:rPr>
          <w:color w:val="000000"/>
        </w:rPr>
        <w:t xml:space="preserve">” </w:t>
      </w:r>
      <w:r>
        <w:rPr>
          <w:rFonts w:ascii="Times New Roman" w:hAnsi="Times New Roman"/>
          <w:color w:val="000000"/>
          <w:sz w:val="24"/>
        </w:rPr>
        <w:t xml:space="preserve">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maximum reduction in federal income taxes which could be obtained from deduction of such state and local taxes.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hAnsi="Times New Roman"/>
          <w:b/>
          <w:i/>
          <w:color w:val="000000"/>
          <w:sz w:val="24"/>
        </w:rPr>
        <w:t>Independent Advisors</w:t>
      </w:r>
      <w:r>
        <w:rPr>
          <w:color w:val="000000"/>
        </w:rPr>
        <w:t>”</w:t>
      </w:r>
      <w:r>
        <w:rPr>
          <w:rFonts w:ascii="Times New Roman" w:hAnsi="Times New Roman"/>
          <w:color w:val="000000"/>
          <w:sz w:val="24"/>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noBreakHyphen/>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Continuing Obligations</w:t>
      </w:r>
      <w:r>
        <w:rPr>
          <w:rFonts w:ascii="Times New Roman" w:hAnsi="Times New Roman"/>
          <w:color w:val="000000"/>
          <w:sz w:val="24"/>
        </w:rPr>
        <w:t>.</w:t>
      </w:r>
      <w:r>
        <w:rPr>
          <w:color w:val="000000"/>
          <w:u w:val="single"/>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PIIA Agreement</w:t>
      </w:r>
      <w:r>
        <w:rPr>
          <w:rFonts w:ascii="Times New Roman" w:hAnsi="Times New Roman"/>
          <w:color w:val="000000"/>
          <w:sz w:val="24"/>
        </w:rPr>
        <w:t xml:space="preserve">. As a condition of entering into this Agreement, Executive hereby reaffirms the PIIA Agreement in its entirety, which is attached as </w:t>
      </w:r>
      <w:r>
        <w:rPr>
          <w:rFonts w:ascii="Times New Roman" w:hAnsi="Times New Roman"/>
          <w:color w:val="000000"/>
          <w:sz w:val="24"/>
          <w:u w:val="single"/>
        </w:rPr>
        <w:t>Appendix B</w:t>
      </w:r>
      <w:r>
        <w:rPr>
          <w:rFonts w:ascii="Times New Roman" w:hAnsi="Times New Roman"/>
          <w:color w:val="000000"/>
          <w:sz w:val="24"/>
        </w:rPr>
        <w:t>.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hAnsi="Times New Roman"/>
          <w:b/>
          <w:i/>
          <w:color w:val="000000"/>
          <w:sz w:val="24"/>
          <w:u w:val="single"/>
        </w:rPr>
        <w:t>Continuing Obligations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Third-Party Agreements and Rights</w:t>
      </w:r>
      <w:r>
        <w:rPr>
          <w:rFonts w:ascii="Times New Roman" w:hAnsi="Times New Roman"/>
          <w:color w:val="000000"/>
          <w:sz w:val="24"/>
        </w:rPr>
        <w:t>. Executive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Litigation and Regulatory Cooperation</w:t>
      </w:r>
      <w:r>
        <w:rPr>
          <w:rFonts w:ascii="Times New Roman" w:hAnsi="Times New Roman"/>
          <w:color w:val="000000"/>
          <w:sz w:val="24"/>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noBreakHyphen/>
        <w:t>of</w:t>
        <w:noBreakHyphen/>
        <w:t>pocket expenses incurred in connection with Executive’s performance of obligations pursuant to this Section 9(c), which shall be in addition to its obligations to provide indemnification to Executive.</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Non-Disparagement</w:t>
      </w:r>
      <w:r>
        <w:rPr>
          <w:rFonts w:ascii="Times New Roman" w:hAnsi="Times New Roman"/>
          <w:color w:val="000000"/>
          <w:sz w:val="24"/>
        </w:rPr>
        <w:t xml:space="preserve">. Executive agrees not to disparage the Company, and/or the Company’s attorneys, directors, managers, partners, employees, agents and affiliates, in any manner likely to be harmful to them or their business, business reputation or personal 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Relief</w:t>
      </w:r>
      <w:r>
        <w:rPr>
          <w:rFonts w:ascii="Times New Roman" w:hAnsi="Times New Roman"/>
          <w:color w:val="000000"/>
          <w:sz w:val="24"/>
        </w:rPr>
        <w:t>. Executive agrees that it would be difficult to measure any damages caused to the Company that might result from any breach by Executive of the Continuing Obligations, and that in any event monetary damages would be an inadequate remedy for any such breach. Accordingly</w:t>
      </w:r>
      <w:r>
        <w:rPr>
          <w:rFonts w:ascii="Times New Roman" w:hAnsi="Times New Roman"/>
          <w:b/>
          <w:color w:val="000000"/>
          <w:sz w:val="24"/>
        </w:rPr>
        <w:t>,</w:t>
      </w:r>
      <w:r>
        <w:rPr>
          <w:color w:val="000000"/>
        </w:rPr>
        <w:t xml:space="preserve"> </w:t>
      </w:r>
      <w:r>
        <w:rPr>
          <w:rFonts w:ascii="Times New Roman" w:hAnsi="Times New Roman"/>
          <w:color w:val="000000"/>
          <w:sz w:val="24"/>
        </w:rPr>
        <w:t>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Consent to Jurisdiction</w:t>
      </w:r>
      <w:r>
        <w:rPr>
          <w:rFonts w:ascii="Times New Roman" w:hAnsi="Times New Roman"/>
          <w:color w:val="000000"/>
          <w:sz w:val="24"/>
        </w:rPr>
        <w:t>. The parties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the subject matter within and supersedes all prior agreements between the parties concerning such subject matter</w:t>
      </w:r>
      <w:r>
        <w:rPr>
          <w:rFonts w:ascii="Times New Roman" w:hAnsi="Times New Roman"/>
          <w:b/>
          <w:color w:val="000000"/>
          <w:sz w:val="24"/>
        </w:rPr>
        <w:t xml:space="preserve">, </w:t>
      </w:r>
      <w:r>
        <w:rPr>
          <w:rFonts w:ascii="Times New Roman" w:hAnsi="Times New Roman"/>
          <w:color w:val="000000"/>
          <w:sz w:val="24"/>
        </w:rPr>
        <w:t>provided that the PIIA Agreement and the agreements governing any Equity Awards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Withholding; Tax Effect</w:t>
      </w:r>
      <w:r>
        <w:rPr>
          <w:rFonts w:ascii="Times New Roman" w:hAnsi="Times New Roman"/>
          <w:color w:val="000000"/>
          <w:sz w:val="24"/>
        </w:rPr>
        <w:t xml:space="preserve">.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xml:space="preserve">. This Agreement will be binding upon and inure to the benefit of (a) the heirs, executors, and legal representatives of Executive upon Executive’s death as well as any beneficiaries duly designated by Executive prior to death in accordance with its terms, and (b) any successor of the Company. Any such successor of the Company will be deemed substituted for the Company under the terms of this Agreement for all purposes. For this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of this Agreement. Except as provided within, this Agreement may not otherwise be assigned by the Company and any attempted assignment in contravention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Enforceability</w:t>
      </w:r>
      <w:r>
        <w:rPr>
          <w:rFonts w:ascii="Times New Roman" w:hAnsi="Times New Roman"/>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and each portion and provision of this Agreement shall be valid and enforceable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Survival</w:t>
      </w:r>
      <w:r>
        <w:rPr>
          <w:rFonts w:ascii="Times New Roman" w:hAnsi="Times New Roman"/>
          <w:color w:val="000000"/>
          <w:sz w:val="24"/>
        </w:rPr>
        <w:t>. The provisions of this Agreement shall survive the termination of this Agreement and/or the termination of Executive’s employment to the extent necessary to effectuate the terms contained within, including but not limited to the Company’s obligation to make severance payments or provide indemnification and Executive’s obligations to comply with the Continuing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Waiver</w:t>
      </w:r>
      <w:r>
        <w:rPr>
          <w:rFonts w:ascii="Times New Roman" w:hAnsi="Times New Roman"/>
          <w:color w:val="000000"/>
          <w:sz w:val="24"/>
        </w:rPr>
        <w:t>. No waiver of any provision of this Agreement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xml:space="preserve">.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Chief Legal Officer or (iii) sent via email to Executive at Executive’s Company email address or, in the case of the Company, to the CEO’s or Chief Legal Officer’s Company email address.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signed by Executive and by a duly authorized representative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The Company will (i) indemnify Executive with respect to claims against Executive by third parties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No Mitigation; Offset</w:t>
      </w:r>
      <w:r>
        <w:rPr>
          <w:rFonts w:ascii="Times New Roman" w:hAnsi="Times New Roman"/>
          <w:color w:val="000000"/>
          <w:sz w:val="24"/>
        </w:rPr>
        <w:t>. In the event of any termination of employment,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Effect on Other Plans and Agreements</w:t>
      </w:r>
      <w:r>
        <w:rPr>
          <w:rFonts w:ascii="Times New Roman" w:hAnsi="Times New Roman"/>
          <w:color w:val="000000"/>
          <w:sz w:val="24"/>
        </w:rPr>
        <w:t xml:space="preserve">. An election by Executive to resign for Good Reason under the provisions of this Agreement shall not be deemed a voluntary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above, and except that Executive shall have no rights to continue any severance benefits under any Company severance pay plan, offer letter or otherwise. Except for the PIIA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Governing Law; Venue and Enforcement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will be governed by and construed in accordance with applicable federal laws and, to the extent not inconsistent with or preempted by,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consent to the personal and exclusive jurisdiction of such court(s) and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award shall be payable to Executive no later than the end of Executive’s first taxable year in which the Company either concedes the amount (or portion of the amount) payable or is required to make payment pursuant to a judgment by a court, and shall include interest on any amounts due and payable to Executive from the date due to the date of payment, calculated at one hundred and ten percent (110%) of the base lending in effect at Citibank, N.A. (or its successor) on the first of each month.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Company determines in good faith that as of the date of Executive’s termination of employment and service, grounds for an involuntary termination for Cause had existed.</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Recoupment</w:t>
      </w:r>
      <w:r>
        <w:rPr>
          <w:rFonts w:ascii="Times New Roman" w:hAnsi="Times New Roman"/>
          <w:color w:val="000000"/>
          <w:sz w:val="24"/>
        </w:rPr>
        <w:t>. Executive shall be required to repay incentive pay received throughout Executive’s employment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hAnsi="Times New Roman"/>
          <w:b/>
          <w:i/>
          <w:color w:val="000000"/>
          <w:sz w:val="24"/>
        </w:rPr>
        <w:t>Recoupment Policy</w:t>
      </w:r>
      <w:r>
        <w:rPr>
          <w:color w:val="000000"/>
        </w:rPr>
        <w:t>”</w:t>
      </w:r>
      <w:r>
        <w:rPr>
          <w:rFonts w:ascii="Times New Roman" w:hAnsi="Times New Roman"/>
          <w:color w:val="000000"/>
          <w:sz w:val="24"/>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executed this Agreement effective on the Effective Date.</w:t>
      </w:r>
    </w:p>
    <w:p>
      <w:pPr>
        <w:pStyle w:val="TextBody"/>
        <w:bidi w:val="0"/>
        <w:spacing w:before="0" w:after="24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INVIVYD,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William Duke, Jr.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Its: Chief Financial Officer </w:t>
      </w:r>
    </w:p>
    <w:p>
      <w:pPr>
        <w:pStyle w:val="TextBody"/>
        <w:bidi w:val="0"/>
        <w:spacing w:before="0" w:after="72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MICHAEL MINA</w:t>
      </w:r>
    </w:p>
    <w:p>
      <w:pPr>
        <w:pStyle w:val="TextBody"/>
        <w:bidi w:val="0"/>
        <w:jc w:val="left"/>
        <w:rPr>
          <w:rFonts w:ascii="Times New Roman" w:hAnsi="Times New Roman"/>
          <w:sz w:val="20"/>
        </w:rPr>
      </w:pPr>
      <w:r>
        <w:rPr>
          <w:rFonts w:ascii="Times New Roman" w:hAnsi="Times New Roman"/>
          <w:color w:val="000000"/>
          <w:sz w:val="24"/>
          <w:u w:val="single"/>
        </w:rPr>
        <w:t xml:space="preserve">/s/ Michael Mina </w:t>
        <w:br/>
      </w:r>
      <w:r>
        <w:rPr>
          <w:rFonts w:ascii="Times New Roman" w:hAnsi="Times New Roman"/>
          <w:color w:val="000000"/>
          <w:sz w:val="24"/>
        </w:rPr>
        <w:t>[***]</w:t>
      </w:r>
    </w:p>
    <w:p>
      <w:pPr>
        <w:pStyle w:val="TextBody"/>
        <w:bidi w:val="0"/>
        <w:spacing w:before="0" w:after="720"/>
        <w:jc w:val="left"/>
        <w:rPr>
          <w:rFonts w:ascii="Times New Roman" w:hAnsi="Times New Roman"/>
          <w:sz w:val="20"/>
        </w:rPr>
      </w:pPr>
      <w:r>
        <w:rPr>
          <w:rFonts w:ascii="Times New Roman" w:hAnsi="Times New Roman"/>
          <w:color w:val="000000"/>
          <w:sz w:val="24"/>
        </w:rPr>
        <w:t>[***]</w:t>
        <w:b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Outside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B</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PIIA Agreement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Appendix C</w:t>
        <w:br/>
      </w:r>
      <w:r>
        <w:rPr>
          <w:rFonts w:ascii="Times New Roman" w:hAnsi="Times New Roman"/>
          <w:color w:val="000000"/>
          <w:sz w:val="20"/>
          <w:u w:val="single"/>
        </w:rPr>
        <w:t> </w:t>
      </w:r>
    </w:p>
    <w:p>
      <w:pPr>
        <w:pStyle w:val="TextBody"/>
        <w:bidi w:val="0"/>
        <w:jc w:val="left"/>
        <w:rPr>
          <w:rFonts w:ascii="Times New Roman" w:hAnsi="Times New Roman"/>
          <w:b/>
          <w:color w:val="000000"/>
          <w:sz w:val="24"/>
        </w:rPr>
      </w:pPr>
      <w:r>
        <w:rPr>
          <w:rFonts w:ascii="Times New Roman" w:hAnsi="Times New Roman"/>
          <w:b/>
          <w:color w:val="000000"/>
          <w:sz w:val="24"/>
        </w:rPr>
        <w:t>FORM SEPARATION AGREEMENT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[Address]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left"/>
        <w:rPr>
          <w:rFonts w:ascii="Times New Roman" w:hAnsi="Times New Roman"/>
          <w:sz w:val="20"/>
        </w:rPr>
      </w:pPr>
      <w:r>
        <w:rPr>
          <w:rFonts w:ascii="Times New Roman" w:hAnsi="Times New Roman"/>
          <w:color w:val="000000"/>
          <w:sz w:val="24"/>
        </w:rPr>
        <w:t>Dear</w:t>
      </w:r>
      <w:r>
        <w:rPr>
          <w:rFonts w:ascii="Times New Roman" w:hAnsi="Times New Roman"/>
          <w:color w:val="000000"/>
          <w:sz w:val="20"/>
        </w:rPr>
        <w:t xml:space="preserve"> </w:t>
      </w:r>
      <w:r>
        <w:rPr>
          <w:rFonts w:ascii="Times New Roman" w:hAnsi="Times New Roman"/>
          <w:color w:val="000000"/>
          <w:sz w:val="24"/>
        </w:rPr>
        <w:t>[Name]: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sets forth the substance of the separation agreement (the “Agreement”) which Invivyd, Inc. (the “Company”)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w:t>
      </w:r>
      <w:r>
        <w:rPr>
          <w:color w:val="000000"/>
        </w:rPr>
        <w:t xml:space="preserve"> </w:t>
      </w:r>
      <w:r>
        <w:rPr>
          <w:rFonts w:ascii="Times New Roman" w:hAnsi="Times New Roman"/>
          <w:color w:val="000000"/>
          <w:sz w:val="24"/>
        </w:rPr>
        <w:t>Your last day of work with the Company and your employment termination date will be [Date]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 xml:space="preserve">Accrued Salary. </w:t>
      </w:r>
      <w:r>
        <w:rPr>
          <w:rFonts w:ascii="Times New Roman" w:hAnsi="Times New Roman"/>
          <w:color w:val="000000"/>
          <w:sz w:val="24"/>
        </w:rPr>
        <w:t>On the Separation Date, the Company will pay you all accrued salary earned through the Separation Date, subject to standard payroll deductions and withholdings. You will receive these payments regardless of whether or not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Benefits.</w:t>
      </w:r>
      <w:r>
        <w:rPr>
          <w:color w:val="000000"/>
        </w:rPr>
        <w:t xml:space="preserve"> </w:t>
      </w:r>
      <w:r>
        <w:rPr>
          <w:rFonts w:ascii="Times New Roman" w:hAnsi="Times New Roman"/>
          <w:color w:val="000000"/>
          <w:sz w:val="24"/>
        </w:rPr>
        <w:t>If you execute and do not revoke this Agreement, and comply with its terms, the Company will provide you with the following Severance Benefits pursuant to the terms of your [month, date, year] Employment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is offering severance to you in reliance on Treasury Regulation Section 1.409A-1(b)(9) and the short-term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Benefit Plans.</w:t>
      </w:r>
      <w:r>
        <w:rPr>
          <w:color w:val="00000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you are currently participating in the Company’s group health insurance plans, your participation as an employee will end on [the Separation Date] </w:t>
      </w:r>
      <w:r>
        <w:rPr>
          <w:rFonts w:ascii="Times New Roman" w:hAnsi="Times New Roman"/>
          <w:i/>
          <w:color w:val="000000"/>
          <w:sz w:val="24"/>
        </w:rPr>
        <w:t>or</w:t>
      </w:r>
      <w:r>
        <w:rPr>
          <w:rFonts w:ascii="Times New Roman" w:hAnsi="Times New Roman"/>
          <w:color w:val="000000"/>
          <w:sz w:val="20"/>
        </w:rPr>
        <w:t xml:space="preserve"> </w:t>
      </w:r>
      <w:r>
        <w:rPr>
          <w:rFonts w:ascii="Times New Roman" w:hAnsi="Times New Roman"/>
          <w:color w:val="000000"/>
          <w:sz w:val="24"/>
        </w:rPr>
        <w:t>[the last day of the month in which separation occurs]. Thereafter,</w:t>
      </w:r>
      <w:r>
        <w:rPr>
          <w:rFonts w:ascii="Times New Roman" w:hAnsi="Times New Roman"/>
          <w:color w:val="000000"/>
          <w:sz w:val="20"/>
        </w:rPr>
        <w:t xml:space="preserve"> </w:t>
      </w:r>
      <w:r>
        <w:rPr>
          <w:rFonts w:ascii="Times New Roman" w:hAnsi="Times New Roman"/>
          <w:color w:val="000000"/>
          <w:sz w:val="24"/>
        </w:rPr>
        <w:t>to the extent provided by the federal COBRA law or, if applicable, state insurance laws, and by the Company’s current group health insurance policies, you will be eligible to continue your group health insurance benefits at your own expense. Later,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 may be able to convert to an individual policy through the provider of the Company’s health insurance, if you wish.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Deductions for the 401(k) Plan will end with your last regular paycheck. You will receive information by mail concerning 401(k) plan rollover procedures should you be a participant in this program.</w:t>
      </w:r>
    </w:p>
    <w:p>
      <w:pPr>
        <w:pStyle w:val="TextBody"/>
        <w:bidi w:val="0"/>
        <w:spacing w:before="0" w:after="240"/>
        <w:jc w:val="both"/>
        <w:rPr>
          <w:rFonts w:ascii="Times New Roman" w:hAnsi="Times New Roman"/>
          <w:sz w:val="20"/>
        </w:rPr>
      </w:pPr>
      <w:r>
        <w:rPr>
          <w:rFonts w:ascii="Times New Roman" w:hAnsi="Times New Roman"/>
          <w:color w:val="000000"/>
          <w:sz w:val="24"/>
        </w:rPr>
        <w:t>You may be eligible for unemployment insurance benefits after the Separation Date.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Stock Options.</w:t>
      </w:r>
      <w:r>
        <w:rPr>
          <w:color w:val="000000"/>
        </w:rPr>
        <w:t xml:space="preserve"> </w:t>
      </w:r>
      <w:r>
        <w:rPr>
          <w:rFonts w:ascii="Times New Roman" w:hAnsi="Times New Roman"/>
          <w:color w:val="000000"/>
          <w:sz w:val="24"/>
        </w:rPr>
        <w:t>You were granted options to purchase shares of the Company’s common stock, pursuant to the Company’s 2026 Inducement Plan and the Company’s</w:t>
      </w:r>
      <w:r>
        <w:rPr>
          <w:color w:val="000000"/>
        </w:rPr>
        <w:t xml:space="preserve"> </w:t>
      </w:r>
      <w:r>
        <w:rPr>
          <w:rFonts w:ascii="Times New Roman" w:hAnsi="Times New Roman"/>
          <w:color w:val="000000"/>
          <w:sz w:val="24"/>
        </w:rPr>
        <w:t xml:space="preserve">2021 Equity Incentive Plan (the “Plans”). Under the terms of the Plans and your stock option grants, vesting will cease as of the Separation Date, all of your then vested options will remain outstanding for twelve (12) months after the date of such termination and all of your then unvested options will terminate and be forfeited as of the date of such 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 xml:space="preserve">You acknowledge that, except as expressly provided in this Agreement, as of the 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You agree that, within ten (10) days of the Separation Date, you will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Return of Company Property.</w:t>
      </w:r>
      <w:r>
        <w:rPr>
          <w:color w:val="000000"/>
        </w:rPr>
        <w:t xml:space="preserve"> </w:t>
      </w:r>
      <w:r>
        <w:rPr>
          <w:rFonts w:ascii="Times New Roman" w:hAnsi="Times New Roman"/>
          <w:color w:val="000000"/>
          <w:sz w:val="24"/>
        </w:rPr>
        <w:t>By the Separation Date, you agree to return to the Company all Company documents (and all copies)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[name/title].</w:t>
      </w:r>
      <w:r>
        <w:rPr>
          <w:color w:val="000000"/>
        </w:rPr>
        <w:t xml:space="preserve"> </w:t>
      </w:r>
      <w:r>
        <w:rPr>
          <w:rFonts w:ascii="Times New Roman" w:hAnsi="Times New Roman"/>
          <w:b/>
          <w:color w:val="000000"/>
          <w:sz w:val="24"/>
        </w:rPr>
        <w:t>Receipt of the severance benefits described in Section 3 of this Agreement is expressly conditioned upon return of all Company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Confidential Information; Reaffirmation of Post-Termination Obligations.</w:t>
      </w:r>
      <w:r>
        <w:rPr>
          <w:color w:val="000000"/>
        </w:rPr>
        <w:t xml:space="preserve"> </w:t>
      </w:r>
      <w:r>
        <w:rPr>
          <w:rFonts w:ascii="Times New Roman" w:hAnsi="Times New Roman"/>
          <w:color w:val="000000"/>
          <w:sz w:val="24"/>
        </w:rPr>
        <w:t xml:space="preserve">Both during and after your employment you acknowledge your continuing obligations under your Employee Proprietary Information and Inventions Assignment Agreement that you entered into as part of your employment (“PIIA Agreement”) not to use or disclose any confidential or proprietary information of the Company and to refrain from certain solicitation and competition activities.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signing this Agreement, except as modified herein, you hereby reaffirm your continuing obligations under the PIIA Agreement to the Company, which may include, but are not limited to, non-competition and non-solicitation provisions. If you have any doubts as to the scope of the restrictions in your PIIA Agreement, you should contact Jill Andersen, Chief Legal Officer immediately to assess your compliance. As you know, the Company will enforce its contract rights. Please familiarize yourself with the agreement that you signed.</w:t>
      </w:r>
      <w:r>
        <w:rPr>
          <w:color w:val="000000"/>
        </w:rPr>
        <w:t xml:space="preserve"> </w:t>
      </w:r>
      <w:r>
        <w:rPr>
          <w:rFonts w:ascii="Times New Roman" w:hAnsi="Times New Roman"/>
          <w:color w:val="000000"/>
          <w:sz w:val="24"/>
        </w:rPr>
        <w:t>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 xml:space="preserve">Non-Compete. </w:t>
      </w:r>
      <w:r>
        <w:rPr>
          <w:rFonts w:ascii="Times New Roman" w:hAnsi="Times New Roman"/>
          <w:color w:val="000000"/>
          <w:sz w:val="24"/>
        </w:rPr>
        <w:t xml:space="preserve">In exchange for the payments and other consideration under this Agreement, to which you would not 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(except as the holder of not more than one percent (1%) of the outstanding stock of a publicly-held company),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parties agree that for purposes of this Agreement, “Conflicting Services” means any business or part thereof that develops, manufactures, markets, licenses, sells or provides (i) monoclonal antibodies for prevention or treatment of infectious diseases or (ii) any product or service that competes with monoclonal antibodies for the prevention or treatment of infectious diseases, in each case where such product or service was developed, manufactured, marketed, licensed, sold or provided, or planned to be developed, manufactured, marketed, licensed, sold or provided, by the Company at any time during your employment with the Company, except for a vaccine product or service that is being developed for, or is authorized or approved for, multi-year immunity duration, with administration no more frequent than biennially.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Confidentiality.</w:t>
      </w:r>
      <w:r>
        <w:rPr>
          <w:color w:val="000000"/>
        </w:rPr>
        <w:t xml:space="preserve"> </w:t>
      </w:r>
      <w:r>
        <w:rPr>
          <w:rFonts w:ascii="Times New Roman" w:hAnsi="Times New Roman"/>
          <w:color w:val="000000"/>
          <w:sz w:val="24"/>
        </w:rPr>
        <w:t xml:space="preserve">The provisions of this Agreement will be held in strictest confidence by you and will not be publicized or disclosed in any manner whatsoever;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(a) you may disclose this Agreement to your immediate family; (b) you may disclose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Non-Disparagement.</w:t>
      </w:r>
      <w:r>
        <w:rPr>
          <w:color w:val="000000"/>
        </w:rPr>
        <w:t xml:space="preserve"> </w:t>
      </w:r>
      <w:r>
        <w:rPr>
          <w:rFonts w:ascii="Times New Roman" w:hAnsi="Times New Roman"/>
          <w:color w:val="000000"/>
          <w:sz w:val="24"/>
        </w:rPr>
        <w:t xml:space="preserve">You agree not to disparage the Company, and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Cooperation after Termination. </w:t>
      </w:r>
      <w:r>
        <w:rPr>
          <w:rFonts w:ascii="Times New Roman" w:hAnsi="Times New Roman"/>
          <w:color w:val="000000"/>
          <w:sz w:val="24"/>
        </w:rPr>
        <w:t>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Release. </w:t>
      </w:r>
      <w:r>
        <w:rPr>
          <w:rFonts w:ascii="Times New Roman" w:hAnsi="Times New Roman"/>
          <w:color w:val="000000"/>
          <w:sz w:val="24"/>
        </w:rPr>
        <w:t>In exchange for the payments 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its personnel policies, handbooks, contracts of employment, or covenants of good faith and fair dealing;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which prohibit discrimination based on race, color, national origin, religion, genetic information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as well as state and local wage and hour laws; the National Labor Relations Act, which protects forms of concerted activity; the Family and Medical Leave Act of 1993, which requires employers to provide leaves of absence under certain circumstances; the Fair Credit Reporting Act, the Employee Polygraph Protection Act, all as amended, and any and all other federal, state or local laws, rules, regulations, constitutions, ordinances or public policies, whether known or unknown relating to employment laws, such as veterans’ reemployment rights laws and wage and hour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Your Acknowledgments and Affirmations/ Effective Date of Agreement. </w:t>
      </w:r>
      <w:r>
        <w:rPr>
          <w:rFonts w:ascii="Times New Roman" w:hAnsi="Times New Roman"/>
          <w:color w:val="000000"/>
          <w:sz w:val="24"/>
        </w:rPr>
        <w:t xml:space="preserve">You acknowledge that you are knowingly and 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prior to executing this Agreement; (c) you have been given [twenty-one (21)/forty-five (45)</w:t>
      </w:r>
      <w:r>
        <w:rPr>
          <w:rFonts w:ascii="Times New Roman" w:hAnsi="Times New Roman"/>
          <w:color w:val="000000"/>
          <w:sz w:val="16"/>
        </w:rPr>
        <w:t>1</w:t>
      </w:r>
      <w:r>
        <w:rPr>
          <w:rFonts w:ascii="Times New Roman" w:hAnsi="Times New Roman"/>
          <w:color w:val="000000"/>
          <w:sz w:val="24"/>
        </w:rPr>
        <w:t>] days to consider this Agreement (although you may choose to voluntarily execute this Agreement earlier and if you do you will sign the Consideration Period waiver below); (d) you have seven (7) business</w:t>
      </w:r>
      <w:r>
        <w:rPr>
          <w:color w:val="000000"/>
        </w:rPr>
        <w:t xml:space="preserve"> </w:t>
      </w:r>
      <w:r>
        <w:rPr>
          <w:rFonts w:ascii="Times New Roman" w:hAnsi="Times New Roman"/>
          <w:color w:val="000000"/>
          <w:sz w:val="24"/>
        </w:rPr>
        <w:t>days following your execution of this Agreement to revoke this Agreement by providing written notice of your decision to revoke the Agreement to the Company, Attention: Jill Andersen, Chief Legal Officer, 205 Church Street, New Haven CT 06510,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w:t>
      </w:r>
      <w:r>
        <w:rPr>
          <w:color w:val="000000"/>
        </w:rPr>
        <w:t xml:space="preserve"> </w:t>
      </w:r>
      <w:r>
        <w:rPr>
          <w:rFonts w:ascii="Times New Roman" w:hAnsi="Times New Roman"/>
          <w:color w:val="000000"/>
          <w:sz w:val="24"/>
        </w:rPr>
        <w:t>day after this Agreement is executed by you [and (f) you acknowledge that with your receipt of this Agreement, you also received an “Age Discrimination in Employment Act Disclosure,” attached as Exhibit A]</w:t>
      </w:r>
      <w:r>
        <w:rPr>
          <w:rFonts w:ascii="Times New Roman" w:hAnsi="Times New Roman"/>
          <w:color w:val="000000"/>
          <w:sz w:val="16"/>
        </w:rPr>
        <w:t>2</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Breach.</w:t>
      </w:r>
      <w:r>
        <w:rPr>
          <w:color w:val="000000"/>
        </w:rPr>
        <w:t xml:space="preserve"> </w:t>
      </w:r>
      <w:r>
        <w:rPr>
          <w:rFonts w:ascii="Times New Roman" w:hAnsi="Times New Roman"/>
          <w:color w:val="000000"/>
          <w:sz w:val="24"/>
        </w:rPr>
        <w:t>You agree that upon any breach of this Agreement you will forfeit all amounts paid or owing to you under this Agreement and to the extent already paid, you shall be required to return any such payments already made to you under this 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 xml:space="preserve">Except as set forth within this Agreement, including any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including with respect to any such promises, warranties or representations as set forth in the Offer Letter and the Employment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1, 2</w:t>
      </w:r>
      <w:r>
        <w:rPr>
          <w:rFonts w:ascii="Times New Roman" w:hAnsi="Times New Roman"/>
          <w:color w:val="000000"/>
          <w:sz w:val="20"/>
        </w:rPr>
        <w:t xml:space="preserve"> Applicable only in event of group layoff.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as to be rendered enforceable. This Agreement will be deemed to have been entered into and will be construed and enforced in accordance with the laws of the State of Connecticut as applied to contracts made and to be performed in whole or in part within Connecticut. To the fullest extent allowable by law, any dispute concerning this Agreement shall be resolved in the United States District Court with jurisdiction over New Haven, Connecticut, and you and the Company consent to the personal and exclusive jurisdiction of such court and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wish you good luck in your future endeavors.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Invivyd,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Julie Green</w:t>
        <w:br/>
        <w:t>Chief Human Resources Officer</w:t>
      </w:r>
    </w:p>
    <w:p>
      <w:pPr>
        <w:pStyle w:val="TextBody"/>
        <w:bidi w:val="0"/>
        <w:spacing w:before="0" w:after="480"/>
        <w:jc w:val="left"/>
        <w:rPr/>
      </w:pPr>
      <w:r>
        <w:rPr/>
        <w:t> </w:t>
      </w:r>
    </w:p>
    <w:p>
      <w:pPr>
        <w:pStyle w:val="TextBody"/>
        <w:bidi w:val="0"/>
        <w:spacing w:before="0" w:after="480"/>
        <w:jc w:val="left"/>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spacing w:before="0" w:after="480"/>
        <w:jc w:val="left"/>
        <w:rPr>
          <w:rFonts w:ascii="Times New Roman" w:hAnsi="Times New Roman"/>
          <w:sz w:val="20"/>
        </w:rPr>
      </w:pPr>
      <w:r>
        <w:rPr>
          <w:rFonts w:ascii="Times New Roman" w:hAnsi="Times New Roman"/>
          <w:color w:val="000000"/>
          <w:sz w:val="24"/>
        </w:rPr>
        <w:t>Michael Mina</w:t>
      </w:r>
      <w:r>
        <w:rPr>
          <w:rFonts w:ascii="Times New Roman" w:hAnsi="Times New Roman"/>
          <w:color w:val="000000"/>
          <w:sz w:val="20"/>
        </w:rPr>
        <w:t xml:space="preserve"> </w:t>
      </w:r>
    </w:p>
    <w:p>
      <w:pPr>
        <w:pStyle w:val="TextBody"/>
        <w:bidi w:val="0"/>
        <w:spacing w:before="0" w:after="48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CONSIDERATION PERIOD</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I, ____________________, understand that I have the right to take at least [21][45] days to consider whether to sign this Agreement, which I received on ___________ __, 20__. If I elect to sign this Agreement before [21][45] days have passed, I understand I am to sign and date below this paragraph to confirm that I knowingly and voluntarily agree to waive the 21-day consideration period.</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Agreed: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ivvd-ex31_1.htm"/>
      <w:bookmarkStart w:id="28" w:name="ksivvdex31_1"/>
      <w:bookmarkEnd w:id="27"/>
      <w:bookmarkEnd w:id="28"/>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Duke, Jr.,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Invivyd,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1951"/>
        <w:gridCol w:w="146"/>
        <w:gridCol w:w="406"/>
        <w:gridCol w:w="769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ivvd-ex32_1.htm"/>
      <w:bookmarkStart w:id="30" w:name="ksivvd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Invivyd,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199" w:type="dxa"/>
        <w:jc w:val="left"/>
        <w:tblInd w:w="0" w:type="dxa"/>
        <w:tblLayout w:type="fixed"/>
        <w:tblCellMar>
          <w:top w:w="28" w:type="dxa"/>
          <w:left w:w="28" w:type="dxa"/>
          <w:bottom w:w="28" w:type="dxa"/>
          <w:right w:w="28" w:type="dxa"/>
        </w:tblCellMar>
      </w:tblPr>
      <w:tblGrid>
        <w:gridCol w:w="1951"/>
        <w:gridCol w:w="146"/>
        <w:gridCol w:w="406"/>
        <w:gridCol w:w="769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Duke, Jr.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038/000119312521242044/d211424dex31.htm" TargetMode="External"/><Relationship Id="rId3" Type="http://schemas.openxmlformats.org/officeDocument/2006/relationships/hyperlink" Target="https://www.sec.gov/Archives/edgar/data/1832038/000119312522243285/d388436dex31.htm" TargetMode="External"/><Relationship Id="rId4" Type="http://schemas.openxmlformats.org/officeDocument/2006/relationships/hyperlink" Target="https://www.sec.gov/Archives/edgar/data/1832038/000119312523154233/d473409dex31.htm" TargetMode="External"/><Relationship Id="rId5" Type="http://schemas.openxmlformats.org/officeDocument/2006/relationships/hyperlink" Target="https://www.sec.gov/Archives/edgar/data/1832038/000119312522243285/d388436dex32.htm" TargetMode="External"/><Relationship Id="rId6" Type="http://schemas.openxmlformats.org/officeDocument/2006/relationships/hyperlink" Target="https://www.sec.gov/Archives/edgar/data/1832038/000119312523154233/d473409dex32.htm" TargetMode="External"/><Relationship Id="rId7" Type="http://schemas.openxmlformats.org/officeDocument/2006/relationships/hyperlink" Target="https://www.sec.gov/Archives/edgar/data/1832038/000119312522253372/d392092dex33.htm" TargetMode="External"/><Relationship Id="rId8" Type="http://schemas.openxmlformats.org/officeDocument/2006/relationships/hyperlink" Target="https://www.sec.gov/Archives/edgar/data/1832038/000119312522253372/d392092dex3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58253</Words>
  <Characters>316446</Characters>
  <CharactersWithSpaces>375380</CharactersWithSpaces>
  <Paragraphs>6136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