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1200" w:right="100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Jeremy Gowler as Chief Operating Officer and Chief Commercial Officer</w:t>
      </w:r>
    </w:p>
    <w:p>
      <w:pPr>
        <w:spacing w:after="0" w:line="119"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On December 6, 2022, Invivyd, Inc. (the “Company”) announced the appointment of Jeremy Gowler, age 46, as the Company’s Chief Operating Officer and Chief Commercial Officer, effective as of December 16, 2022 (the “Gowler Effective Date”). Mr. Gowler was appointed Chief Operating Officer and Chief Commercial Officer by the Board of Directors (the “Board”) of the Company on September 16, 2022.</w:t>
      </w:r>
    </w:p>
    <w:p>
      <w:pPr>
        <w:spacing w:after="0" w:line="17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Mr. Gowler has 20 years of experience in senior commercial leadership roles in the pharmaceutical and biotech industry. Most recently,</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Mr. Gowler has held the role of Global Head of Commercial for the Biopharmaceutical business of Sandoz (a division of Novartis) from April 2020 until his departure in December 2022 to join the Company. Mr. Gowler started his career in the pharmaceutical industry in 2002 with Novartis as a medical representative. He progressed through roles of increasing responsibility with Novartis in the areas of marketing, sales, medical affairs and operations in Canada, the US and in Switzerland until his departure in 2014. Mr. Gowler then joined PaxVax, a private equity backed biotechnology company, which was focused on developing and commercializing specialty human vaccines. He held the role of VP, Global Commercial at PaxVax from 2014 to October 2018. PaxVax was sold to Emergent Biosolutions in 2018, where Mr. Gowler became VP of Global Commercial for Emergent’s vaccines business unit until his departure for Sandoz in October 2020. Mr. Gowler holds a BSc with a double major in Biology and Environmental Studies from the University of Victoria and a Dipl T in Marketing Management from the British Columbia Institute of Technology.</w:t>
      </w:r>
    </w:p>
    <w:p>
      <w:pPr>
        <w:spacing w:after="0" w:line="194"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Mr. Gowler’s appointment, the Company entered into an employment agreement with Mr. Gowler (the “Employment Agreement”). The Employment Agreement provides that Mr. Gowler’s employment will continue until either the Company or Mr. Gowler terminates Mr. Gowler’s employment in accordance with the terms of the Employment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the Employment Agreement, Mr. Gowler is entitled to receive an annual base salary of $440,000, which will be reviewed at least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annually and will be subject to adjustment from time to time, as determined by the Board or the Compensation Committee of the Board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In addition, pursuant to the Employment Agreement, Mr. Gowler is entitled to receive a one-time signing bonus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 within 30 days from the Gowler Effective Date, which will be earned on the twelve (12) month anniversary of the Gowler Effective Date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potential repayment as contemplated in the Employment Agreement. In addition, pursuant to the Employment Agreement, Mr. Gowler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eligible to receive an annual cash bonus, which is based on the achievement of certain performance goals and objectives as reasonably determined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calculated as a percentage of his annual base salary, and which will be determined by the Compensation Committee.</w:t>
      </w:r>
    </w:p>
    <w:p>
      <w:pPr>
        <w:spacing w:after="0" w:line="9"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8"/>
          <w:szCs w:val="18"/>
          <w:color w:val="auto"/>
        </w:rPr>
        <w:t>Mr. Gowler’s initial target annual bonus is 40% of his annual base salary in effect on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the applicable performance period. For calendar year 2022, Mr. Gowler will be eligible to earn his full target bonus based on his base salary as of the Gowler Effective Date even though he will not be employed by the Company for the full calendar year, provided however the amount earned and paid will be in the sole discretion of the Compensation Committee consistent with the determinations of the Compensation Committee of the corporate multiplier for calendar year 2022.</w:t>
      </w:r>
    </w:p>
    <w:p>
      <w:pPr>
        <w:spacing w:after="0" w:line="199" w:lineRule="exact"/>
        <w:rPr>
          <w:sz w:val="20"/>
          <w:szCs w:val="20"/>
          <w:color w:val="auto"/>
        </w:rPr>
      </w:pPr>
    </w:p>
    <w:p>
      <w:pPr>
        <w:ind w:right="80" w:firstLine="440"/>
        <w:spacing w:after="0" w:line="238" w:lineRule="auto"/>
        <w:rPr>
          <w:sz w:val="20"/>
          <w:szCs w:val="20"/>
          <w:color w:val="auto"/>
        </w:rPr>
      </w:pPr>
      <w:r>
        <w:rPr>
          <w:rFonts w:ascii="Times New Roman" w:cs="Times New Roman" w:eastAsia="Times New Roman" w:hAnsi="Times New Roman"/>
          <w:sz w:val="18"/>
          <w:szCs w:val="18"/>
          <w:color w:val="auto"/>
        </w:rPr>
        <w:t>In addition, the Company granted Mr. Gowler an option to purchase 625,000 shares of the Company’s common stock at an exercise price equal to the closing sales price for the Company’s common stock as quoted on the Nasdaq Stock Market on the Gowler Effective Date (the “Option Grant”). Twenty-five percent of the shares underlying the Option Grant will vest on the first anniversary of the Gowler Effective Date with the remaining shares underlying the Option Grant vesting over the subsequent three-year period in substantially equal monthly installments at a rate of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total shares subject to the Option Grant each month, subject to Mr. Gowler’s continuous service to the Company as of each vesting date. The Option Grant was made pursuant to the Company’s 2021 Equity Incentive Plan (the “Plan”) and the Company’s form of option award agreement (the “Award Agreement”).</w:t>
      </w:r>
    </w:p>
    <w:p>
      <w:pPr>
        <w:sectPr>
          <w:pgSz w:w="11900" w:h="16838" w:orient="portrait"/>
          <w:cols w:equalWidth="0" w:num="1">
            <w:col w:w="11000"/>
          </w:cols>
          <w:pgMar w:left="440" w:top="293" w:right="459" w:bottom="1440" w:gutter="0" w:footer="0" w:header="0"/>
        </w:sectPr>
      </w:pPr>
    </w:p>
    <w:bookmarkStart w:id="2" w:name="page3"/>
    <w:bookmarkEnd w:id="2"/>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Employment Agreement provides for standard benefits, such as paid time off, reimbursement of business expenses, and participation in the Company’s employee benefit plans and programs. In the event that Mr. Gowler’s employment terminates due to death or a disability, he will be entitled to accrued obligations and payment of any unpaid annual bonus earned based on achievement of the applicable performance goals and objectives so long as his employment terminates after the completion of the calendar year but prior to the date of payment of the bonus (the “Earned Bonus”). In the event that Mr. Gowler’s employment is terminated, other than during the period commencing on the earlier of (x) the signing of a definitive agreement that, if closed, would result in a “change in control” (as defined in the Plan) and (y) the date that is three (3) months prior to the closing of a change in control and ending on the date that is twelve (12) months following a change in control (the “Change in Control Period”), by the Company without “cause” or by him for “good reason” (each as defined in the Employment Agreement), and subject to the delivery to the Company of a separation agreement that includes a general release of claims and such separation agreement becoming fully effective, Mr. Gowler will receive cash severance equal to 9 months of his base salary, as well as the Earned Bonus, if applicable, and 9 months continuation of benefits. In addition, the unvested portion of any outstanding time-based equity awards held by Mr. Gowler as of the date of termination would remain outstanding for 3 months following such date of termination.</w:t>
      </w:r>
    </w:p>
    <w:p>
      <w:pPr>
        <w:spacing w:after="0" w:line="190"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In the event that Mr. Gowler’s employment is terminated by the Company without cause or by him for good reason, in either case, during the Change in Control Period, and subject to his delivery to the Company of a separation agreement that includes a general release of claims and subject to such separation agreement becoming fully effective, Mr. Gowler will receive cash severance equal to the sum of 12 months of his base salary and his target bonus for the year of termination, payable in a lump sum, as well as the Earned Bonus, if applicable, and 12 months continuation of benefits. In such case, Mr. Gowler will also be entitled to immediate acceleration and full vesting of any time-based equity awards, as if his employment continued until the later of the date of termination (or, if later, the change in control) or the effective date of the separation agreement.</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his appointment. Mr. Gowler also entered into (i) an indemnification agreement in the form previously approved by the Board, which form is filed as Exhibit 10.4 to the Company’s Registration Statement on Form S-1/A, filed with the U.S. Securities and Exchange Commission on August 2, 2021 (the “Indemnification Agreement”), and (ii) the Company’s standard form of Employee Proprietary Information and Inventions Assignment Agreement (the “PIAA”), which, among other things, prohibits him from competing with the Company, soliciting the Company’s employees and customers and disclosing confidential information during the term of his engagement and for a specified time thereafter.</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Other than with respect to the Employment Agreement, the Award Agreement, the Indemnification Agreement and the PIAA, there are no arrangements or understandings between Mr. Gowler and any other persons pursuant to which Mr. Gowler was appointed as Chief Operating Officer and Chief Commercial Officer of the Company. There are also no family relationships between Mr. Gowler and any director or executive officer of the Company and Mr. Gowler has no direct or indirect interest in any transaction or proposed transaction required to be disclosed pursuant to Item 404(a) of Regulation S-K.</w:t>
      </w:r>
    </w:p>
    <w:p>
      <w:pPr>
        <w:spacing w:after="0" w:line="183"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the Employment Agreement does not purport to be complete and is qualified in its entirety by reference to the complete text of the Employment Agreement, which is filed herewith as Exhibit 10.1 and is incorporated by reference in this Item 5.02.</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660" w:firstLine="440"/>
        <w:spacing w:after="0" w:line="266" w:lineRule="auto"/>
        <w:rPr>
          <w:sz w:val="20"/>
          <w:szCs w:val="20"/>
          <w:color w:val="auto"/>
        </w:rPr>
      </w:pPr>
      <w:r>
        <w:rPr>
          <w:rFonts w:ascii="Times New Roman" w:cs="Times New Roman" w:eastAsia="Times New Roman" w:hAnsi="Times New Roman"/>
          <w:sz w:val="18"/>
          <w:szCs w:val="18"/>
          <w:color w:val="auto"/>
        </w:rPr>
        <w:t>On December 6, 2022, the Company issued a press release announcing Mr. Gowler’s appointment as Chief Operating Officer and Chief Commercial Officer, as well as other organizational changes. A copy of the press release is filed herewith as Exhibit 99.1 and is incorporated by reference in this Item 8.01.</w:t>
      </w:r>
    </w:p>
    <w:p>
      <w:pPr>
        <w:sectPr>
          <w:pgSz w:w="11900" w:h="16838" w:orient="portrait"/>
          <w:cols w:equalWidth="0" w:num="1">
            <w:col w:w="11020"/>
          </w:cols>
          <w:pgMar w:left="440" w:top="297" w:right="43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Employment Agreement, dated September 17, 2022, by and between Invivyd, Inc. and Jeremy Gowler</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December 6, 2022</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019"/>
          </w:cols>
          <w:pgMar w:left="440" w:top="293" w:right="1440"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0940"/>
          </w:cols>
          <w:pgMar w:left="440" w:top="293" w:right="5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This Employment Agreement (“</w:t>
      </w:r>
      <w:r>
        <w:rPr>
          <w:rFonts w:ascii="Times New Roman" w:cs="Times New Roman" w:eastAsia="Times New Roman" w:hAnsi="Times New Roman"/>
          <w:sz w:val="18"/>
          <w:szCs w:val="18"/>
          <w:b w:val="1"/>
          <w:bCs w:val="1"/>
          <w:i w:val="1"/>
          <w:iCs w:val="1"/>
          <w:u w:val="single" w:color="auto"/>
          <w:color w:val="auto"/>
        </w:rPr>
        <w:t>Agreement</w:t>
      </w:r>
      <w:r>
        <w:rPr>
          <w:rFonts w:ascii="Times New Roman" w:cs="Times New Roman" w:eastAsia="Times New Roman" w:hAnsi="Times New Roman"/>
          <w:sz w:val="18"/>
          <w:szCs w:val="18"/>
          <w:color w:val="auto"/>
        </w:rPr>
        <w:t>”) is made between Invivyd, Inc., a Delaware corporation (the “</w:t>
      </w:r>
      <w:r>
        <w:rPr>
          <w:rFonts w:ascii="Times New Roman" w:cs="Times New Roman" w:eastAsia="Times New Roman" w:hAnsi="Times New Roman"/>
          <w:sz w:val="18"/>
          <w:szCs w:val="18"/>
          <w:b w:val="1"/>
          <w:bCs w:val="1"/>
          <w:i w:val="1"/>
          <w:iCs w:val="1"/>
          <w:u w:val="single" w:color="auto"/>
          <w:color w:val="auto"/>
        </w:rPr>
        <w:t>Company</w:t>
      </w:r>
      <w:r>
        <w:rPr>
          <w:rFonts w:ascii="Times New Roman" w:cs="Times New Roman" w:eastAsia="Times New Roman" w:hAnsi="Times New Roman"/>
          <w:sz w:val="18"/>
          <w:szCs w:val="18"/>
          <w:color w:val="auto"/>
        </w:rPr>
        <w:t>”), and Jeremy Gowler (“</w:t>
      </w:r>
      <w:r>
        <w:rPr>
          <w:rFonts w:ascii="Times New Roman" w:cs="Times New Roman" w:eastAsia="Times New Roman" w:hAnsi="Times New Roman"/>
          <w:sz w:val="18"/>
          <w:szCs w:val="18"/>
          <w:b w:val="1"/>
          <w:bCs w:val="1"/>
          <w:i w:val="1"/>
          <w:iCs w:val="1"/>
          <w:u w:val="single" w:color="auto"/>
          <w:color w:val="auto"/>
        </w:rPr>
        <w:t>Executive</w:t>
      </w:r>
      <w:r>
        <w:rPr>
          <w:rFonts w:ascii="Times New Roman" w:cs="Times New Roman" w:eastAsia="Times New Roman" w:hAnsi="Times New Roman"/>
          <w:sz w:val="18"/>
          <w:szCs w:val="18"/>
          <w:color w:val="auto"/>
        </w:rPr>
        <w:t>”), this 17th day of September 2022.</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desires for Executive to provide services to the Company, and wishes to provide Executive with certain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benefits in return for such employment services, and Executive wishes to be employed by the Company and to provide personal services to the Company in return for certain compensation and benefits; and</w:t>
      </w:r>
    </w:p>
    <w:p>
      <w:pPr>
        <w:spacing w:after="0" w:line="171"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Executive desire for this Agreement to be effective as of December 15, 2022; the actual effective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be Executive’s first day of employment (the “</w:t>
      </w:r>
      <w:r>
        <w:rPr>
          <w:rFonts w:ascii="Times New Roman" w:cs="Times New Roman" w:eastAsia="Times New Roman" w:hAnsi="Times New Roman"/>
          <w:sz w:val="18"/>
          <w:szCs w:val="18"/>
          <w:b w:val="1"/>
          <w:bCs w:val="1"/>
          <w:i w:val="1"/>
          <w:iCs w:val="1"/>
          <w:u w:val="single" w:color="auto"/>
          <w:color w:val="auto"/>
        </w:rPr>
        <w:t>Effective Date</w:t>
      </w:r>
      <w:r>
        <w:rPr>
          <w:rFonts w:ascii="Times New Roman" w:cs="Times New Roman" w:eastAsia="Times New Roman" w:hAnsi="Times New Roman"/>
          <w:sz w:val="18"/>
          <w:szCs w:val="18"/>
          <w:color w:val="auto"/>
        </w:rPr>
        <w:t>”); provided however, if Executive is unable to start employment with and provide services to the Company on the terms and conditions set forth herein on or before March 31, 2023, this Agreement shall be deemed null and void.</w:t>
      </w:r>
    </w:p>
    <w:p>
      <w:pPr>
        <w:spacing w:after="0" w:line="176"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herein contained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is hereby acknowledged, the parties agree as follows:</w:t>
      </w:r>
    </w:p>
    <w:p>
      <w:pPr>
        <w:spacing w:after="0" w:line="51" w:lineRule="exact"/>
        <w:rPr>
          <w:sz w:val="20"/>
          <w:szCs w:val="20"/>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80" w:firstLine="987"/>
        <w:spacing w:after="0" w:line="261" w:lineRule="auto"/>
        <w:tabs>
          <w:tab w:leader="none" w:pos="123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employ Executive and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18"/>
          <w:szCs w:val="18"/>
          <w:b w:val="1"/>
          <w:bCs w:val="1"/>
          <w:i w:val="1"/>
          <w:iCs w:val="1"/>
          <w:u w:val="single" w:color="auto"/>
          <w:color w:val="auto"/>
        </w:rPr>
        <w:t>Term</w:t>
      </w:r>
      <w:r>
        <w:rPr>
          <w:rFonts w:ascii="Times New Roman" w:cs="Times New Roman" w:eastAsia="Times New Roman" w:hAnsi="Times New Roman"/>
          <w:sz w:val="18"/>
          <w:szCs w:val="18"/>
          <w:color w:val="auto"/>
        </w:rPr>
        <w:t>”). Executive’s employment with the Company shall be “at will,” meaning that Executive’s employment may be terminated by the Company or Executive at any time and for any reason subject to the terms of this Agreement.</w:t>
      </w:r>
    </w:p>
    <w:p>
      <w:pPr>
        <w:spacing w:after="0" w:line="179"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Executive shall serve as the Chief Operating Officer and Chief Commercial Officer of the Company and shall have such powers and duties as customarily associated with the office of Chief Operating Officer and Chief Commercial Officer, and as may from time to time be prescribed by the Chief Executive Officer of the Company (the “</w:t>
      </w:r>
      <w:r>
        <w:rPr>
          <w:rFonts w:ascii="Times New Roman" w:cs="Times New Roman" w:eastAsia="Times New Roman" w:hAnsi="Times New Roman"/>
          <w:sz w:val="18"/>
          <w:szCs w:val="18"/>
          <w:b w:val="1"/>
          <w:bCs w:val="1"/>
          <w:i w:val="1"/>
          <w:iCs w:val="1"/>
          <w:u w:val="single" w:color="auto"/>
          <w:color w:val="auto"/>
        </w:rPr>
        <w:t>CEO</w:t>
      </w:r>
      <w:r>
        <w:rPr>
          <w:rFonts w:ascii="Times New Roman" w:cs="Times New Roman" w:eastAsia="Times New Roman" w:hAnsi="Times New Roman"/>
          <w:sz w:val="18"/>
          <w:szCs w:val="18"/>
          <w:color w:val="auto"/>
        </w:rPr>
        <w:t>”) or the Company’s Board of Directors (the “</w:t>
      </w:r>
      <w:r>
        <w:rPr>
          <w:rFonts w:ascii="Times New Roman" w:cs="Times New Roman" w:eastAsia="Times New Roman" w:hAnsi="Times New Roman"/>
          <w:sz w:val="18"/>
          <w:szCs w:val="18"/>
          <w:b w:val="1"/>
          <w:bCs w:val="1"/>
          <w:i w:val="1"/>
          <w:iCs w:val="1"/>
          <w:u w:val="single" w:color="auto"/>
          <w:color w:val="auto"/>
        </w:rPr>
        <w:t>Board</w:t>
      </w:r>
      <w:r>
        <w:rPr>
          <w:rFonts w:ascii="Times New Roman" w:cs="Times New Roman" w:eastAsia="Times New Roman" w:hAnsi="Times New Roman"/>
          <w:sz w:val="18"/>
          <w:szCs w:val="18"/>
          <w:color w:val="auto"/>
        </w:rPr>
        <w:t>”). Executive shall report to the CEO and shall be subject to the direction and control of the CEO and the Board. Nothing in this Agreement shall prohibit Executive from reasonably delegating parts of the responsibilities set forth in or contemplated by this Section 1(b) to other employees of the Company or its subsidiaries.</w:t>
      </w:r>
    </w:p>
    <w:p>
      <w:pPr>
        <w:spacing w:after="0" w:line="187"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Activities</w:t>
      </w:r>
      <w:r>
        <w:rPr>
          <w:rFonts w:ascii="Times New Roman" w:cs="Times New Roman" w:eastAsia="Times New Roman" w:hAnsi="Times New Roman"/>
          <w:sz w:val="18"/>
          <w:szCs w:val="18"/>
          <w:color w:val="auto"/>
        </w:rPr>
        <w:t>. Executive will use good faith efforts to discharge Executive’s obligations under this Agreement to the best of Executive’s ability. Executive will devote substantially all of Executive’s business efforts and time to the Company. Executive agrees not to engage actively in any other employment, occupation, or consulting activity for any direct or indirect remuneration which may or could potentially constitute a conflict of interest or</w:t>
      </w:r>
    </w:p>
    <w:p>
      <w:pPr>
        <w:sectPr>
          <w:pgSz w:w="11900" w:h="16838" w:orient="portrait"/>
          <w:cols w:equalWidth="0" w:num="1">
            <w:col w:w="11020"/>
          </w:cols>
          <w:pgMar w:left="440" w:top="117" w:right="439" w:bottom="1440" w:gutter="0" w:footer="0" w:header="0"/>
        </w:sectPr>
      </w:pPr>
    </w:p>
    <w:bookmarkStart w:id="6" w:name="page7"/>
    <w:bookmarkEnd w:id="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otherwise interfere with Executive’s obligations to the Company without the prior approval of the CEO or Board; provided, however, that Executive may, without such approval, serve in any capacity with any civic, educational, or charitable organization, participate in industry affairs and manage Executive’s family’s personal passive investments, and engage in the activities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Agreement, provided that in each case such services do not materially interfere with Executive’s obligations to the Company, create a conflict of interest, violate any of Executive’s Continuing Obligations (as defined in Section 9 below) or cause any reputational damage to the Company as reasonably determined by the Board. Executive may retain any compensation or benefits received as a result of any such consented to service without any offset in respect of any compensation or benefits to be provided hereunder.</w:t>
      </w:r>
    </w:p>
    <w:p>
      <w:pPr>
        <w:spacing w:after="0" w:line="189" w:lineRule="exact"/>
        <w:rPr>
          <w:sz w:val="20"/>
          <w:szCs w:val="20"/>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Related Matters</w:t>
      </w:r>
      <w:r>
        <w:rPr>
          <w:rFonts w:ascii="Times New Roman" w:cs="Times New Roman" w:eastAsia="Times New Roman" w:hAnsi="Times New Roman"/>
          <w:sz w:val="18"/>
          <w:szCs w:val="18"/>
          <w:color w:val="auto"/>
        </w:rPr>
        <w:t>. This Section 2 sets forth the compensation and benefits to be provided to Executive during the Term.</w:t>
      </w:r>
    </w:p>
    <w:p>
      <w:pPr>
        <w:spacing w:after="0" w:line="225" w:lineRule="exact"/>
        <w:rPr>
          <w:rFonts w:ascii="Times New Roman" w:cs="Times New Roman" w:eastAsia="Times New Roman" w:hAnsi="Times New Roman"/>
          <w:sz w:val="18"/>
          <w:szCs w:val="18"/>
          <w:color w:val="auto"/>
        </w:rPr>
      </w:pPr>
    </w:p>
    <w:p>
      <w:pPr>
        <w:ind w:firstLine="987"/>
        <w:spacing w:after="0" w:line="233" w:lineRule="auto"/>
        <w:tabs>
          <w:tab w:leader="none" w:pos="12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will pay Executive, as compensation for the performance of Executive’s duties and obligations hereunder, a base salary at the rate of $440,000 per year. Executive’s salary shall be subject to annual review not later than March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each year for possible increase by the Board or the Compensation Committee of the Board (the “</w:t>
      </w:r>
      <w:r>
        <w:rPr>
          <w:rFonts w:ascii="Times New Roman" w:cs="Times New Roman" w:eastAsia="Times New Roman" w:hAnsi="Times New Roman"/>
          <w:sz w:val="18"/>
          <w:szCs w:val="18"/>
          <w:b w:val="1"/>
          <w:bCs w:val="1"/>
          <w:i w:val="1"/>
          <w:iCs w:val="1"/>
          <w:u w:val="single" w:color="auto"/>
          <w:color w:val="auto"/>
        </w:rPr>
        <w:t>Compensation Committee</w:t>
      </w:r>
      <w:r>
        <w:rPr>
          <w:rFonts w:ascii="Times New Roman" w:cs="Times New Roman" w:eastAsia="Times New Roman" w:hAnsi="Times New Roman"/>
          <w:sz w:val="18"/>
          <w:szCs w:val="18"/>
          <w:color w:val="auto"/>
        </w:rPr>
        <w:t>”), which may be adjusted from time to time. The base salary in effect at any given time is referred to herein as “</w:t>
      </w:r>
      <w:r>
        <w:rPr>
          <w:rFonts w:ascii="Times New Roman" w:cs="Times New Roman" w:eastAsia="Times New Roman" w:hAnsi="Times New Roman"/>
          <w:sz w:val="18"/>
          <w:szCs w:val="18"/>
          <w:b w:val="1"/>
          <w:bCs w:val="1"/>
          <w:i w:val="1"/>
          <w:iCs w:val="1"/>
          <w:u w:val="single" w:color="auto"/>
          <w:color w:val="auto"/>
        </w:rPr>
        <w:t>Base Salary</w:t>
      </w:r>
      <w:r>
        <w:rPr>
          <w:rFonts w:ascii="Times New Roman" w:cs="Times New Roman" w:eastAsia="Times New Roman" w:hAnsi="Times New Roman"/>
          <w:sz w:val="18"/>
          <w:szCs w:val="18"/>
          <w:color w:val="auto"/>
        </w:rPr>
        <w:t>.” The Base Salary shall be payable in a manner that is consistent with the Company’s usual payroll practices for its executive officers.</w:t>
      </w:r>
    </w:p>
    <w:p>
      <w:pPr>
        <w:spacing w:after="0" w:line="201"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 On Bonus</w:t>
      </w:r>
      <w:r>
        <w:rPr>
          <w:rFonts w:ascii="Times New Roman" w:cs="Times New Roman" w:eastAsia="Times New Roman" w:hAnsi="Times New Roman"/>
          <w:sz w:val="18"/>
          <w:szCs w:val="18"/>
          <w:color w:val="auto"/>
        </w:rPr>
        <w:t>. The Company will pay Executive a one-time signing bonus of $150,000.00 within 30 days from the Effective Date (the “</w:t>
      </w:r>
      <w:r>
        <w:rPr>
          <w:rFonts w:ascii="Times New Roman" w:cs="Times New Roman" w:eastAsia="Times New Roman" w:hAnsi="Times New Roman"/>
          <w:sz w:val="18"/>
          <w:szCs w:val="18"/>
          <w:b w:val="1"/>
          <w:bCs w:val="1"/>
          <w:i w:val="1"/>
          <w:iCs w:val="1"/>
          <w:color w:val="auto"/>
        </w:rPr>
        <w:t>Signing Bonus</w:t>
      </w:r>
      <w:r>
        <w:rPr>
          <w:rFonts w:ascii="Times New Roman" w:cs="Times New Roman" w:eastAsia="Times New Roman" w:hAnsi="Times New Roman"/>
          <w:sz w:val="18"/>
          <w:szCs w:val="18"/>
          <w:color w:val="auto"/>
        </w:rPr>
        <w:t>”). The Signing Bonus will be considered earned on the twelve (12) month anniversary of the Effective Date. If Executive is terminated for Cause (as defined below) or resigns from his employment without Good Reason (as defined below) prior to the twelve (12) month anniversary date, Executive will be required to, and hereby agrees to, repay the net, after-tax amount of the Signing Bonus to the Company in full within thirty (30) days of Executive’s effective termination date. If necessary, the Company may deduct, in accordance with applicable law, any amounts of this Signing Bonus owed by Executive from any payments the Company owes Executive, including Executive’s regular or final paycheck and any expense payments.</w:t>
      </w:r>
    </w:p>
    <w:p>
      <w:pPr>
        <w:spacing w:after="0" w:line="188" w:lineRule="exact"/>
        <w:rPr>
          <w:rFonts w:ascii="Times New Roman" w:cs="Times New Roman" w:eastAsia="Times New Roman" w:hAnsi="Times New Roman"/>
          <w:sz w:val="18"/>
          <w:szCs w:val="18"/>
          <w:color w:val="auto"/>
        </w:rPr>
      </w:pPr>
    </w:p>
    <w:p>
      <w:pPr>
        <w:ind w:firstLine="987"/>
        <w:spacing w:after="0" w:line="239" w:lineRule="auto"/>
        <w:tabs>
          <w:tab w:leader="none" w:pos="12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Executive shall be eligible to participate in an annual cash incentive compensation plan that the Company offers to its executive officers (the “</w:t>
      </w:r>
      <w:r>
        <w:rPr>
          <w:rFonts w:ascii="Times New Roman" w:cs="Times New Roman" w:eastAsia="Times New Roman" w:hAnsi="Times New Roman"/>
          <w:sz w:val="18"/>
          <w:szCs w:val="18"/>
          <w:b w:val="1"/>
          <w:bCs w:val="1"/>
          <w:i w:val="1"/>
          <w:iCs w:val="1"/>
          <w:u w:val="single" w:color="auto"/>
          <w:color w:val="auto"/>
        </w:rPr>
        <w:t>Annual Bonus Plan</w:t>
      </w:r>
      <w:r>
        <w:rPr>
          <w:rFonts w:ascii="Times New Roman" w:cs="Times New Roman" w:eastAsia="Times New Roman" w:hAnsi="Times New Roman"/>
          <w:sz w:val="18"/>
          <w:szCs w:val="18"/>
          <w:color w:val="auto"/>
        </w:rPr>
        <w:t>”). Executive will be eligible to earn an annual bonus for each full calendar year completed (the “</w:t>
      </w:r>
      <w:r>
        <w:rPr>
          <w:rFonts w:ascii="Times New Roman" w:cs="Times New Roman" w:eastAsia="Times New Roman" w:hAnsi="Times New Roman"/>
          <w:sz w:val="18"/>
          <w:szCs w:val="18"/>
          <w:b w:val="1"/>
          <w:bCs w:val="1"/>
          <w:i w:val="1"/>
          <w:iCs w:val="1"/>
          <w:u w:val="single" w:color="auto"/>
          <w:color w:val="auto"/>
        </w:rPr>
        <w:t>Annual Bonus</w:t>
      </w:r>
      <w:r>
        <w:rPr>
          <w:rFonts w:ascii="Times New Roman" w:cs="Times New Roman" w:eastAsia="Times New Roman" w:hAnsi="Times New Roman"/>
          <w:sz w:val="18"/>
          <w:szCs w:val="18"/>
          <w:color w:val="auto"/>
        </w:rPr>
        <w:t>”). Executive’s target Annual Bonus will be forty percent (40%) of Executive’s Base Salary (the “</w:t>
      </w:r>
      <w:r>
        <w:rPr>
          <w:rFonts w:ascii="Times New Roman" w:cs="Times New Roman" w:eastAsia="Times New Roman" w:hAnsi="Times New Roman"/>
          <w:sz w:val="18"/>
          <w:szCs w:val="18"/>
          <w:b w:val="1"/>
          <w:bCs w:val="1"/>
          <w:i w:val="1"/>
          <w:iCs w:val="1"/>
          <w:u w:val="single" w:color="auto"/>
          <w:color w:val="auto"/>
        </w:rPr>
        <w:t>Target Bonus</w:t>
      </w:r>
      <w:r>
        <w:rPr>
          <w:rFonts w:ascii="Times New Roman" w:cs="Times New Roman" w:eastAsia="Times New Roman" w:hAnsi="Times New Roman"/>
          <w:sz w:val="18"/>
          <w:szCs w:val="18"/>
          <w:color w:val="auto"/>
        </w:rPr>
        <w:t>”) in effect on January 1st of the applicable performance period. The actual Annual Bonus payable to Executive with respect to a performance period will be determined by the Compensation Committee based on achieving performance goals and objectives for such calendar year as reasonably determined by the Compensation Committee. Executive’s Annual Bonus shall be paid as soon as administratively practicable after the end of the performance period, but in no event later than the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immediately following such period; provided, that Executive must remain continuously employed by the Company through the date on which the Annual Bonus is paid, subject to any recoupment as set forth in Section 23 of</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7" w:name="page8"/>
    <w:bookmarkEnd w:id="7"/>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in order to be eligible to earn and receive the Annual Bonus (except as otherwise provided in Section 4(c) or 5(a)). To the extent the Effective Date is in calendar year 2022, for calendar year 2022, Executive will be eligible to earn the full Target Bonus based on Executive’s Base Salary as of the Effective Date, even though he will not be employed by the Company for the full calendar year, provided however the amount earned and paid will be in the sole discretion of the Compensation Committee consistent with the determinations of the Compensation Committee of the corporate multiplier for calendar year 2022.</w:t>
      </w:r>
    </w:p>
    <w:p>
      <w:pPr>
        <w:spacing w:after="0" w:line="183" w:lineRule="exact"/>
        <w:rPr>
          <w:sz w:val="20"/>
          <w:szCs w:val="20"/>
          <w:color w:val="auto"/>
        </w:rPr>
      </w:pPr>
    </w:p>
    <w:p>
      <w:pPr>
        <w:ind w:firstLine="987"/>
        <w:spacing w:after="0" w:line="253"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Award</w:t>
      </w:r>
      <w:r>
        <w:rPr>
          <w:rFonts w:ascii="Times New Roman" w:cs="Times New Roman" w:eastAsia="Times New Roman" w:hAnsi="Times New Roman"/>
          <w:sz w:val="18"/>
          <w:szCs w:val="18"/>
          <w:color w:val="auto"/>
        </w:rPr>
        <w:t>. Subject to approval by the Board (or any authorized committee thereof), the Company shall grant Executive an option (the “</w:t>
      </w:r>
      <w:r>
        <w:rPr>
          <w:rFonts w:ascii="Times New Roman" w:cs="Times New Roman" w:eastAsia="Times New Roman" w:hAnsi="Times New Roman"/>
          <w:sz w:val="18"/>
          <w:szCs w:val="18"/>
          <w:b w:val="1"/>
          <w:bCs w:val="1"/>
          <w:i w:val="1"/>
          <w:iCs w:val="1"/>
          <w:u w:val="single" w:color="auto"/>
          <w:color w:val="auto"/>
        </w:rPr>
        <w:t>Option</w:t>
      </w:r>
      <w:r>
        <w:rPr>
          <w:rFonts w:ascii="Times New Roman" w:cs="Times New Roman" w:eastAsia="Times New Roman" w:hAnsi="Times New Roman"/>
          <w:sz w:val="18"/>
          <w:szCs w:val="18"/>
          <w:color w:val="auto"/>
        </w:rPr>
        <w:t>”) to purchase 625,000 shares of the Company’s common stock, with an exercise price equal to the fair market value of a share of the Company’s common stock on the grant date, as determined by the Board (or any authorized committee thereof), pursuant to the terms and conditions of the Company’s 2021 Equity Incentive Plan (the “</w:t>
      </w:r>
      <w:r>
        <w:rPr>
          <w:rFonts w:ascii="Times New Roman" w:cs="Times New Roman" w:eastAsia="Times New Roman" w:hAnsi="Times New Roman"/>
          <w:sz w:val="18"/>
          <w:szCs w:val="18"/>
          <w:b w:val="1"/>
          <w:bCs w:val="1"/>
          <w:i w:val="1"/>
          <w:iCs w:val="1"/>
          <w:u w:val="single" w:color="auto"/>
          <w:color w:val="auto"/>
        </w:rPr>
        <w:t>Plan</w:t>
      </w:r>
      <w:r>
        <w:rPr>
          <w:rFonts w:ascii="Times New Roman" w:cs="Times New Roman" w:eastAsia="Times New Roman" w:hAnsi="Times New Roman"/>
          <w:sz w:val="18"/>
          <w:szCs w:val="18"/>
          <w:color w:val="auto"/>
        </w:rPr>
        <w:t>”) and the applicable stock option grant notice and stock option agreement to be provided to Executive (together with the Plan, the “</w:t>
      </w:r>
      <w:r>
        <w:rPr>
          <w:rFonts w:ascii="Times New Roman" w:cs="Times New Roman" w:eastAsia="Times New Roman" w:hAnsi="Times New Roman"/>
          <w:sz w:val="18"/>
          <w:szCs w:val="18"/>
          <w:b w:val="1"/>
          <w:bCs w:val="1"/>
          <w:i w:val="1"/>
          <w:iCs w:val="1"/>
          <w:u w:val="single" w:color="auto"/>
          <w:color w:val="auto"/>
        </w:rPr>
        <w:t>Equity Documents</w:t>
      </w:r>
      <w:r>
        <w:rPr>
          <w:rFonts w:ascii="Times New Roman" w:cs="Times New Roman" w:eastAsia="Times New Roman" w:hAnsi="Times New Roman"/>
          <w:sz w:val="18"/>
          <w:szCs w:val="18"/>
          <w:color w:val="auto"/>
        </w:rPr>
        <w:t>”); provided, however, and notwithstanding anything to the contrary in the Equity Documents, Section 5 and Section 6 of this Agreement, as applicable, shall apply in the event of a termination by the Company without Cause or by Executive for Good Reason (as such terms are defined below). Except as otherwise provided in this Agreement, the Option will vest subject to the terms and conditions of the Equity Documents, with 25% of the shares subject to the Option vesting upon the first anniversary of the Effective Date and the remaining 75% of the shares subject to the Option vesting over the subsequent 3-year period in substantially equal monthly installments at a rate of 1/48th of the total shares subject to the Option each month, subject to Executive’s continuous service to the Company as of each such vesting date.</w:t>
      </w:r>
    </w:p>
    <w:p>
      <w:pPr>
        <w:spacing w:after="0" w:line="194" w:lineRule="exact"/>
        <w:rPr>
          <w:rFonts w:ascii="Times New Roman" w:cs="Times New Roman" w:eastAsia="Times New Roman" w:hAnsi="Times New Roman"/>
          <w:sz w:val="18"/>
          <w:szCs w:val="18"/>
          <w:color w:val="auto"/>
        </w:rPr>
      </w:pPr>
    </w:p>
    <w:p>
      <w:pPr>
        <w:ind w:right="540" w:firstLine="987"/>
        <w:spacing w:after="0" w:line="261"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shall promptly pay or reimburse Executive for all reasonable expenses incurred by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179" w:lineRule="exact"/>
        <w:rPr>
          <w:rFonts w:ascii="Times New Roman" w:cs="Times New Roman" w:eastAsia="Times New Roman" w:hAnsi="Times New Roman"/>
          <w:sz w:val="18"/>
          <w:szCs w:val="18"/>
          <w:color w:val="auto"/>
        </w:rPr>
      </w:pPr>
    </w:p>
    <w:p>
      <w:pPr>
        <w:ind w:right="260" w:firstLine="987"/>
        <w:spacing w:after="0" w:line="282" w:lineRule="auto"/>
        <w:tabs>
          <w:tab w:leader="none" w:pos="12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Executive shall be eligible to participate in or receive benefits under the Company’s employee benefit plans in effect from time to time, subject to the terms of such plans.</w:t>
      </w:r>
    </w:p>
    <w:p>
      <w:pPr>
        <w:spacing w:after="0" w:line="161"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Executive shall be entitled to take paid time off in accordance with the Company’s applicable paid time off policy for executives, as may be in effect from time to time.</w:t>
      </w:r>
    </w:p>
    <w:p>
      <w:pPr>
        <w:spacing w:after="0" w:line="161"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Ownership Guidelines</w:t>
      </w:r>
      <w:r>
        <w:rPr>
          <w:rFonts w:ascii="Times New Roman" w:cs="Times New Roman" w:eastAsia="Times New Roman" w:hAnsi="Times New Roman"/>
          <w:sz w:val="18"/>
          <w:szCs w:val="18"/>
          <w:color w:val="auto"/>
        </w:rPr>
        <w:t>. Executive shall be subject to the Company’s Executive Stock Ownership Guidelines while providing services under this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8" w:name="page9"/>
    <w:bookmarkEnd w:id="8"/>
    <w:p>
      <w:pPr>
        <w:ind w:left="-20" w:firstLine="987"/>
        <w:spacing w:after="0" w:line="258" w:lineRule="auto"/>
        <w:tabs>
          <w:tab w:leader="none" w:pos="118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Treatment of Equity Awards upon a Change in Control</w:t>
      </w:r>
      <w:r>
        <w:rPr>
          <w:rFonts w:ascii="Times New Roman" w:cs="Times New Roman" w:eastAsia="Times New Roman" w:hAnsi="Times New Roman"/>
          <w:sz w:val="18"/>
          <w:szCs w:val="18"/>
          <w:color w:val="auto"/>
        </w:rPr>
        <w:t>. The following provisions shall apply to any award granted under the Plan or any other plan, agreement or arrangement based on the value of a share of the Company’s common stock on or after the Effective Date (collectively, the “</w:t>
      </w:r>
      <w:r>
        <w:rPr>
          <w:rFonts w:ascii="Times New Roman" w:cs="Times New Roman" w:eastAsia="Times New Roman" w:hAnsi="Times New Roman"/>
          <w:sz w:val="18"/>
          <w:szCs w:val="18"/>
          <w:b w:val="1"/>
          <w:bCs w:val="1"/>
          <w:i w:val="1"/>
          <w:iCs w:val="1"/>
          <w:u w:val="single" w:color="auto"/>
          <w:color w:val="auto"/>
        </w:rPr>
        <w:t>Equity Awards</w:t>
      </w:r>
      <w:r>
        <w:rPr>
          <w:rFonts w:ascii="Times New Roman" w:cs="Times New Roman" w:eastAsia="Times New Roman" w:hAnsi="Times New Roman"/>
          <w:sz w:val="18"/>
          <w:szCs w:val="18"/>
          <w:color w:val="auto"/>
        </w:rPr>
        <w:t>”) to the extent the Equity Awards are assumed, continued or substituted by the surviving or acquiring entity (or its parent) in connection with a Change in Control (as defined in the Plan) and Executive continues to provide services to the Company or its successor following such Change in Control:</w:t>
      </w:r>
    </w:p>
    <w:p>
      <w:pPr>
        <w:spacing w:after="0" w:line="75" w:lineRule="exact"/>
        <w:rPr>
          <w:rFonts w:ascii="Times New Roman" w:cs="Times New Roman" w:eastAsia="Times New Roman" w:hAnsi="Times New Roman"/>
          <w:sz w:val="18"/>
          <w:szCs w:val="18"/>
          <w:color w:val="auto"/>
        </w:rPr>
      </w:pPr>
    </w:p>
    <w:p>
      <w:pPr>
        <w:ind w:left="420" w:firstLine="948"/>
        <w:spacing w:after="0" w:line="261" w:lineRule="auto"/>
        <w:tabs>
          <w:tab w:leader="none" w:pos="1587"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Times New Roman" w:cs="Times New Roman" w:eastAsia="Times New Roman" w:hAnsi="Times New Roman"/>
          <w:sz w:val="18"/>
          <w:szCs w:val="18"/>
          <w:b w:val="1"/>
          <w:bCs w:val="1"/>
          <w:i w:val="1"/>
          <w:iCs w:val="1"/>
          <w:u w:val="single" w:color="auto"/>
          <w:color w:val="auto"/>
        </w:rPr>
        <w:t>Time-Based Equity Awards</w:t>
      </w:r>
      <w:r>
        <w:rPr>
          <w:rFonts w:ascii="Times New Roman" w:cs="Times New Roman" w:eastAsia="Times New Roman" w:hAnsi="Times New Roman"/>
          <w:sz w:val="18"/>
          <w:szCs w:val="18"/>
          <w:color w:val="auto"/>
        </w:rPr>
        <w:t>”) shall not immediately accelerate and become fully vested and exercisable or non-forfeitable on such a Change in Control, and</w:t>
      </w:r>
    </w:p>
    <w:p>
      <w:pPr>
        <w:spacing w:after="0" w:line="71" w:lineRule="exact"/>
        <w:rPr>
          <w:rFonts w:ascii="Times New Roman" w:cs="Times New Roman" w:eastAsia="Times New Roman" w:hAnsi="Times New Roman"/>
          <w:sz w:val="18"/>
          <w:szCs w:val="18"/>
          <w:color w:val="auto"/>
        </w:rPr>
      </w:pPr>
    </w:p>
    <w:p>
      <w:pPr>
        <w:ind w:left="420" w:right="180" w:firstLine="948"/>
        <w:spacing w:after="0" w:line="266" w:lineRule="auto"/>
        <w:tabs>
          <w:tab w:leader="none" w:pos="1637"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Equity Awards, including but not limited to performance stock units vesting based on achieving pre-established performance goals (collectively, the “</w:t>
      </w:r>
      <w:r>
        <w:rPr>
          <w:rFonts w:ascii="Times New Roman" w:cs="Times New Roman" w:eastAsia="Times New Roman" w:hAnsi="Times New Roman"/>
          <w:sz w:val="18"/>
          <w:szCs w:val="18"/>
          <w:b w:val="1"/>
          <w:bCs w:val="1"/>
          <w:i w:val="1"/>
          <w:iCs w:val="1"/>
          <w:u w:val="single" w:color="auto"/>
          <w:color w:val="auto"/>
        </w:rPr>
        <w:t>Performance-Based Equity Awards</w:t>
      </w:r>
      <w:r>
        <w:rPr>
          <w:rFonts w:ascii="Times New Roman" w:cs="Times New Roman" w:eastAsia="Times New Roman" w:hAnsi="Times New Roman"/>
          <w:sz w:val="18"/>
          <w:szCs w:val="18"/>
          <w:color w:val="auto"/>
        </w:rPr>
        <w:t>”) shall be governed by the terms of the Plan and the applicable award agreement.</w:t>
      </w:r>
    </w:p>
    <w:p>
      <w:pPr>
        <w:spacing w:after="0" w:line="175"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Executive’s employment hereunder may be terminated without any breach of this Agreement under the following circumstances:</w:t>
      </w:r>
    </w:p>
    <w:p>
      <w:pPr>
        <w:spacing w:after="0" w:line="225"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Executive’s employment hereunder shall terminate upon death.</w:t>
      </w:r>
    </w:p>
    <w:p>
      <w:pPr>
        <w:spacing w:after="0" w:line="225" w:lineRule="exact"/>
        <w:rPr>
          <w:sz w:val="20"/>
          <w:szCs w:val="20"/>
          <w:color w:val="auto"/>
        </w:rPr>
      </w:pPr>
    </w:p>
    <w:p>
      <w:pPr>
        <w:ind w:left="-20" w:right="60" w:firstLine="987"/>
        <w:spacing w:after="0" w:line="254" w:lineRule="auto"/>
        <w:tabs>
          <w:tab w:leader="none" w:pos="12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Company may terminate Executive’s employment if Executive is disabled and unable to perform or expected to be unable to perform the essential functions of Executive’s then existing position or positions under this Agreement with or without reasonable accommodation for a period of 180 days (which need not be consecutive) in any 12-month period. If any question shall arise as to whether during any period Executive is disabled so as to be unable to perform the essential functions of Executive’s then existing position or positions with or without reasonable accommodation, Executive may, and at the request of the Company shall, submit to the Company a certification in reasonable detail by a physician selected by the Company to whom Executive or Executive’s guardian has no reasonable objection as to whether Executive is so disabled or how long such disability is expected to continue, and such certification shall for the purposes of this Agreement be conclusive of the issue. Executive shall cooperate with any reasonable request of the physician in connection with such certification. If such question shall arise and Executive shall fail to submit such certification, the Company’s determination of such issue shall be binding on Executive.</w:t>
      </w:r>
    </w:p>
    <w:p>
      <w:pPr>
        <w:spacing w:after="0" w:line="188" w:lineRule="exact"/>
        <w:rPr>
          <w:rFonts w:ascii="Times New Roman" w:cs="Times New Roman" w:eastAsia="Times New Roman" w:hAnsi="Times New Roman"/>
          <w:sz w:val="18"/>
          <w:szCs w:val="18"/>
          <w:color w:val="auto"/>
        </w:rPr>
      </w:pPr>
    </w:p>
    <w:p>
      <w:pPr>
        <w:ind w:left="-20" w:right="160" w:firstLine="987"/>
        <w:spacing w:after="0" w:line="282" w:lineRule="auto"/>
        <w:tabs>
          <w:tab w:leader="none" w:pos="12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w:t>
      </w:r>
      <w:r>
        <w:rPr>
          <w:rFonts w:ascii="Times New Roman" w:cs="Times New Roman" w:eastAsia="Times New Roman" w:hAnsi="Times New Roman"/>
          <w:sz w:val="18"/>
          <w:szCs w:val="18"/>
          <w:color w:val="auto"/>
        </w:rPr>
        <w:t>. The Company may terminate Executive’s employment hereunder for Cause. For purposes of this Agreement, “</w:t>
      </w:r>
      <w:r>
        <w:rPr>
          <w:rFonts w:ascii="Times New Roman" w:cs="Times New Roman" w:eastAsia="Times New Roman" w:hAnsi="Times New Roman"/>
          <w:sz w:val="18"/>
          <w:szCs w:val="18"/>
          <w:b w:val="1"/>
          <w:bCs w:val="1"/>
          <w:i w:val="1"/>
          <w:iCs w:val="1"/>
          <w:u w:val="single" w:color="auto"/>
          <w:color w:val="auto"/>
        </w:rPr>
        <w:t>Cause</w:t>
      </w:r>
      <w:r>
        <w:rPr>
          <w:rFonts w:ascii="Times New Roman" w:cs="Times New Roman" w:eastAsia="Times New Roman" w:hAnsi="Times New Roman"/>
          <w:sz w:val="18"/>
          <w:szCs w:val="18"/>
          <w:color w:val="auto"/>
        </w:rPr>
        <w:t>” shall mean any of the following:</w:t>
      </w:r>
    </w:p>
    <w:p>
      <w:pPr>
        <w:spacing w:after="0" w:line="53" w:lineRule="exact"/>
        <w:rPr>
          <w:rFonts w:ascii="Times New Roman" w:cs="Times New Roman" w:eastAsia="Times New Roman" w:hAnsi="Times New Roman"/>
          <w:sz w:val="18"/>
          <w:szCs w:val="18"/>
          <w:color w:val="auto"/>
        </w:rPr>
      </w:pPr>
    </w:p>
    <w:p>
      <w:pPr>
        <w:ind w:left="960" w:right="500" w:firstLine="408"/>
        <w:spacing w:after="0" w:line="266" w:lineRule="auto"/>
        <w:tabs>
          <w:tab w:leader="none" w:pos="157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unauthorized use or disclosure of confidential information or trade secrets of the Company for Executive’s or another’s benefit or any material breach of a written agreement between Executive and the Company, including without limitation a material breach of this Agreement or the Restrictive Covenants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9" w:name="page10"/>
    <w:bookmarkEnd w:id="9"/>
    <w:p>
      <w:pPr>
        <w:ind w:left="980" w:right="140" w:firstLine="408"/>
        <w:spacing w:after="0" w:line="266" w:lineRule="auto"/>
        <w:tabs>
          <w:tab w:leader="none" w:pos="16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Executive’s conviction of, or pleading no contest to, a felony under the laws of the United States or any state thereof (other than in connection with a traffic violation that does not result in imprisonment) or any crime that results in Executive’s incarceration in a federal, state, or local jail or prison;</w:t>
      </w:r>
    </w:p>
    <w:p>
      <w:pPr>
        <w:spacing w:after="0" w:line="67" w:lineRule="exact"/>
        <w:rPr>
          <w:rFonts w:ascii="Times New Roman" w:cs="Times New Roman" w:eastAsia="Times New Roman" w:hAnsi="Times New Roman"/>
          <w:sz w:val="18"/>
          <w:szCs w:val="18"/>
          <w:color w:val="auto"/>
        </w:rPr>
      </w:pPr>
    </w:p>
    <w:p>
      <w:pPr>
        <w:jc w:val="both"/>
        <w:ind w:left="980" w:firstLine="408"/>
        <w:spacing w:after="0" w:line="261" w:lineRule="auto"/>
        <w:tabs>
          <w:tab w:leader="none" w:pos="16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material and willful misconduct in the performance of Executive’s duties or Executive’s willful or repeated failure or refusal to substantially perform assigned duties (other than any such failure of refusal resulting from Executive’s incapacity due to physical or mental illness), in any case, which willful misconduct, failure or refusal has continued for more than thirty (30) days following written notice from the CEO of such willful misconduct, failure or refusal;</w:t>
      </w:r>
    </w:p>
    <w:p>
      <w:pPr>
        <w:spacing w:after="0" w:line="71" w:lineRule="exact"/>
        <w:rPr>
          <w:rFonts w:ascii="Times New Roman" w:cs="Times New Roman" w:eastAsia="Times New Roman" w:hAnsi="Times New Roman"/>
          <w:sz w:val="18"/>
          <w:szCs w:val="18"/>
          <w:color w:val="auto"/>
        </w:rPr>
      </w:pPr>
    </w:p>
    <w:p>
      <w:pPr>
        <w:ind w:left="980" w:right="340" w:firstLine="408"/>
        <w:spacing w:after="0" w:line="282" w:lineRule="auto"/>
        <w:tabs>
          <w:tab w:leader="none" w:pos="16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of fraud, embezzlement or material misappropriation committed by Executive against the Company (other than good faith expense account disputes);</w:t>
      </w:r>
    </w:p>
    <w:p>
      <w:pPr>
        <w:spacing w:after="0" w:line="53" w:lineRule="exact"/>
        <w:rPr>
          <w:rFonts w:ascii="Times New Roman" w:cs="Times New Roman" w:eastAsia="Times New Roman" w:hAnsi="Times New Roman"/>
          <w:sz w:val="18"/>
          <w:szCs w:val="18"/>
          <w:color w:val="auto"/>
        </w:rPr>
      </w:pPr>
    </w:p>
    <w:p>
      <w:pPr>
        <w:ind w:left="980" w:firstLine="408"/>
        <w:spacing w:after="0" w:line="282" w:lineRule="auto"/>
        <w:tabs>
          <w:tab w:leader="none" w:pos="1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engaging by Executive in any act that brings or is reasonably likely to bring the Company into public disrepute or disgrace or causes material harm to the customer relations, operations or business prospects of the Company; or</w:t>
      </w:r>
    </w:p>
    <w:p>
      <w:pPr>
        <w:spacing w:after="0" w:line="53" w:lineRule="exact"/>
        <w:rPr>
          <w:rFonts w:ascii="Times New Roman" w:cs="Times New Roman" w:eastAsia="Times New Roman" w:hAnsi="Times New Roman"/>
          <w:sz w:val="18"/>
          <w:szCs w:val="18"/>
          <w:color w:val="auto"/>
        </w:rPr>
      </w:pPr>
    </w:p>
    <w:p>
      <w:pPr>
        <w:ind w:left="980" w:right="400" w:firstLine="408"/>
        <w:spacing w:after="0" w:line="261" w:lineRule="auto"/>
        <w:tabs>
          <w:tab w:leader="none" w:pos="16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purposes of this Section 3(c), no act, or failure to act, on Executive’s part shall be deemed “willful” if done, or omitted to be done, by Executive in good faith and with reasonable belief that Executive’s act, or failure to act, was in the best interest of the Company.</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case of any termination for Cause, the Company shall provide written notice to Executive setting forth to a reasonable extent at least the principal acts or omissions of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termination for Cause under this Section 3(c) (other than with respect to Section 3(c)(ii)) shall in no event become effective under the Agreement unless the provisions of this paragraph are complied with. Executive must be given written notice by the Board of the intention to terminate Executive’s employment for Cause, such notice to be given within three (3) months of the Board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0" w:name="page11"/>
    <w:bookmarkEnd w:id="10"/>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learning of such act or acts or failure or failures to act. Executive shall have ten (10) days after the date that such written notice has been given to Executive in which to cure such conduct, to the extent such cure is possible. If Executive fails to cure such conduct, Executive shall thereupon be terminated for Cause.</w:t>
      </w:r>
    </w:p>
    <w:p>
      <w:pPr>
        <w:spacing w:after="0" w:line="176" w:lineRule="exact"/>
        <w:rPr>
          <w:sz w:val="20"/>
          <w:szCs w:val="20"/>
          <w:color w:val="auto"/>
        </w:rPr>
      </w:pPr>
    </w:p>
    <w:p>
      <w:pPr>
        <w:jc w:val="both"/>
        <w:ind w:right="340" w:firstLine="987"/>
        <w:spacing w:after="0" w:line="289" w:lineRule="auto"/>
        <w:tabs>
          <w:tab w:leader="none" w:pos="124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by the Company without Cause</w:t>
      </w:r>
      <w:r>
        <w:rPr>
          <w:rFonts w:ascii="Times New Roman" w:cs="Times New Roman" w:eastAsia="Times New Roman" w:hAnsi="Times New Roman"/>
          <w:sz w:val="17"/>
          <w:szCs w:val="17"/>
          <w:color w:val="auto"/>
        </w:rPr>
        <w:t>. The Company may terminate Executive’s employment hereunder at any time without Cause. Any termination by the Company of Executive’s employment under this Agreement which does not constitute a termination for Cause under Section 3(c) and does not result from the death or disability of Executive under Section 3(a) or 3(b) shall be deemed a termination without Cause.</w:t>
      </w:r>
    </w:p>
    <w:p>
      <w:pPr>
        <w:spacing w:after="0" w:line="157" w:lineRule="exact"/>
        <w:rPr>
          <w:rFonts w:ascii="Times New Roman" w:cs="Times New Roman" w:eastAsia="Times New Roman" w:hAnsi="Times New Roman"/>
          <w:sz w:val="17"/>
          <w:szCs w:val="17"/>
          <w:color w:val="auto"/>
        </w:rPr>
      </w:pPr>
    </w:p>
    <w:p>
      <w:pPr>
        <w:ind w:right="280" w:firstLine="987"/>
        <w:spacing w:after="0" w:line="266"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Executive</w:t>
      </w:r>
      <w:r>
        <w:rPr>
          <w:rFonts w:ascii="Times New Roman" w:cs="Times New Roman" w:eastAsia="Times New Roman" w:hAnsi="Times New Roman"/>
          <w:sz w:val="18"/>
          <w:szCs w:val="18"/>
          <w:color w:val="auto"/>
        </w:rPr>
        <w:t>. Executive may terminate employment hereunder at any time for any reason, including but not limited to, Good Reason. For purposes of this Agreement, “</w:t>
      </w:r>
      <w:r>
        <w:rPr>
          <w:rFonts w:ascii="Times New Roman" w:cs="Times New Roman" w:eastAsia="Times New Roman" w:hAnsi="Times New Roman"/>
          <w:sz w:val="18"/>
          <w:szCs w:val="18"/>
          <w:b w:val="1"/>
          <w:bCs w:val="1"/>
          <w:i w:val="1"/>
          <w:iCs w:val="1"/>
          <w:u w:val="single" w:color="auto"/>
          <w:color w:val="auto"/>
        </w:rPr>
        <w:t>Good Reason</w:t>
      </w:r>
      <w:r>
        <w:rPr>
          <w:rFonts w:ascii="Times New Roman" w:cs="Times New Roman" w:eastAsia="Times New Roman" w:hAnsi="Times New Roman"/>
          <w:sz w:val="18"/>
          <w:szCs w:val="18"/>
          <w:color w:val="auto"/>
        </w:rPr>
        <w:t>” shall mean that Executive has completed all steps of the Good Reason Process (hereinafter defined) following the occurrence of any of the following events without Executive’s consent (each, a “</w:t>
      </w:r>
      <w:r>
        <w:rPr>
          <w:rFonts w:ascii="Times New Roman" w:cs="Times New Roman" w:eastAsia="Times New Roman" w:hAnsi="Times New Roman"/>
          <w:sz w:val="18"/>
          <w:szCs w:val="18"/>
          <w:b w:val="1"/>
          <w:bCs w:val="1"/>
          <w:i w:val="1"/>
          <w:iCs w:val="1"/>
          <w:u w:val="single" w:color="auto"/>
          <w:color w:val="auto"/>
        </w:rPr>
        <w:t>Good Reason Condition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5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Executive’s title, responsibilities, authority or duties; or a material reduction in the authority, duties, or responsibilities of the CEO to whom Executive is required to report;</w:t>
      </w:r>
    </w:p>
    <w:p>
      <w:pPr>
        <w:spacing w:after="0" w:line="53" w:lineRule="exact"/>
        <w:rPr>
          <w:rFonts w:ascii="Times New Roman" w:cs="Times New Roman" w:eastAsia="Times New Roman" w:hAnsi="Times New Roman"/>
          <w:sz w:val="18"/>
          <w:szCs w:val="18"/>
          <w:color w:val="auto"/>
        </w:rPr>
      </w:pPr>
    </w:p>
    <w:p>
      <w:pPr>
        <w:ind w:left="980" w:firstLine="408"/>
        <w:spacing w:after="0" w:line="266" w:lineRule="auto"/>
        <w:tabs>
          <w:tab w:leader="none" w:pos="164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following which either: (A) there is a material reduction in the budget over which Executive retains authority or (B) Executive is not Chief Operating Officer and Chief Commercial Officer of the Company or, (C) if the Company becomes a subsidiary of one or more entities following the Change in Control, the post-consummation ultimate parent entity of the Company; or</w:t>
      </w:r>
    </w:p>
    <w:p>
      <w:pPr>
        <w:spacing w:after="0" w:line="67" w:lineRule="exact"/>
        <w:rPr>
          <w:rFonts w:ascii="Times New Roman" w:cs="Times New Roman" w:eastAsia="Times New Roman" w:hAnsi="Times New Roman"/>
          <w:sz w:val="18"/>
          <w:szCs w:val="18"/>
          <w:color w:val="auto"/>
        </w:rPr>
      </w:pPr>
    </w:p>
    <w:p>
      <w:pPr>
        <w:ind w:left="980" w:right="240" w:firstLine="408"/>
        <w:spacing w:after="0" w:line="256" w:lineRule="auto"/>
        <w:tabs>
          <w:tab w:leader="none" w:pos="16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of this Agreement by the Company, including without limitation, a reduction of Executive’s Base Salary or Target Bonus in violation of Section 2(a) or 2(b) (except for across-the-board salary reductions of not more than ten percent (10%) similarly affecting all or substantially all senior management employees of the Company), a relocation of Executive’s principal place of employment to any location that is greater than twenty (20) miles from Executive’s then-current home office, or the failure of the Company to obtain the assumption in writing of the Company’s obligations to Executive under this Agreement by any successor as required under Section 13 below.</w:t>
      </w:r>
    </w:p>
    <w:p>
      <w:pPr>
        <w:spacing w:after="0" w:line="183"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 Process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u w:val="single" w:color="auto"/>
          <w:color w:val="auto"/>
        </w:rPr>
        <w:t>Good Reason Process</w:t>
      </w:r>
      <w:r>
        <w:rPr>
          <w:rFonts w:ascii="Times New Roman" w:cs="Times New Roman" w:eastAsia="Times New Roman" w:hAnsi="Times New Roman"/>
          <w:sz w:val="18"/>
          <w:szCs w:val="18"/>
          <w:color w:val="auto"/>
        </w:rPr>
        <w:t>” consists of the following steps:</w:t>
      </w:r>
    </w:p>
    <w:p>
      <w:pPr>
        <w:spacing w:after="0" w:line="12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reasonably determines in good faith that a Good Reason Condition has occurred;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1" w:name="page12"/>
    <w:bookmarkEnd w:id="11"/>
    <w:p>
      <w:pPr>
        <w:ind w:left="980" w:firstLine="408"/>
        <w:spacing w:after="0" w:line="282" w:lineRule="auto"/>
        <w:tabs>
          <w:tab w:leader="none" w:pos="16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notifies the Company in writing of the first occurrence of the Good Reason Condition within sixty (60) days of the first occurrence of such condition;</w:t>
      </w:r>
    </w:p>
    <w:p>
      <w:pPr>
        <w:spacing w:after="0" w:line="53" w:lineRule="exact"/>
        <w:rPr>
          <w:rFonts w:ascii="Times New Roman" w:cs="Times New Roman" w:eastAsia="Times New Roman" w:hAnsi="Times New Roman"/>
          <w:sz w:val="18"/>
          <w:szCs w:val="18"/>
          <w:color w:val="auto"/>
        </w:rPr>
      </w:pPr>
    </w:p>
    <w:p>
      <w:pPr>
        <w:ind w:left="980" w:right="460" w:firstLine="408"/>
        <w:spacing w:after="0" w:line="282" w:lineRule="auto"/>
        <w:tabs>
          <w:tab w:leader="none" w:pos="16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cooperates in good faith with the Company’s efforts, for a period of not less than thirty (30) days following such notice (the “</w:t>
      </w:r>
      <w:r>
        <w:rPr>
          <w:rFonts w:ascii="Times New Roman" w:cs="Times New Roman" w:eastAsia="Times New Roman" w:hAnsi="Times New Roman"/>
          <w:sz w:val="18"/>
          <w:szCs w:val="18"/>
          <w:b w:val="1"/>
          <w:bCs w:val="1"/>
          <w:i w:val="1"/>
          <w:iCs w:val="1"/>
          <w:u w:val="single" w:color="auto"/>
          <w:color w:val="auto"/>
        </w:rPr>
        <w:t>Cure Period</w:t>
      </w:r>
      <w:r>
        <w:rPr>
          <w:rFonts w:ascii="Times New Roman" w:cs="Times New Roman" w:eastAsia="Times New Roman" w:hAnsi="Times New Roman"/>
          <w:sz w:val="18"/>
          <w:szCs w:val="18"/>
          <w:color w:val="auto"/>
        </w:rPr>
        <w:t>”), to remedy the Good Reason Condition (to the extent such cure is possible);</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such efforts, the Good Reason Condition continues to exist at the end of the Cure Period;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terminates employment within sixty (60) days after the end of the Cure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ind w:left="620" w:hanging="184"/>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Matters Related to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987"/>
        <w:spacing w:after="0" w:line="266" w:lineRule="auto"/>
        <w:tabs>
          <w:tab w:leader="none" w:pos="12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Except for termination as specified in Section 3(a), any termination of Executive’s employment by the Company or any such termination by Executive shall be communicated by written Notice of Termination to the other party hereto. For purposes of this Agreement, a “</w:t>
      </w:r>
      <w:r>
        <w:rPr>
          <w:rFonts w:ascii="Times New Roman" w:cs="Times New Roman" w:eastAsia="Times New Roman" w:hAnsi="Times New Roman"/>
          <w:sz w:val="18"/>
          <w:szCs w:val="18"/>
          <w:b w:val="1"/>
          <w:bCs w:val="1"/>
          <w:i w:val="1"/>
          <w:iCs w:val="1"/>
          <w:u w:val="single" w:color="auto"/>
          <w:color w:val="auto"/>
        </w:rPr>
        <w:t>Notice of Termination</w:t>
      </w:r>
      <w:r>
        <w:rPr>
          <w:rFonts w:ascii="Times New Roman" w:cs="Times New Roman" w:eastAsia="Times New Roman" w:hAnsi="Times New Roman"/>
          <w:sz w:val="18"/>
          <w:szCs w:val="18"/>
          <w:color w:val="auto"/>
        </w:rPr>
        <w:t>” shall mean a notice which shall indicate the specific termination provision in this Agreement relied upon.</w:t>
      </w:r>
    </w:p>
    <w:p>
      <w:pPr>
        <w:spacing w:after="0" w:line="171"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u w:val="single" w:color="auto"/>
          <w:color w:val="auto"/>
        </w:rPr>
        <w:t>Date of Termination</w:t>
      </w:r>
      <w:r>
        <w:rPr>
          <w:rFonts w:ascii="Times New Roman" w:cs="Times New Roman" w:eastAsia="Times New Roman" w:hAnsi="Times New Roman"/>
          <w:sz w:val="18"/>
          <w:szCs w:val="18"/>
          <w:color w:val="auto"/>
        </w:rPr>
        <w:t>” shall mean: (i) if Executive’s employment is terminated by death, the date of death; (ii) if Executive’s employment is terminated on account of disability under Section 3(b) or by the Company for Cause under Section 3(c), the date on which Notice of Termination is given; (iii) if Executive’s employment is terminated by the Company without Cause under Section 3(d), thirty (30) days after the date on which a Notice of Termination is given or a later date otherwise specified by the Company in the Notice of Termination; (iv) if Executive’s employment is terminated by Executive under Section 3(e) other than for Good Reason, thirty (30) days after the date on which a Notice of Termination is given, and (v) if Executive’s employment is terminated by Executive under Section 3(e) for Good Reason, the date on which a Notice of Termination is given after the end of the Cure Period. Notwithstanding the foregoing, in the event that Executive gives a Notice of Termination to the Company, the Company may unilaterally accelerate the Date of Termination and such acceleration shall not result in a termination by the Company for purposes of this Agreement.</w:t>
      </w:r>
    </w:p>
    <w:p>
      <w:pPr>
        <w:spacing w:after="0" w:line="192"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If Executive’s employment with the Company is terminated for any reason, the Company shall pay or provide to Executive (or to Executive’s authorized representative or estate) (i) any Base Salary earned through the Date of Termination; (ii) unpaid expense reimbursements (subject to, and in accordance with, Section 2(c) of this Agreement); and (iii) any vested benefits Executive may have under any employee benefit plan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2" w:name="page13"/>
    <w:bookmarkEnd w:id="12"/>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compensation arrangement of the Company (including equity compensation plans and insurance coverages) through the Date of Termination, which vested benefits shall be paid and/or provided in accordance with the terms of such employee benefit plans. In the event that Executive terminates employment due to death or disability, in accordance with Sections 3(a) and 3(b) above, Executive (or in the case of death,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Times New Roman" w:cs="Times New Roman" w:eastAsia="Times New Roman" w:hAnsi="Times New Roman"/>
          <w:sz w:val="18"/>
          <w:szCs w:val="18"/>
          <w:b w:val="1"/>
          <w:bCs w:val="1"/>
          <w:i w:val="1"/>
          <w:iCs w:val="1"/>
          <w:u w:val="single" w:color="auto"/>
          <w:color w:val="auto"/>
        </w:rPr>
        <w:t>Accrued Obligations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20" w:firstLine="987"/>
        <w:spacing w:after="0" w:line="261" w:lineRule="auto"/>
        <w:tabs>
          <w:tab w:leader="none" w:pos="124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of All Other Positions</w:t>
      </w:r>
      <w:r>
        <w:rPr>
          <w:rFonts w:ascii="Times New Roman" w:cs="Times New Roman" w:eastAsia="Times New Roman" w:hAnsi="Times New Roman"/>
          <w:sz w:val="18"/>
          <w:szCs w:val="18"/>
          <w:color w:val="auto"/>
        </w:rPr>
        <w:t>. To the extent applicable, Executive shall be deemed to have resigned from all officer and board member positions that Executive holds with the Company or any of its respective subsidiaries and affiliates upon the termination of Executive’s employment for any reason. Executive shall execute any documents in reasonable form as may be requested to confirm or effectuate any such resignations.</w:t>
      </w:r>
    </w:p>
    <w:p>
      <w:pPr>
        <w:spacing w:after="0" w:line="179" w:lineRule="exact"/>
        <w:rPr>
          <w:rFonts w:ascii="Times New Roman" w:cs="Times New Roman" w:eastAsia="Times New Roman" w:hAnsi="Times New Roman"/>
          <w:sz w:val="18"/>
          <w:szCs w:val="18"/>
          <w:color w:val="auto"/>
        </w:rPr>
      </w:pPr>
    </w:p>
    <w:p>
      <w:pPr>
        <w:ind w:right="40" w:firstLine="436"/>
        <w:spacing w:after="0" w:line="261"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Executive for Good Reason</w:t>
      </w:r>
      <w:r>
        <w:rPr>
          <w:rFonts w:ascii="Times New Roman" w:cs="Times New Roman" w:eastAsia="Times New Roman" w:hAnsi="Times New Roman"/>
          <w:sz w:val="18"/>
          <w:szCs w:val="18"/>
          <w:color w:val="auto"/>
        </w:rPr>
        <w:t>. If Executive’s employment is terminated by the Company without Cause as provided in Section 3(d), or Executive terminates employment for Good Reason as provided in</w:t>
      </w: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3(e), then, in addition to the Accrued Obligations, and subject to (i) Executive signing and allowing to become effective a separation agreement and release in a form substantially the same as set forth in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this Agreement (the “</w:t>
      </w:r>
      <w:r>
        <w:rPr>
          <w:rFonts w:ascii="Times New Roman" w:cs="Times New Roman" w:eastAsia="Times New Roman" w:hAnsi="Times New Roman"/>
          <w:sz w:val="18"/>
          <w:szCs w:val="18"/>
          <w:b w:val="1"/>
          <w:bCs w:val="1"/>
          <w:i w:val="1"/>
          <w:iCs w:val="1"/>
          <w:u w:val="single" w:color="auto"/>
          <w:color w:val="auto"/>
        </w:rPr>
        <w:t>Separation Agreement</w:t>
      </w:r>
      <w:r>
        <w:rPr>
          <w:rFonts w:ascii="Times New Roman" w:cs="Times New Roman" w:eastAsia="Times New Roman" w:hAnsi="Times New Roman"/>
          <w:sz w:val="18"/>
          <w:szCs w:val="18"/>
          <w:color w:val="auto"/>
        </w:rPr>
        <w:t>”), which provides that if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74" w:lineRule="exact"/>
        <w:rPr>
          <w:rFonts w:ascii="Times New Roman" w:cs="Times New Roman" w:eastAsia="Times New Roman" w:hAnsi="Times New Roman"/>
          <w:sz w:val="18"/>
          <w:szCs w:val="18"/>
          <w:color w:val="auto"/>
        </w:rPr>
      </w:pPr>
    </w:p>
    <w:p>
      <w:pPr>
        <w:ind w:right="80" w:firstLine="987"/>
        <w:spacing w:after="0" w:line="259" w:lineRule="auto"/>
        <w:tabs>
          <w:tab w:leader="none" w:pos="12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Severance</w:t>
      </w:r>
      <w:r>
        <w:rPr>
          <w:rFonts w:ascii="Times New Roman" w:cs="Times New Roman" w:eastAsia="Times New Roman" w:hAnsi="Times New Roman"/>
          <w:sz w:val="18"/>
          <w:szCs w:val="18"/>
          <w:color w:val="auto"/>
        </w:rPr>
        <w:t>. The Company shall pay Executive an amount equal to nine (9) months’ of Executive’s Base Salary (the “</w:t>
      </w:r>
      <w:r>
        <w:rPr>
          <w:rFonts w:ascii="Times New Roman" w:cs="Times New Roman" w:eastAsia="Times New Roman" w:hAnsi="Times New Roman"/>
          <w:sz w:val="18"/>
          <w:szCs w:val="18"/>
          <w:b w:val="1"/>
          <w:bCs w:val="1"/>
          <w:i w:val="1"/>
          <w:iCs w:val="1"/>
          <w:u w:val="single" w:color="auto"/>
          <w:color w:val="auto"/>
        </w:rPr>
        <w:t>Severance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Amount</w:t>
      </w:r>
      <w:r>
        <w:rPr>
          <w:rFonts w:ascii="Times New Roman" w:cs="Times New Roman" w:eastAsia="Times New Roman" w:hAnsi="Times New Roman"/>
          <w:sz w:val="18"/>
          <w:szCs w:val="18"/>
          <w:color w:val="auto"/>
        </w:rPr>
        <w:t>”) and , in the event that Executive’s employment is terminated after the end of the calendar year but prior to the payment of any Annual Bonus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immediately preceding calendar year, Executive shall be entitled to receive a lump sum payment of any unpaid Annual Bonus that Executive would otherwise have been eligible for based on achievement of the applicable performance goals and objectives, without any reduction for individual performance, with respect to such immediately preceding calendar year (the “</w:t>
      </w:r>
      <w:r>
        <w:rPr>
          <w:rFonts w:ascii="Times New Roman" w:cs="Times New Roman" w:eastAsia="Times New Roman" w:hAnsi="Times New Roman"/>
          <w:sz w:val="18"/>
          <w:szCs w:val="18"/>
          <w:b w:val="1"/>
          <w:bCs w:val="1"/>
          <w:i w:val="1"/>
          <w:iCs w:val="1"/>
          <w:u w:val="single" w:color="auto"/>
          <w:color w:val="auto"/>
        </w:rPr>
        <w:t>Earned Bonus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120" w:firstLine="987"/>
        <w:spacing w:after="0" w:line="255" w:lineRule="auto"/>
        <w:tabs>
          <w:tab w:leader="none" w:pos="124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COBRA Premiums</w:t>
      </w:r>
      <w:r>
        <w:rPr>
          <w:rFonts w:ascii="Times New Roman" w:cs="Times New Roman" w:eastAsia="Times New Roman" w:hAnsi="Times New Roman"/>
          <w:sz w:val="18"/>
          <w:szCs w:val="18"/>
          <w:color w:val="auto"/>
        </w:rPr>
        <w:t>. Subject to Executive’s copayment of premium amounts at the applicable active employees’ rate and Executive’s proper election to receive benefits under the Consolidated Omnibus Budget Reconciliation Act of 1985, as amended (“</w:t>
      </w:r>
      <w:r>
        <w:rPr>
          <w:rFonts w:ascii="Times New Roman" w:cs="Times New Roman" w:eastAsia="Times New Roman" w:hAnsi="Times New Roman"/>
          <w:sz w:val="18"/>
          <w:szCs w:val="18"/>
          <w:b w:val="1"/>
          <w:bCs w:val="1"/>
          <w:i w:val="1"/>
          <w:iCs w:val="1"/>
          <w:u w:val="single" w:color="auto"/>
          <w:color w:val="auto"/>
        </w:rPr>
        <w:t>COBRA</w:t>
      </w:r>
      <w:r>
        <w:rPr>
          <w:rFonts w:ascii="Times New Roman" w:cs="Times New Roman" w:eastAsia="Times New Roman" w:hAnsi="Times New Roman"/>
          <w:sz w:val="18"/>
          <w:szCs w:val="18"/>
          <w:color w:val="auto"/>
        </w:rPr>
        <w:t>”), the Company shall pay to the group health plan provider or the COBRA provider a monthly payment equal to the monthly employer contribution that the Company would have made to provide health insurance to Executive if Executive had remained employed by the Company until the earliest of (A) the nine (9)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3" w:name="page14"/>
    <w:bookmarkEnd w:id="13"/>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spacing w:after="0" w:line="176" w:lineRule="exact"/>
        <w:rPr>
          <w:sz w:val="20"/>
          <w:szCs w:val="20"/>
          <w:color w:val="auto"/>
        </w:rPr>
      </w:pPr>
    </w:p>
    <w:p>
      <w:pPr>
        <w:ind w:left="4" w:firstLine="987"/>
        <w:spacing w:after="0" w:line="253" w:lineRule="auto"/>
        <w:tabs>
          <w:tab w:leader="none" w:pos="12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Delayed Forfeiture of Time-Based Equity Awards</w:t>
      </w:r>
      <w:r>
        <w:rPr>
          <w:rFonts w:ascii="Times New Roman" w:cs="Times New Roman" w:eastAsia="Times New Roman" w:hAnsi="Times New Roman"/>
          <w:sz w:val="18"/>
          <w:szCs w:val="18"/>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3 months after the Date of Termination (the “</w:t>
      </w:r>
      <w:r>
        <w:rPr>
          <w:rFonts w:ascii="Times New Roman" w:cs="Times New Roman" w:eastAsia="Times New Roman" w:hAnsi="Times New Roman"/>
          <w:sz w:val="18"/>
          <w:szCs w:val="18"/>
          <w:b w:val="1"/>
          <w:bCs w:val="1"/>
          <w:i w:val="1"/>
          <w:iCs w:val="1"/>
          <w:u w:val="single" w:color="auto"/>
          <w:color w:val="auto"/>
        </w:rPr>
        <w:t>Pre-CIC Protection Period</w:t>
      </w:r>
      <w:r>
        <w:rPr>
          <w:rFonts w:ascii="Times New Roman" w:cs="Times New Roman" w:eastAsia="Times New Roman" w:hAnsi="Times New Roman"/>
          <w:sz w:val="18"/>
          <w:szCs w:val="18"/>
          <w:color w:val="auto"/>
        </w:rPr>
        <w:t>”). If the Company has not, prior to the end of the Pre-CIC Protection Period, entered into a definitive agreement that, if closed, would result in a Change in Control (a “</w:t>
      </w:r>
      <w:r>
        <w:rPr>
          <w:rFonts w:ascii="Times New Roman" w:cs="Times New Roman" w:eastAsia="Times New Roman" w:hAnsi="Times New Roman"/>
          <w:sz w:val="18"/>
          <w:szCs w:val="18"/>
          <w:b w:val="1"/>
          <w:bCs w:val="1"/>
          <w:i w:val="1"/>
          <w:iCs w:val="1"/>
          <w:u w:val="single" w:color="auto"/>
          <w:color w:val="auto"/>
        </w:rPr>
        <w:t>P&amp;S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Agreement</w:t>
      </w:r>
      <w:r>
        <w:rPr>
          <w:rFonts w:ascii="Times New Roman" w:cs="Times New Roman" w:eastAsia="Times New Roman" w:hAnsi="Times New Roman"/>
          <w:sz w:val="18"/>
          <w:szCs w:val="18"/>
          <w:color w:val="auto"/>
        </w:rPr>
        <w:t>”), then the unvested portion of the Time-Based Equity Awards shall terminate and be forfeited. If the Company, prior the end of the Pre-CIC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Protection Period, enters into a P&amp;S Agreement, then the Time-Based Equity Awards shall remain outstanding and become fully vested upon a Change in Control resulting from such agreement.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w:t>
      </w:r>
    </w:p>
    <w:p>
      <w:pPr>
        <w:spacing w:after="0" w:line="191"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5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 Timing</w:t>
      </w:r>
      <w:r>
        <w:rPr>
          <w:rFonts w:ascii="Times New Roman" w:cs="Times New Roman" w:eastAsia="Times New Roman" w:hAnsi="Times New Roman"/>
          <w:sz w:val="18"/>
          <w:szCs w:val="18"/>
          <w:color w:val="auto"/>
        </w:rPr>
        <w:t>. The amounts payable under Section 5, to the extent taxable, shall be paid or commence to be paid within thirty (30) days after the Date of Termination (or such longer period as required in order to have an enforceable release, but in no event later than seventy (70)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18"/>
          <w:szCs w:val="18"/>
          <w:b w:val="1"/>
          <w:bCs w:val="1"/>
          <w:i w:val="1"/>
          <w:iCs w:val="1"/>
          <w:u w:val="single" w:color="auto"/>
          <w:color w:val="auto"/>
        </w:rPr>
        <w:t>Code</w:t>
      </w:r>
      <w:r>
        <w:rPr>
          <w:rFonts w:ascii="Times New Roman" w:cs="Times New Roman" w:eastAsia="Times New Roman" w:hAnsi="Times New Roman"/>
          <w:sz w:val="18"/>
          <w:szCs w:val="18"/>
          <w:color w:val="auto"/>
        </w:rPr>
        <w:t>”), shall be paid or commence to be paid in the second calendar year by the last day of such period. The Severance Amount shall be paid in a single lump sum and the Earned Bonus, if any, shall be paid at the same time as if Executive had remained employed with the Company through the payment date.</w:t>
      </w:r>
    </w:p>
    <w:p>
      <w:pPr>
        <w:spacing w:after="0" w:line="188" w:lineRule="exact"/>
        <w:rPr>
          <w:rFonts w:ascii="Times New Roman" w:cs="Times New Roman" w:eastAsia="Times New Roman" w:hAnsi="Times New Roman"/>
          <w:sz w:val="18"/>
          <w:szCs w:val="18"/>
          <w:color w:val="auto"/>
        </w:rPr>
      </w:pPr>
    </w:p>
    <w:p>
      <w:pPr>
        <w:ind w:left="4" w:right="60" w:firstLine="436"/>
        <w:spacing w:after="0" w:line="272" w:lineRule="auto"/>
        <w:tabs>
          <w:tab w:leader="none" w:pos="624"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Pay and Benefits Upon Termination by the Company without Cause or by Executive for Good Reason within the Change in Control Period</w:t>
      </w:r>
      <w:r>
        <w:rPr>
          <w:rFonts w:ascii="Times New Roman" w:cs="Times New Roman" w:eastAsia="Times New Roman" w:hAnsi="Times New Roman"/>
          <w:sz w:val="17"/>
          <w:szCs w:val="17"/>
          <w:color w:val="auto"/>
        </w:rPr>
        <w:t>. The provisions of this Section 6 shall apply in lieu of, and expressly supersede, the provisions of Section 5 if (i) Executive’s employment is terminated either (a) by the Company without Cause as provided in Section 3(d), or (b) by Executive for Good Reason as provided in Section 3(e), and</w:t>
      </w:r>
    </w:p>
    <w:p>
      <w:pPr>
        <w:spacing w:after="0" w:line="1" w:lineRule="exact"/>
        <w:rPr>
          <w:rFonts w:ascii="Times New Roman" w:cs="Times New Roman" w:eastAsia="Times New Roman" w:hAnsi="Times New Roman"/>
          <w:sz w:val="17"/>
          <w:szCs w:val="17"/>
          <w:color w:val="auto"/>
        </w:rPr>
      </w:pPr>
    </w:p>
    <w:p>
      <w:pPr>
        <w:jc w:val="both"/>
        <w:ind w:left="4" w:right="100" w:hanging="4"/>
        <w:spacing w:after="0" w:line="253"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Termination is during the Change in Control Period. The “</w:t>
      </w:r>
      <w:r>
        <w:rPr>
          <w:rFonts w:ascii="Times New Roman" w:cs="Times New Roman" w:eastAsia="Times New Roman" w:hAnsi="Times New Roman"/>
          <w:sz w:val="18"/>
          <w:szCs w:val="18"/>
          <w:b w:val="1"/>
          <w:bCs w:val="1"/>
          <w:i w:val="1"/>
          <w:iCs w:val="1"/>
          <w:u w:val="single" w:color="auto"/>
          <w:color w:val="auto"/>
        </w:rPr>
        <w:t>Change in Control Period</w:t>
      </w:r>
      <w:r>
        <w:rPr>
          <w:rFonts w:ascii="Times New Roman" w:cs="Times New Roman" w:eastAsia="Times New Roman" w:hAnsi="Times New Roman"/>
          <w:sz w:val="18"/>
          <w:szCs w:val="18"/>
          <w:color w:val="auto"/>
        </w:rPr>
        <w:t>” shall begin on the earlier of (a) the signing of a P&amp;S Agreement and (b) 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4"/>
          </w:cols>
          <w:pgMar w:left="436" w:top="270" w:right="499" w:bottom="1440" w:gutter="0" w:footer="0" w:header="0"/>
        </w:sectPr>
      </w:pPr>
    </w:p>
    <w:bookmarkStart w:id="14" w:name="page15"/>
    <w:bookmarkEnd w:id="1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be entitled to severance benefits under both Section 5 and Section 6 of this Agreement. If the Company has commenced providing severance pay and benefits to Executive under Section 5 prior to the date that Executive becomes eligible to receive severance pay and benefits under this Section 6, the severance pay and benefits previously provided to Executive under Section 5 shall reduce the severance pay and benefits to be provided under this Section 6.</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Executive’s employment is terminated by the Company without Cause as provided in Section 3(d) or Executive terminates employment for Good Reason as provided in Section 3(e) and in each case the Date of Termination occurs during the Change in Control Period, then, in addition to the Accrued Obligations, and subject to the signing of the Separation Agreement by Executive and the Separation Agreement becoming fully effective, all within the time frame set forth in the Separation Agreement but in no event more than sixty (60) days after the Date of Termination:</w:t>
      </w:r>
    </w:p>
    <w:p>
      <w:pPr>
        <w:spacing w:after="0" w:line="72" w:lineRule="exact"/>
        <w:rPr>
          <w:sz w:val="20"/>
          <w:szCs w:val="20"/>
          <w:color w:val="auto"/>
        </w:rPr>
      </w:pPr>
    </w:p>
    <w:p>
      <w:pPr>
        <w:jc w:val="both"/>
        <w:ind w:right="60" w:firstLine="987"/>
        <w:spacing w:after="0" w:line="261"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Severance</w:t>
      </w:r>
      <w:r>
        <w:rPr>
          <w:rFonts w:ascii="Times New Roman" w:cs="Times New Roman" w:eastAsia="Times New Roman" w:hAnsi="Times New Roman"/>
          <w:sz w:val="18"/>
          <w:szCs w:val="18"/>
          <w:color w:val="auto"/>
        </w:rPr>
        <w:t>. The Company shall pay Executive a lump sum in cash in an amount equal to the sum of (A) twelve (12) months’ of Executive’s then-current Base Salary (or Executive’s Base Salary in effect immediately prior to the Change in Control, if higher), and (B) Executive’s Target Bonus for the then-current year (or Executive’s Target Bonus in effect immediately prior to the Change in Control, if higher), plus, if applicable, any Earned Bonus (the “</w:t>
      </w:r>
      <w:r>
        <w:rPr>
          <w:rFonts w:ascii="Times New Roman" w:cs="Times New Roman" w:eastAsia="Times New Roman" w:hAnsi="Times New Roman"/>
          <w:sz w:val="18"/>
          <w:szCs w:val="18"/>
          <w:b w:val="1"/>
          <w:bCs w:val="1"/>
          <w:i w:val="1"/>
          <w:iCs w:val="1"/>
          <w:u w:val="single" w:color="auto"/>
          <w:color w:val="auto"/>
        </w:rPr>
        <w:t>Change in Control Payment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COBRA Premiums</w:t>
      </w:r>
      <w:r>
        <w:rPr>
          <w:rFonts w:ascii="Times New Roman" w:cs="Times New Roman" w:eastAsia="Times New Roman" w:hAnsi="Times New Roman"/>
          <w:sz w:val="18"/>
          <w:szCs w:val="18"/>
          <w:color w:val="auto"/>
        </w:rPr>
        <w:t>. Subject to Executive’s copayment of premium amounts at the applicable active employees’ rate and Executive’s proper election to receive benefits under COBRA, the Company shall pay to the group health plan provider or the COBRA provider a monthly payment equal to the monthly employer contribution that the Company would have made to provide health insurance to Executive if Executive had remained employed by the Company until the earliest of (A) the twelve (12)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 of Equity Awards</w:t>
      </w:r>
      <w:r>
        <w:rPr>
          <w:rFonts w:ascii="Times New Roman" w:cs="Times New Roman" w:eastAsia="Times New Roman" w:hAnsi="Times New Roman"/>
          <w:sz w:val="18"/>
          <w:szCs w:val="18"/>
          <w:color w:val="auto"/>
        </w:rPr>
        <w:t>. Notwithstanding anything to the contrary in any Equity Award, the Time-Based Equity Awards shall immediately accelerate and become fully vested and exercisable or nonforfeitable as if Executive had remained employed with the Company as of the later of (i) the Date of Termination (or, if later, the Change in Control) or (ii) the effective date of the Separation Agreement (the “</w:t>
      </w:r>
      <w:r>
        <w:rPr>
          <w:rFonts w:ascii="Times New Roman" w:cs="Times New Roman" w:eastAsia="Times New Roman" w:hAnsi="Times New Roman"/>
          <w:sz w:val="18"/>
          <w:szCs w:val="18"/>
          <w:b w:val="1"/>
          <w:bCs w:val="1"/>
          <w:i w:val="1"/>
          <w:iCs w:val="1"/>
          <w:u w:val="single" w:color="auto"/>
          <w:color w:val="auto"/>
        </w:rPr>
        <w:t>Accelerated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Vesting Date</w:t>
      </w:r>
      <w:r>
        <w:rPr>
          <w:rFonts w:ascii="Times New Roman" w:cs="Times New Roman" w:eastAsia="Times New Roman" w:hAnsi="Times New Roman"/>
          <w:sz w:val="18"/>
          <w:szCs w:val="18"/>
          <w:color w:val="auto"/>
        </w:rPr>
        <w:t>”), provided that in order to effectuate the accelerated vesting contemplated by this subsection, the unvested portion of such Equity Awards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70" w:right="519" w:bottom="1440" w:gutter="0" w:footer="0" w:header="0"/>
        </w:sectPr>
      </w:pPr>
    </w:p>
    <w:bookmarkStart w:id="15" w:name="page16"/>
    <w:bookmarkEnd w:id="15"/>
    <w:p>
      <w:pPr>
        <w:ind w:left="4" w:right="20" w:firstLine="987"/>
        <w:spacing w:after="0" w:line="261" w:lineRule="auto"/>
        <w:tabs>
          <w:tab w:leader="none" w:pos="125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Control Payment Timing</w:t>
      </w:r>
      <w:r>
        <w:rPr>
          <w:rFonts w:ascii="Times New Roman" w:cs="Times New Roman" w:eastAsia="Times New Roman" w:hAnsi="Times New Roman"/>
          <w:sz w:val="18"/>
          <w:szCs w:val="18"/>
          <w:color w:val="auto"/>
        </w:rPr>
        <w:t>. The amounts payable under this Section 6, to the extent taxable, shall be paid or commence to be paid within seventy (70)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7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280G Limitation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0" w:firstLine="987"/>
        <w:spacing w:after="0" w:line="269" w:lineRule="auto"/>
        <w:tabs>
          <w:tab w:leader="none" w:pos="1230" w:val="left"/>
        </w:tabs>
        <w:numPr>
          <w:ilvl w:val="2"/>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in this Agreement to the contrary notwithstanding, in the event that the amount of any compensation, payment or distribution by the Company to or for the benefit of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17"/>
          <w:szCs w:val="17"/>
          <w:b w:val="1"/>
          <w:bCs w:val="1"/>
          <w:i w:val="1"/>
          <w:iCs w:val="1"/>
          <w:u w:val="single" w:color="auto"/>
          <w:color w:val="auto"/>
        </w:rPr>
        <w:t>Aggregate Payments</w:t>
      </w:r>
      <w:r>
        <w:rPr>
          <w:rFonts w:ascii="Times New Roman" w:cs="Times New Roman" w:eastAsia="Times New Roman" w:hAnsi="Times New Roman"/>
          <w:sz w:val="17"/>
          <w:szCs w:val="17"/>
          <w:color w:val="auto"/>
        </w:rPr>
        <w:t>”), would be subject to the excise tax imposed by Section 4999 of the Code, then the Aggregate Payments shall be reduced (but not below zero) so that the sum of all of the Aggregate Payments shall be $1.00 less than the amount at which Executive becomes subject to the excise tax imposed by</w:t>
      </w:r>
    </w:p>
    <w:p>
      <w:pPr>
        <w:spacing w:after="0" w:line="2" w:lineRule="exact"/>
        <w:rPr>
          <w:rFonts w:ascii="Times New Roman" w:cs="Times New Roman" w:eastAsia="Times New Roman" w:hAnsi="Times New Roman"/>
          <w:sz w:val="17"/>
          <w:szCs w:val="17"/>
          <w:color w:val="auto"/>
        </w:rPr>
      </w:pPr>
    </w:p>
    <w:p>
      <w:pPr>
        <w:ind w:left="4" w:right="8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4999 of the Code; provided that such reduction shall only occur if it would result in Executive receiving a higher After Tax Amount (as defined below) than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w:t>
      </w:r>
    </w:p>
    <w:p>
      <w:pPr>
        <w:ind w:left="4" w:hanging="4"/>
        <w:spacing w:after="0" w:line="255"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1" w:lineRule="exact"/>
        <w:rPr>
          <w:rFonts w:ascii="Times New Roman" w:cs="Times New Roman" w:eastAsia="Times New Roman" w:hAnsi="Times New Roman"/>
          <w:sz w:val="18"/>
          <w:szCs w:val="18"/>
          <w:color w:val="auto"/>
        </w:rPr>
      </w:pPr>
    </w:p>
    <w:p>
      <w:pPr>
        <w:ind w:left="4" w:right="120" w:firstLine="987"/>
        <w:spacing w:after="0" w:line="257" w:lineRule="auto"/>
        <w:tabs>
          <w:tab w:leader="none" w:pos="125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 the “</w:t>
      </w:r>
      <w:r>
        <w:rPr>
          <w:rFonts w:ascii="Times New Roman" w:cs="Times New Roman" w:eastAsia="Times New Roman" w:hAnsi="Times New Roman"/>
          <w:sz w:val="18"/>
          <w:szCs w:val="18"/>
          <w:b w:val="1"/>
          <w:bCs w:val="1"/>
          <w:i w:val="1"/>
          <w:iCs w:val="1"/>
          <w:u w:val="single" w:color="auto"/>
          <w:color w:val="auto"/>
        </w:rPr>
        <w:t>After Tax Amount</w:t>
      </w:r>
      <w:r>
        <w:rPr>
          <w:rFonts w:ascii="Times New Roman" w:cs="Times New Roman" w:eastAsia="Times New Roman" w:hAnsi="Times New Roman"/>
          <w:sz w:val="18"/>
          <w:szCs w:val="18"/>
          <w:color w:val="auto"/>
        </w:rPr>
        <w:t>” means the amount of the Aggregate Payments less all federal, state, and local income, excise and employment taxes imposed on Executive as a result of Executive’s receipt of the Aggregate Payments. For purposes of determining the After Tax Amount,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16" w:name="page17"/>
    <w:bookmarkEnd w:id="16"/>
    <w:p>
      <w:pPr>
        <w:ind w:right="20" w:firstLine="987"/>
        <w:spacing w:after="0" w:line="253" w:lineRule="auto"/>
        <w:tabs>
          <w:tab w:leader="none" w:pos="123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Times New Roman" w:cs="Times New Roman" w:eastAsia="Times New Roman" w:hAnsi="Times New Roman"/>
          <w:sz w:val="18"/>
          <w:szCs w:val="18"/>
          <w:b w:val="1"/>
          <w:bCs w:val="1"/>
          <w:i w:val="1"/>
          <w:iCs w:val="1"/>
          <w:color w:val="auto"/>
        </w:rPr>
        <w:t>Independent Advisors</w:t>
      </w:r>
      <w:r>
        <w:rPr>
          <w:rFonts w:ascii="Times New Roman" w:cs="Times New Roman" w:eastAsia="Times New Roman" w:hAnsi="Times New Roman"/>
          <w:sz w:val="18"/>
          <w:szCs w:val="18"/>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w:t>
      </w:r>
    </w:p>
    <w:p>
      <w:pPr>
        <w:spacing w:after="0" w:line="2"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Executive within fifteen (15) business days of the Date of Termination, if applicable, or at such earlier time as is reasonably requested by the Company or Executive. Any determination by the Independent Advisors shall be binding upon the Company and Executive.</w:t>
      </w:r>
    </w:p>
    <w:p>
      <w:pPr>
        <w:spacing w:after="0" w:line="18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Executive’s separation from service within the meaning of Section 409A of the Code, the Company determines that Executive is a “specified employee” within the meaning of Section 409A(a)(2)(B)(i) of the Code, then to the extent any payment or benefit that Executive becomes entitled to under this Agreement or otherwise on account of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(6) months and one day after Executive’s separation from service, or (B)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188"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7" w:name="page18"/>
    <w:bookmarkEnd w:id="17"/>
    <w:p>
      <w:pPr>
        <w:ind w:right="180" w:firstLine="987"/>
        <w:spacing w:after="0" w:line="261" w:lineRule="auto"/>
        <w:tabs>
          <w:tab w:leader="none" w:pos="12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any payment or benefit described in this Agreement constitutes “non-qualified deferred 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1.409A-1(h).</w:t>
      </w:r>
    </w:p>
    <w:p>
      <w:pPr>
        <w:spacing w:after="0" w:line="179" w:lineRule="exact"/>
        <w:rPr>
          <w:rFonts w:ascii="Times New Roman" w:cs="Times New Roman" w:eastAsia="Times New Roman" w:hAnsi="Times New Roman"/>
          <w:sz w:val="18"/>
          <w:szCs w:val="18"/>
          <w:color w:val="auto"/>
        </w:rPr>
      </w:pPr>
    </w:p>
    <w:p>
      <w:pPr>
        <w:ind w:right="280" w:firstLine="987"/>
        <w:spacing w:after="0" w:line="254" w:lineRule="auto"/>
        <w:tabs>
          <w:tab w:leader="none" w:pos="12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91"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such Section.</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p>
    <w:p>
      <w:pPr>
        <w:spacing w:after="0" w:line="225"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 As a condition of entering into this Agreement, Executive agrees to execute and deliver, on the Effective Date, the Employee Proprietary Information and Inventions Assignment Agreement (the “</w:t>
      </w:r>
      <w:r>
        <w:rPr>
          <w:rFonts w:ascii="Times New Roman" w:cs="Times New Roman" w:eastAsia="Times New Roman" w:hAnsi="Times New Roman"/>
          <w:sz w:val="18"/>
          <w:szCs w:val="18"/>
          <w:b w:val="1"/>
          <w:bCs w:val="1"/>
          <w:i w:val="1"/>
          <w:iCs w:val="1"/>
          <w:u w:val="single" w:color="auto"/>
          <w:color w:val="auto"/>
        </w:rPr>
        <w:t>Restrictive Covenants Agreement</w:t>
      </w:r>
      <w:r>
        <w:rPr>
          <w:rFonts w:ascii="Times New Roman" w:cs="Times New Roman" w:eastAsia="Times New Roman" w:hAnsi="Times New Roman"/>
          <w:sz w:val="18"/>
          <w:szCs w:val="18"/>
          <w:color w:val="auto"/>
        </w:rPr>
        <w:t>”). For purposes of this Agreement, the obligations in this Section 9 and those that arise in the Restrictive Covenants Agreement and any other agreement relating to confidentiality, assignment of inventions, or other restrictive covenants that may later be agreed to by Executive shall collectively be referred to as the “</w:t>
      </w:r>
      <w:r>
        <w:rPr>
          <w:rFonts w:ascii="Times New Roman" w:cs="Times New Roman" w:eastAsia="Times New Roman" w:hAnsi="Times New Roman"/>
          <w:sz w:val="18"/>
          <w:szCs w:val="18"/>
          <w:b w:val="1"/>
          <w:bCs w:val="1"/>
          <w:i w:val="1"/>
          <w:iCs w:val="1"/>
          <w:u w:val="single" w:color="auto"/>
          <w:color w:val="auto"/>
        </w:rPr>
        <w:t>Continuing Obligations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Agreements and Rights</w:t>
      </w:r>
      <w:r>
        <w:rPr>
          <w:rFonts w:ascii="Times New Roman" w:cs="Times New Roman" w:eastAsia="Times New Roman" w:hAnsi="Times New Roman"/>
          <w:sz w:val="18"/>
          <w:szCs w:val="18"/>
          <w:color w:val="auto"/>
        </w:rPr>
        <w:t>. Executive hereby confirms that Executive is not bound by the terms of any agreement with any previous employer or other party which restricts in any way Executive’s use or disclosure of information, other than confidentiality restrictions (if any), or Executive’s engagement in any business. Executive represents to the Company that Executive’s execution of this Agreement to be effective as of the Effective Date, Executive’s employment with the Company and the performance of Executive’s proposed duties for the Company will not violate any obligations Executive may have to any such previous employer or other party. In Executive’s work for the Company, Executive will not disclose or make use of any information in violation of any agreements with or rights of any such previous employer or other party, and Executive will not bring to the premises of the Company any copies or other tangible embodiments of non-public information belonging to or obtained from any such previous employment or other party.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8" w:name="page19"/>
    <w:bookmarkEnd w:id="18"/>
    <w:p>
      <w:pPr>
        <w:ind w:left="-20" w:right="140" w:firstLine="987"/>
        <w:spacing w:after="0" w:line="253" w:lineRule="auto"/>
        <w:tabs>
          <w:tab w:leader="none" w:pos="121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Litigation and Regulatory Cooperation</w:t>
      </w:r>
      <w:r>
        <w:rPr>
          <w:rFonts w:ascii="Times New Roman" w:cs="Times New Roman" w:eastAsia="Times New Roman" w:hAnsi="Times New Roman"/>
          <w:sz w:val="18"/>
          <w:szCs w:val="18"/>
          <w:color w:val="auto"/>
        </w:rPr>
        <w:t>. During and after Executive’s employment, Executive shall cooperate fully with the Company in (i) the defense or prosecution of any claims or actions now in existence or which may be brought in the future against or on behalf of the Company which relate to events or occurrences that transpired while Executive was employed by the Company, and (ii) the investigation, whether internal or external, of any matters about which the Company believes Executive may have knowledge or information.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Executive’s employment, Executive also shall cooperate fully with the Company in connection with any investigation or review of any federal, state or local regulatory authority as any such investigation or review relates to events or occurrences that transpired while Executive was employed by the Company. The Company shall reimburse Executive for any reasonable out-of-pocket expenses incurred in connection with Executive’s performance of obligations pursuant to this Section 9(c), which shall be in addition to its obligations to provide indemnification to Executive.</w:t>
      </w:r>
    </w:p>
    <w:p>
      <w:pPr>
        <w:spacing w:after="0" w:line="194" w:lineRule="exact"/>
        <w:rPr>
          <w:rFonts w:ascii="Times New Roman" w:cs="Times New Roman" w:eastAsia="Times New Roman" w:hAnsi="Times New Roman"/>
          <w:sz w:val="18"/>
          <w:szCs w:val="18"/>
          <w:color w:val="auto"/>
        </w:rPr>
      </w:pPr>
    </w:p>
    <w:p>
      <w:pPr>
        <w:ind w:left="-20" w:right="20" w:firstLine="987"/>
        <w:spacing w:after="0" w:line="258" w:lineRule="auto"/>
        <w:tabs>
          <w:tab w:leader="none" w:pos="122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Relief</w:t>
      </w:r>
      <w:r>
        <w:rPr>
          <w:rFonts w:ascii="Times New Roman" w:cs="Times New Roman" w:eastAsia="Times New Roman" w:hAnsi="Times New Roman"/>
          <w:sz w:val="18"/>
          <w:szCs w:val="18"/>
          <w:color w:val="auto"/>
        </w:rPr>
        <w:t>. Executive agrees that it would be difficult to measure any damages caused to the Company which might result from any breach by Executive of the Continuing Obligations, and that in any event monetary damages would be an inadequate remedy for any such breach. Accordingly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Executive agrees that if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83" w:lineRule="exact"/>
        <w:rPr>
          <w:rFonts w:ascii="Times New Roman" w:cs="Times New Roman" w:eastAsia="Times New Roman" w:hAnsi="Times New Roman"/>
          <w:sz w:val="18"/>
          <w:szCs w:val="18"/>
          <w:color w:val="auto"/>
        </w:rPr>
      </w:pPr>
    </w:p>
    <w:p>
      <w:pPr>
        <w:jc w:val="both"/>
        <w:ind w:left="-20" w:firstLine="436"/>
        <w:spacing w:after="0" w:line="261" w:lineRule="auto"/>
        <w:tabs>
          <w:tab w:leader="none" w:pos="69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The parties hereby consent to the jurisdiction of the state and federal courts of California in connection with any court action relating to this Agreement. Accordingly, with respect to any such court action,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79" w:lineRule="exact"/>
        <w:rPr>
          <w:rFonts w:ascii="Times New Roman" w:cs="Times New Roman" w:eastAsia="Times New Roman" w:hAnsi="Times New Roman"/>
          <w:sz w:val="18"/>
          <w:szCs w:val="18"/>
          <w:color w:val="auto"/>
        </w:rPr>
      </w:pPr>
    </w:p>
    <w:p>
      <w:pPr>
        <w:ind w:left="-20" w:right="80" w:firstLine="436"/>
        <w:spacing w:after="0" w:line="266" w:lineRule="auto"/>
        <w:tabs>
          <w:tab w:leader="none" w:pos="6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the subject matter hereof and supersedes all prior agreements between the parties concerning such subject matter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provided that the Restrictive Covenants Agreement and the agreements governing any Equity Awards remain in full force and effect.</w:t>
      </w:r>
    </w:p>
    <w:p>
      <w:pPr>
        <w:spacing w:after="0" w:line="175" w:lineRule="exact"/>
        <w:rPr>
          <w:rFonts w:ascii="Times New Roman" w:cs="Times New Roman" w:eastAsia="Times New Roman" w:hAnsi="Times New Roman"/>
          <w:sz w:val="18"/>
          <w:szCs w:val="18"/>
          <w:color w:val="auto"/>
        </w:rPr>
      </w:pPr>
    </w:p>
    <w:p>
      <w:pPr>
        <w:ind w:left="-20" w:right="280" w:firstLine="436"/>
        <w:spacing w:after="0" w:line="261" w:lineRule="auto"/>
        <w:tabs>
          <w:tab w:leader="none" w:pos="69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Effect</w:t>
      </w:r>
      <w:r>
        <w:rPr>
          <w:rFonts w:ascii="Times New Roman" w:cs="Times New Roman" w:eastAsia="Times New Roman" w:hAnsi="Times New Roman"/>
          <w:sz w:val="18"/>
          <w:szCs w:val="18"/>
          <w:color w:val="auto"/>
        </w:rPr>
        <w:t>. All payments made by the Company to Executive under this Agreement shall be net of any tax or other amounts required to be withheld by the Company under applicable law. Nothing in this Agreement shall be construed to require the Company to make any payments to compensate Executive for any adverse tax effect associated with any payments or benefits or for any deduction or withholding from any payment or benefit.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60" w:top="270" w:right="459" w:bottom="1440" w:gutter="0" w:footer="0" w:header="0"/>
        </w:sectPr>
      </w:pPr>
    </w:p>
    <w:bookmarkStart w:id="19" w:name="page20"/>
    <w:bookmarkEnd w:id="19"/>
    <w:p>
      <w:pPr>
        <w:ind w:left="4" w:right="140" w:firstLine="436"/>
        <w:spacing w:after="0" w:line="261" w:lineRule="auto"/>
        <w:tabs>
          <w:tab w:leader="none" w:pos="7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and Assigns</w:t>
      </w:r>
      <w:r>
        <w:rPr>
          <w:rFonts w:ascii="Times New Roman" w:cs="Times New Roman" w:eastAsia="Times New Roman" w:hAnsi="Times New Roman"/>
          <w:sz w:val="18"/>
          <w:szCs w:val="18"/>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w:t>
      </w:r>
    </w:p>
    <w:p>
      <w:pPr>
        <w:ind w:left="4" w:hanging="4"/>
        <w:spacing w:after="0" w:line="251"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Executive’s death after Executive’s termination of employment but prior to the completion by the Company of all payments due to Executive under this Agreement, the Company shall continue such payments to Executive’s beneficiary designated in writing to the Company prior to Executive’s death (or to Executive’s estate, if Executive fails to make such designation).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91" w:lineRule="exact"/>
        <w:rPr>
          <w:rFonts w:ascii="Times New Roman" w:cs="Times New Roman" w:eastAsia="Times New Roman" w:hAnsi="Times New Roman"/>
          <w:sz w:val="18"/>
          <w:szCs w:val="18"/>
          <w:color w:val="auto"/>
        </w:rPr>
      </w:pPr>
    </w:p>
    <w:p>
      <w:pPr>
        <w:ind w:left="4" w:right="260" w:firstLine="436"/>
        <w:spacing w:after="0" w:line="261" w:lineRule="auto"/>
        <w:tabs>
          <w:tab w:leader="none" w:pos="7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9" w:lineRule="exact"/>
        <w:rPr>
          <w:rFonts w:ascii="Times New Roman" w:cs="Times New Roman" w:eastAsia="Times New Roman" w:hAnsi="Times New Roman"/>
          <w:sz w:val="18"/>
          <w:szCs w:val="18"/>
          <w:color w:val="auto"/>
        </w:rPr>
      </w:pPr>
    </w:p>
    <w:p>
      <w:pPr>
        <w:ind w:left="4" w:right="60" w:firstLine="436"/>
        <w:spacing w:after="0" w:line="266" w:lineRule="auto"/>
        <w:tabs>
          <w:tab w:leader="none" w:pos="7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Agreement shall survive the termination of this Agreement and/or the termination of Executive’s employment to the extent necessary to effectuate the terms contained herein, including but not limited to the Company’s obligation to make severance payments or provide indemnification and Executive’s obligations to comply with the Continuing Obligations.</w:t>
      </w:r>
    </w:p>
    <w:p>
      <w:pPr>
        <w:spacing w:after="0" w:line="175" w:lineRule="exact"/>
        <w:rPr>
          <w:rFonts w:ascii="Times New Roman" w:cs="Times New Roman" w:eastAsia="Times New Roman" w:hAnsi="Times New Roman"/>
          <w:sz w:val="18"/>
          <w:szCs w:val="18"/>
          <w:color w:val="auto"/>
        </w:rPr>
      </w:pPr>
    </w:p>
    <w:p>
      <w:pPr>
        <w:ind w:left="4" w:right="120" w:firstLine="436"/>
        <w:spacing w:after="0" w:line="266" w:lineRule="auto"/>
        <w:tabs>
          <w:tab w:leader="none" w:pos="7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0" w:name="page21"/>
    <w:bookmarkEnd w:id="20"/>
    <w:p>
      <w:pPr>
        <w:ind w:left="704" w:hanging="264"/>
        <w:spacing w:after="0"/>
        <w:tabs>
          <w:tab w:leader="none" w:pos="70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w:t>
      </w:r>
    </w:p>
    <w:p>
      <w:pPr>
        <w:spacing w:after="0" w:line="27" w:lineRule="exact"/>
        <w:rPr>
          <w:rFonts w:ascii="Times New Roman" w:cs="Times New Roman" w:eastAsia="Times New Roman" w:hAnsi="Times New Roman"/>
          <w:sz w:val="18"/>
          <w:szCs w:val="18"/>
          <w:color w:val="auto"/>
        </w:rPr>
      </w:pPr>
    </w:p>
    <w:p>
      <w:pPr>
        <w:ind w:left="4" w:right="140" w:hanging="4"/>
        <w:spacing w:after="0" w:line="253" w:lineRule="auto"/>
        <w:tabs>
          <w:tab w:leader="none" w:pos="2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in person, (ii) sent by a nationally recognized overnight courier service or by registered or certified mail, postage prepaid, return receipt requested, to Executive at the last address Executive has filed in writing with the Company or, in the case of the Company, at its main offices, attention of the Board or (iii) sent via email to Executive at Executive’s Company email address or, in the case of the Company, to the CEO’s Company email address.</w:t>
      </w:r>
    </w:p>
    <w:p>
      <w:pPr>
        <w:spacing w:after="0" w:line="188" w:lineRule="exact"/>
        <w:rPr>
          <w:rFonts w:ascii="Times New Roman" w:cs="Times New Roman" w:eastAsia="Times New Roman" w:hAnsi="Times New Roman"/>
          <w:sz w:val="18"/>
          <w:szCs w:val="18"/>
          <w:color w:val="auto"/>
        </w:rPr>
      </w:pPr>
    </w:p>
    <w:p>
      <w:pPr>
        <w:ind w:left="4" w:right="580" w:firstLine="436"/>
        <w:spacing w:after="0" w:line="282" w:lineRule="auto"/>
        <w:tabs>
          <w:tab w:leader="none" w:pos="71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signed by Executive and by a duly authorized representative of the Company.</w:t>
      </w:r>
    </w:p>
    <w:p>
      <w:pPr>
        <w:spacing w:after="0" w:line="161" w:lineRule="exact"/>
        <w:rPr>
          <w:rFonts w:ascii="Times New Roman" w:cs="Times New Roman" w:eastAsia="Times New Roman" w:hAnsi="Times New Roman"/>
          <w:sz w:val="18"/>
          <w:szCs w:val="18"/>
          <w:color w:val="auto"/>
        </w:rPr>
      </w:pPr>
    </w:p>
    <w:p>
      <w:pPr>
        <w:ind w:left="4" w:firstLine="436"/>
        <w:spacing w:after="0" w:line="253" w:lineRule="auto"/>
        <w:tabs>
          <w:tab w:leader="none" w:pos="71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will (i) indemnify Executive with respect to claims arising out of any action taken or not taken in Executive’s capacity as an officer or employee of the Company or its subsidiaries; provided, that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Executive all reasonable and documented out of pocket costs and expenses incurred by Executive in connection with the foregoing clause (i), including but not limited to attorneys’ fees, and (iii) provide for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Executive if it shall ultimately be determined that Executive is not entitled to be indemnified by the Company pursuant to this Section 19. Nothing herein shall limit any right that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Executive after his or her termination of employment.</w:t>
      </w:r>
    </w:p>
    <w:p>
      <w:pPr>
        <w:spacing w:after="0" w:line="189"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71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 Offset</w:t>
      </w:r>
      <w:r>
        <w:rPr>
          <w:rFonts w:ascii="Times New Roman" w:cs="Times New Roman" w:eastAsia="Times New Roman" w:hAnsi="Times New Roman"/>
          <w:sz w:val="18"/>
          <w:szCs w:val="18"/>
          <w:color w:val="auto"/>
        </w:rPr>
        <w:t>. In the event of any termination of employment and service hereunder,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179" w:lineRule="exact"/>
        <w:rPr>
          <w:rFonts w:ascii="Times New Roman" w:cs="Times New Roman" w:eastAsia="Times New Roman" w:hAnsi="Times New Roman"/>
          <w:sz w:val="18"/>
          <w:szCs w:val="18"/>
          <w:color w:val="auto"/>
        </w:rPr>
      </w:pPr>
    </w:p>
    <w:p>
      <w:pPr>
        <w:ind w:left="4" w:right="120" w:firstLine="436"/>
        <w:spacing w:after="0" w:line="258" w:lineRule="auto"/>
        <w:tabs>
          <w:tab w:leader="none" w:pos="71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Plans and Agreements</w:t>
      </w:r>
      <w:r>
        <w:rPr>
          <w:rFonts w:ascii="Times New Roman" w:cs="Times New Roman" w:eastAsia="Times New Roman" w:hAnsi="Times New Roman"/>
          <w:sz w:val="18"/>
          <w:szCs w:val="18"/>
          <w:color w:val="auto"/>
        </w:rPr>
        <w:t>. An election by Executive to resign for Good Reason under the provisions of this Agreement shall not be deemed a voluntary termination of employment by Executive for the purpose of interpreting the provisions of any of the Company’s benefit plans, programs or policies. Nothing in this Agreement shall be construed to limit the rights of Executive under the Company’s benefit plans, programs or policies except to the extent specifically provided in Section 7 hereof, and except that Executive shall have no rights to continue any severance benefits under any Company severance pay plan, offer letter or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1" w:name="page22"/>
    <w:bookmarkEnd w:id="21"/>
    <w:p>
      <w:pPr>
        <w:ind w:right="3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otherwise. Except for the Restrictive Covenants Agreement, in the event that Executive is party to an agreement with the Company providing for payments or benefits under such plan or agreement and under this Agreement, the terms of this Agreement shall govern and Executive may receive payment under this Agreement only and not both. Further, Section 5 and Section 6 of this Agreement are mutually exclusive and in no event shall Executive be entitled to cash severance payments or benefits pursuant to both Section 5 and Section 6 of this Agreement.</w:t>
      </w:r>
    </w:p>
    <w:p>
      <w:pPr>
        <w:spacing w:after="0" w:line="180" w:lineRule="exact"/>
        <w:rPr>
          <w:sz w:val="20"/>
          <w:szCs w:val="20"/>
          <w:color w:val="auto"/>
        </w:rPr>
      </w:pPr>
    </w:p>
    <w:p>
      <w:pPr>
        <w:ind w:left="700" w:hanging="264"/>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 and Enforcement.</w:t>
      </w:r>
    </w:p>
    <w:p>
      <w:pPr>
        <w:spacing w:after="0" w:line="225"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governed by and construed in accordance with applicable federal laws and, to the extent not inconsistent therewith or preempted thereby, with the laws of California, including any applicable statutes of limitation, without regard to any otherwise applicable principles of conflicts of laws or choice of law rules (whether of the State of California or any other jurisdiction) that would result in the application of the substantive or procedural rules or law of any other jurisdiction.</w:t>
      </w:r>
    </w:p>
    <w:p>
      <w:pPr>
        <w:spacing w:after="0" w:line="179"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any controversy or claim arising out of or relating to this Agreement or the alleged breach hereof shall be instituted in the United States District Court for the Northern District of California, or if that court does not have or will not accept jurisdiction, in any court of general jurisdiction in the State of California located in Los Angeles County,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183"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2" w:name="page23"/>
    <w:bookmarkEnd w:id="22"/>
    <w:p>
      <w:pPr>
        <w:ind w:left="4" w:firstLine="436"/>
        <w:spacing w:after="0" w:line="269" w:lineRule="auto"/>
        <w:tabs>
          <w:tab w:leader="none" w:pos="714"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Recoupment</w:t>
      </w:r>
      <w:r>
        <w:rPr>
          <w:rFonts w:ascii="Times New Roman" w:cs="Times New Roman" w:eastAsia="Times New Roman" w:hAnsi="Times New Roman"/>
          <w:sz w:val="17"/>
          <w:szCs w:val="17"/>
          <w:color w:val="auto"/>
        </w:rPr>
        <w:t>. Executive shall be required to repay incentive pay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Times New Roman" w:cs="Times New Roman" w:eastAsia="Times New Roman" w:hAnsi="Times New Roman"/>
          <w:sz w:val="17"/>
          <w:szCs w:val="17"/>
          <w:b w:val="1"/>
          <w:bCs w:val="1"/>
          <w:i w:val="1"/>
          <w:iCs w:val="1"/>
          <w:color w:val="auto"/>
        </w:rPr>
        <w:t>Recoupment Policy</w:t>
      </w:r>
      <w:r>
        <w:rPr>
          <w:rFonts w:ascii="Times New Roman" w:cs="Times New Roman" w:eastAsia="Times New Roman" w:hAnsi="Times New Roman"/>
          <w:sz w:val="17"/>
          <w:szCs w:val="17"/>
          <w:color w:val="auto"/>
        </w:rPr>
        <w:t>”). Where the result of a performance measure was a factor in determining the compensation awarded or paid, but</w:t>
      </w:r>
    </w:p>
    <w:p>
      <w:pPr>
        <w:spacing w:after="0" w:line="2" w:lineRule="exact"/>
        <w:rPr>
          <w:rFonts w:ascii="Times New Roman" w:cs="Times New Roman" w:eastAsia="Times New Roman" w:hAnsi="Times New Roman"/>
          <w:sz w:val="17"/>
          <w:szCs w:val="17"/>
          <w:color w:val="auto"/>
        </w:rPr>
      </w:pPr>
    </w:p>
    <w:p>
      <w:pPr>
        <w:ind w:left="4" w:hanging="4"/>
        <w:spacing w:after="0" w:line="252" w:lineRule="auto"/>
        <w:tabs>
          <w:tab w:leader="none" w:pos="2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spacing w:after="0" w:line="188" w:lineRule="exact"/>
        <w:rPr>
          <w:rFonts w:ascii="Times New Roman" w:cs="Times New Roman" w:eastAsia="Times New Roman" w:hAnsi="Times New Roman"/>
          <w:sz w:val="18"/>
          <w:szCs w:val="18"/>
          <w:color w:val="auto"/>
        </w:rPr>
      </w:pPr>
    </w:p>
    <w:p>
      <w:pPr>
        <w:ind w:left="4" w:right="160" w:firstLine="436"/>
        <w:spacing w:after="0" w:line="282" w:lineRule="auto"/>
        <w:tabs>
          <w:tab w:leader="none" w:pos="71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effective on the Effective Date.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David Hering</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-121920</wp:posOffset>
            </wp:positionV>
            <wp:extent cx="2597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JEREMY GOWLER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Jeremy Gowler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5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579"/>
          </w:cols>
          <w:pgMar w:left="880" w:top="270"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Outside Activities</w:t>
      </w:r>
    </w:p>
    <w:p>
      <w:pPr>
        <w:sectPr>
          <w:pgSz w:w="11900" w:h="16838" w:orient="portrait"/>
          <w:cols w:equalWidth="0" w:num="1">
            <w:col w:w="9019"/>
          </w:cols>
          <w:pgMar w:left="1440" w:top="266" w:right="1440" w:bottom="1440" w:gutter="0" w:footer="0" w:header="0"/>
        </w:sectPr>
      </w:pPr>
    </w:p>
    <w:bookmarkStart w:id="25" w:name="page26"/>
    <w:bookmarkEnd w:id="2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SEPARATION AGREEMENT</w:t>
      </w:r>
      <w:r>
        <w:rPr>
          <w:rFonts w:ascii="Times New Roman" w:cs="Times New Roman" w:eastAsia="Times New Roman" w:hAnsi="Times New Roman"/>
          <w:sz w:val="26"/>
          <w:szCs w:val="26"/>
          <w:b w:val="1"/>
          <w:bCs w:val="1"/>
          <w:color w:val="auto"/>
          <w:vertAlign w:val="superscript"/>
        </w:rPr>
        <w:t>1</w:t>
      </w:r>
    </w:p>
    <w:p>
      <w:pPr>
        <w:spacing w:after="0" w:line="1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 Separation Agreement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[Name]:</w:t>
      </w:r>
    </w:p>
    <w:p>
      <w:pPr>
        <w:spacing w:after="0" w:line="225"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This letter sets forth the substance of the separation agreement (the “Agreement”) which Invivyd, Inc. (the “Company”) is offering to you to aid in your employment transition.</w:t>
      </w:r>
    </w:p>
    <w:p>
      <w:pPr>
        <w:spacing w:after="0" w:line="158" w:lineRule="exact"/>
        <w:rPr>
          <w:sz w:val="20"/>
          <w:szCs w:val="20"/>
          <w:color w:val="auto"/>
        </w:rPr>
      </w:pPr>
    </w:p>
    <w:p>
      <w:pPr>
        <w:ind w:left="184" w:hanging="184"/>
        <w:spacing w:after="0"/>
        <w:tabs>
          <w:tab w:leader="none" w:pos="18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Separation. </w:t>
      </w:r>
      <w:r>
        <w:rPr>
          <w:rFonts w:ascii="Times New Roman" w:cs="Times New Roman" w:eastAsia="Times New Roman" w:hAnsi="Times New Roman"/>
          <w:sz w:val="18"/>
          <w:szCs w:val="18"/>
          <w:color w:val="auto"/>
        </w:rPr>
        <w:t>Your last day of work with the Company and your employment termination date will be [Date] (the “Separation Date”).</w:t>
      </w:r>
    </w:p>
    <w:p>
      <w:pPr>
        <w:spacing w:after="0" w:line="225" w:lineRule="exact"/>
        <w:rPr>
          <w:rFonts w:ascii="Times New Roman" w:cs="Times New Roman" w:eastAsia="Times New Roman" w:hAnsi="Times New Roman"/>
          <w:sz w:val="18"/>
          <w:szCs w:val="18"/>
          <w:b w:val="1"/>
          <w:bCs w:val="1"/>
          <w:color w:val="auto"/>
        </w:rPr>
      </w:pPr>
    </w:p>
    <w:p>
      <w:pPr>
        <w:ind w:left="4" w:right="540" w:hanging="4"/>
        <w:spacing w:after="0" w:line="286" w:lineRule="auto"/>
        <w:tabs>
          <w:tab w:leader="none" w:pos="18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Accrued Salary. </w:t>
      </w:r>
      <w:r>
        <w:rPr>
          <w:rFonts w:ascii="Times New Roman" w:cs="Times New Roman" w:eastAsia="Times New Roman" w:hAnsi="Times New Roman"/>
          <w:sz w:val="18"/>
          <w:szCs w:val="18"/>
          <w:color w:val="auto"/>
        </w:rPr>
        <w:t>On the Separation Date, the Company will pay you all accrued salary earned through the Separation Date, subject to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deductions and withholdings. You will receive these payments regardless of whether or not you sign this Agreement.</w:t>
      </w:r>
    </w:p>
    <w:p>
      <w:pPr>
        <w:spacing w:after="0" w:line="154" w:lineRule="exact"/>
        <w:rPr>
          <w:rFonts w:ascii="Times New Roman" w:cs="Times New Roman" w:eastAsia="Times New Roman" w:hAnsi="Times New Roman"/>
          <w:sz w:val="18"/>
          <w:szCs w:val="18"/>
          <w:b w:val="1"/>
          <w:bCs w:val="1"/>
          <w:color w:val="auto"/>
        </w:rPr>
      </w:pPr>
    </w:p>
    <w:p>
      <w:pPr>
        <w:ind w:left="4" w:hanging="4"/>
        <w:spacing w:after="0" w:line="286" w:lineRule="auto"/>
        <w:tabs>
          <w:tab w:leader="none" w:pos="18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Severance Benefits. </w:t>
      </w:r>
      <w:r>
        <w:rPr>
          <w:rFonts w:ascii="Times New Roman" w:cs="Times New Roman" w:eastAsia="Times New Roman" w:hAnsi="Times New Roman"/>
          <w:sz w:val="18"/>
          <w:szCs w:val="18"/>
          <w:color w:val="auto"/>
        </w:rPr>
        <w:t>If you execute and do not revoke this Agreement set forth below in Section 13, the Company will provide you with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Severance Benefits pursuant to the terms of your [month, date, year] Employment Agreement.</w:t>
      </w:r>
    </w:p>
    <w:p>
      <w:pPr>
        <w:spacing w:after="0" w:line="159"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Benefit Plans.</w:t>
      </w:r>
    </w:p>
    <w:p>
      <w:pPr>
        <w:spacing w:after="0" w:line="227"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 xml:space="preserve">If you are currently participating in the Company’s group health insurance plans, your participation as an employee will end on [the Separation Date]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jc w:val="center"/>
        <w:ind w:left="5424" w:right="740" w:hanging="5424"/>
        <w:spacing w:after="0" w:line="334" w:lineRule="auto"/>
        <w:tabs>
          <w:tab w:leader="none" w:pos="438" w:val="left"/>
        </w:tabs>
        <w:numPr>
          <w:ilvl w:val="0"/>
          <w:numId w:val="3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revised by the Company to include provisions that are necessary based on the jurisdiction in which the employee works or resides. 21</w:t>
      </w:r>
    </w:p>
    <w:p>
      <w:pPr>
        <w:sectPr>
          <w:pgSz w:w="11900" w:h="16838" w:orient="portrait"/>
          <w:cols w:equalWidth="0" w:num="1">
            <w:col w:w="11004"/>
          </w:cols>
          <w:pgMar w:left="436" w:top="266" w:right="459" w:bottom="1440" w:gutter="0" w:footer="0" w:header="0"/>
        </w:sectPr>
      </w:pPr>
    </w:p>
    <w:bookmarkStart w:id="26" w:name="page27"/>
    <w:bookmarkEnd w:id="26"/>
    <w:p>
      <w:pPr>
        <w:ind w:left="4" w:right="7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Deductions for the 401(k) Plan will end with your last regular paycheck. You will receive information by mail concerning 401(k) plan rollover procedures should you be a participant in this program.</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 may be eligible for unemployment insurance benefits after the Separation Date.</w:t>
      </w:r>
    </w:p>
    <w:p>
      <w:pPr>
        <w:spacing w:after="0" w:line="221" w:lineRule="exact"/>
        <w:rPr>
          <w:sz w:val="20"/>
          <w:szCs w:val="20"/>
          <w:color w:val="auto"/>
        </w:rPr>
      </w:pPr>
    </w:p>
    <w:p>
      <w:pPr>
        <w:ind w:left="4" w:hanging="4"/>
        <w:spacing w:after="0" w:line="286" w:lineRule="auto"/>
        <w:tabs>
          <w:tab w:leader="none" w:pos="18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You were granted an option to purchase ________ shares of the Company’s common stock, pursuant to the Company’s [correct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 or incentive plan] (the “Plan”). Under the terms of the Plan and your stock option grant, vesting will cease as of the Separation Date.</w:t>
      </w:r>
    </w:p>
    <w:p>
      <w:pPr>
        <w:spacing w:after="0" w:line="154" w:lineRule="exact"/>
        <w:rPr>
          <w:rFonts w:ascii="Times New Roman" w:cs="Times New Roman" w:eastAsia="Times New Roman" w:hAnsi="Times New Roman"/>
          <w:sz w:val="18"/>
          <w:szCs w:val="18"/>
          <w:b w:val="1"/>
          <w:bCs w:val="1"/>
          <w:color w:val="auto"/>
        </w:rPr>
      </w:pPr>
    </w:p>
    <w:p>
      <w:pPr>
        <w:jc w:val="both"/>
        <w:ind w:left="4" w:right="60" w:hanging="4"/>
        <w:spacing w:after="0" w:line="268" w:lineRule="auto"/>
        <w:tabs>
          <w:tab w:leader="none" w:pos="18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Compensation or Benefits. </w:t>
      </w:r>
      <w:r>
        <w:rPr>
          <w:rFonts w:ascii="Times New Roman" w:cs="Times New Roman" w:eastAsia="Times New Roman" w:hAnsi="Times New Roman"/>
          <w:sz w:val="18"/>
          <w:szCs w:val="18"/>
          <w:color w:val="auto"/>
        </w:rPr>
        <w:t>You acknowledge that, except as expressly provided in this Agreement, as of the Separation Date, you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fully paid any and all compensation, severance, benefits due to you, including all wages, salary, commissions, bonuses, options, shares, stock, incentive payments, equity interests, profit-sharing payments, expense reimbursements, accrued but unused vacation pay, leave or other benefits.</w:t>
      </w:r>
    </w:p>
    <w:p>
      <w:pPr>
        <w:spacing w:after="0" w:line="170" w:lineRule="exact"/>
        <w:rPr>
          <w:rFonts w:ascii="Times New Roman" w:cs="Times New Roman" w:eastAsia="Times New Roman" w:hAnsi="Times New Roman"/>
          <w:sz w:val="18"/>
          <w:szCs w:val="18"/>
          <w:b w:val="1"/>
          <w:bCs w:val="1"/>
          <w:color w:val="auto"/>
        </w:rPr>
      </w:pPr>
    </w:p>
    <w:p>
      <w:pPr>
        <w:ind w:left="4" w:right="360" w:hanging="4"/>
        <w:spacing w:after="0" w:line="268" w:lineRule="auto"/>
        <w:tabs>
          <w:tab w:leader="none" w:pos="18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 Reimbursements. </w:t>
      </w:r>
      <w:r>
        <w:rPr>
          <w:rFonts w:ascii="Times New Roman" w:cs="Times New Roman" w:eastAsia="Times New Roman" w:hAnsi="Times New Roman"/>
          <w:sz w:val="18"/>
          <w:szCs w:val="18"/>
          <w:color w:val="auto"/>
        </w:rPr>
        <w:t>You agree that, within ten (10) days of the Separation Date, you will submit your final documented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170" w:lineRule="exact"/>
        <w:rPr>
          <w:rFonts w:ascii="Times New Roman" w:cs="Times New Roman" w:eastAsia="Times New Roman" w:hAnsi="Times New Roman"/>
          <w:sz w:val="18"/>
          <w:szCs w:val="18"/>
          <w:b w:val="1"/>
          <w:bCs w:val="1"/>
          <w:color w:val="auto"/>
        </w:rPr>
      </w:pPr>
    </w:p>
    <w:p>
      <w:pPr>
        <w:ind w:left="4" w:right="240" w:hanging="4"/>
        <w:spacing w:after="0" w:line="257" w:lineRule="auto"/>
        <w:tabs>
          <w:tab w:leader="none" w:pos="1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Return of Company Property</w:t>
      </w:r>
      <w:r>
        <w:rPr>
          <w:rFonts w:ascii="Times New Roman" w:cs="Times New Roman" w:eastAsia="Times New Roman" w:hAnsi="Times New Roman"/>
          <w:sz w:val="18"/>
          <w:szCs w:val="18"/>
          <w:color w:val="auto"/>
        </w:rPr>
        <w:t>. By the Separation Date, you agree to return to the Company all Company documents (and all copies thereof)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w:t>
      </w:r>
      <w:r>
        <w:rPr>
          <w:rFonts w:ascii="Times New Roman" w:cs="Times New Roman" w:eastAsia="Times New Roman" w:hAnsi="Times New Roman"/>
          <w:sz w:val="18"/>
          <w:szCs w:val="18"/>
          <w:b w:val="1"/>
          <w:bCs w:val="1"/>
          <w:color w:val="auto"/>
        </w:rPr>
        <w:t>Receipt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severance benefits described in Section 3 of this Agreement is expressly conditioned upon return of all Company Property.</w:t>
      </w:r>
    </w:p>
    <w:p>
      <w:pPr>
        <w:spacing w:after="0" w:line="182" w:lineRule="exact"/>
        <w:rPr>
          <w:rFonts w:ascii="Times New Roman" w:cs="Times New Roman" w:eastAsia="Times New Roman" w:hAnsi="Times New Roman"/>
          <w:sz w:val="18"/>
          <w:szCs w:val="18"/>
          <w:color w:val="auto"/>
        </w:rPr>
      </w:pPr>
    </w:p>
    <w:p>
      <w:pPr>
        <w:ind w:left="4" w:right="220" w:hanging="4"/>
        <w:spacing w:after="0" w:line="257" w:lineRule="auto"/>
        <w:tabs>
          <w:tab w:leader="none" w:pos="18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Confidential Information and Post-Termination Obligations. </w:t>
      </w:r>
      <w:r>
        <w:rPr>
          <w:rFonts w:ascii="Times New Roman" w:cs="Times New Roman" w:eastAsia="Times New Roman" w:hAnsi="Times New Roman"/>
          <w:sz w:val="18"/>
          <w:szCs w:val="18"/>
          <w:color w:val="auto"/>
        </w:rPr>
        <w:t>Both during and after your employment you acknowledge your continuing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w:t>
      </w:r>
    </w:p>
    <w:p>
      <w:pPr>
        <w:spacing w:after="0" w:line="11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4"/>
          </w:cols>
          <w:pgMar w:left="436" w:top="270" w:right="499" w:bottom="1440" w:gutter="0" w:footer="0" w:header="0"/>
        </w:sectPr>
      </w:pPr>
    </w:p>
    <w:bookmarkStart w:id="27" w:name="page28"/>
    <w:bookmarkEnd w:id="27"/>
    <w:p>
      <w:pPr>
        <w:ind w:left="4"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179" w:lineRule="exact"/>
        <w:rPr>
          <w:sz w:val="20"/>
          <w:szCs w:val="20"/>
          <w:color w:val="auto"/>
        </w:rPr>
      </w:pPr>
    </w:p>
    <w:p>
      <w:pPr>
        <w:ind w:left="4" w:right="60" w:hanging="4"/>
        <w:spacing w:after="0" w:line="241" w:lineRule="auto"/>
        <w:tabs>
          <w:tab w:leader="none" w:pos="27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Non-Compete</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exchange for the payments and other consideration under this Agreement, to which you would not otherwise be entitled,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201" w:lineRule="exact"/>
        <w:rPr>
          <w:rFonts w:ascii="Times New Roman" w:cs="Times New Roman" w:eastAsia="Times New Roman" w:hAnsi="Times New Roman"/>
          <w:sz w:val="18"/>
          <w:szCs w:val="18"/>
          <w:b w:val="1"/>
          <w:bCs w:val="1"/>
          <w:color w:val="auto"/>
        </w:rPr>
      </w:pPr>
    </w:p>
    <w:p>
      <w:pPr>
        <w:ind w:left="4" w:right="440" w:firstLine="436"/>
        <w:spacing w:after="0" w:line="282" w:lineRule="auto"/>
        <w:tabs>
          <w:tab w:leader="none" w:pos="639"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161" w:lineRule="exact"/>
        <w:rPr>
          <w:rFonts w:ascii="Times New Roman" w:cs="Times New Roman" w:eastAsia="Times New Roman" w:hAnsi="Times New Roman"/>
          <w:sz w:val="18"/>
          <w:szCs w:val="18"/>
          <w:b w:val="1"/>
          <w:bCs w:val="1"/>
          <w:color w:val="auto"/>
        </w:rPr>
      </w:pPr>
    </w:p>
    <w:p>
      <w:pPr>
        <w:ind w:left="4" w:firstLine="436"/>
        <w:spacing w:after="0" w:line="282" w:lineRule="auto"/>
        <w:tabs>
          <w:tab w:leader="none" w:pos="649"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157" w:lineRule="exact"/>
        <w:rPr>
          <w:rFonts w:ascii="Times New Roman" w:cs="Times New Roman" w:eastAsia="Times New Roman" w:hAnsi="Times New Roman"/>
          <w:sz w:val="18"/>
          <w:szCs w:val="18"/>
          <w:b w:val="1"/>
          <w:bCs w:val="1"/>
          <w:color w:val="auto"/>
        </w:rPr>
      </w:pPr>
    </w:p>
    <w:p>
      <w:pPr>
        <w:ind w:left="4" w:right="40" w:hanging="4"/>
        <w:spacing w:after="0" w:line="256" w:lineRule="auto"/>
        <w:tabs>
          <w:tab w:leader="none" w:pos="26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Confidentiality. </w:t>
      </w:r>
      <w:r>
        <w:rPr>
          <w:rFonts w:ascii="Times New Roman" w:cs="Times New Roman" w:eastAsia="Times New Roman" w:hAnsi="Times New Roman"/>
          <w:sz w:val="18"/>
          <w:szCs w:val="18"/>
          <w:color w:val="auto"/>
        </w:rPr>
        <w:t>The provisions of this Agreement will be held in strictest confidence by you and will not be publicized or disclosed in any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whatsoever;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1" w:lineRule="exact"/>
        <w:rPr>
          <w:sz w:val="20"/>
          <w:szCs w:val="20"/>
          <w:color w:val="auto"/>
        </w:rPr>
      </w:pPr>
    </w:p>
    <w:p>
      <w:pPr>
        <w:ind w:left="5424" w:right="3360" w:hanging="5424"/>
        <w:spacing w:after="0" w:line="334" w:lineRule="auto"/>
        <w:tabs>
          <w:tab w:leader="none" w:pos="438" w:val="left"/>
        </w:tabs>
        <w:numPr>
          <w:ilvl w:val="0"/>
          <w:numId w:val="3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Section 10 shall not apply to employees working or residing in California upon date of Termination. 23</w:t>
      </w:r>
    </w:p>
    <w:p>
      <w:pPr>
        <w:sectPr>
          <w:pgSz w:w="11900" w:h="16838" w:orient="portrait"/>
          <w:cols w:equalWidth="0" w:num="1">
            <w:col w:w="11004"/>
          </w:cols>
          <w:pgMar w:left="436" w:top="270" w:right="459" w:bottom="1440" w:gutter="0" w:footer="0" w:header="0"/>
        </w:sectPr>
      </w:pPr>
    </w:p>
    <w:bookmarkStart w:id="28" w:name="page29"/>
    <w:bookmarkEnd w:id="28"/>
    <w:p>
      <w:pPr>
        <w:ind w:left="4" w:right="80" w:hanging="4"/>
        <w:spacing w:after="0" w:line="254" w:lineRule="auto"/>
        <w:tabs>
          <w:tab w:leader="none" w:pos="27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Non-Disparagement. </w:t>
      </w:r>
      <w:r>
        <w:rPr>
          <w:rFonts w:ascii="Times New Roman" w:cs="Times New Roman" w:eastAsia="Times New Roman" w:hAnsi="Times New Roman"/>
          <w:sz w:val="18"/>
          <w:szCs w:val="18"/>
          <w:color w:val="auto"/>
        </w:rPr>
        <w:t>You agree not to disparage the Company, and the Company’s attorneys, directors, managers, partners, employees, agents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 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88" w:lineRule="exact"/>
        <w:rPr>
          <w:rFonts w:ascii="Times New Roman" w:cs="Times New Roman" w:eastAsia="Times New Roman" w:hAnsi="Times New Roman"/>
          <w:sz w:val="18"/>
          <w:szCs w:val="18"/>
          <w:b w:val="1"/>
          <w:bCs w:val="1"/>
          <w:color w:val="auto"/>
        </w:rPr>
      </w:pPr>
    </w:p>
    <w:p>
      <w:pPr>
        <w:ind w:left="4" w:right="320" w:hanging="4"/>
        <w:spacing w:after="0" w:line="262" w:lineRule="auto"/>
        <w:tabs>
          <w:tab w:leader="none" w:pos="27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Cooperation after Termination. </w:t>
      </w:r>
      <w:r>
        <w:rPr>
          <w:rFonts w:ascii="Times New Roman" w:cs="Times New Roman" w:eastAsia="Times New Roman" w:hAnsi="Times New Roman"/>
          <w:sz w:val="18"/>
          <w:szCs w:val="18"/>
          <w:color w:val="auto"/>
        </w:rPr>
        <w:t>You agree to cooperate fully with the Company in all matters relating to the transition of your work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176" w:lineRule="exact"/>
        <w:rPr>
          <w:rFonts w:ascii="Times New Roman" w:cs="Times New Roman" w:eastAsia="Times New Roman" w:hAnsi="Times New Roman"/>
          <w:sz w:val="18"/>
          <w:szCs w:val="18"/>
          <w:b w:val="1"/>
          <w:bCs w:val="1"/>
          <w:color w:val="auto"/>
        </w:rPr>
      </w:pPr>
    </w:p>
    <w:p>
      <w:pPr>
        <w:ind w:left="4" w:hanging="4"/>
        <w:spacing w:after="0" w:line="253" w:lineRule="auto"/>
        <w:tabs>
          <w:tab w:leader="none" w:pos="27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Release. </w:t>
      </w:r>
      <w:r>
        <w:rPr>
          <w:rFonts w:ascii="Times New Roman" w:cs="Times New Roman" w:eastAsia="Times New Roman" w:hAnsi="Times New Roman"/>
          <w:sz w:val="18"/>
          <w:szCs w:val="18"/>
          <w:color w:val="auto"/>
        </w:rPr>
        <w:t>In exchange for the payments and other consideration under this Agreement, to which you would not otherwise be entitled, and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9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violated its personnel policies, handbooks, contracts of employment, or covenants of good faith and fair dealing;</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6" w:right="459" w:bottom="1440" w:gutter="0" w:footer="0" w:header="0"/>
        </w:sectPr>
      </w:pPr>
    </w:p>
    <w:bookmarkStart w:id="29" w:name="page30"/>
    <w:bookmarkEnd w:id="29"/>
    <w:p>
      <w:pPr>
        <w:ind w:left="424" w:right="40" w:hanging="424"/>
        <w:spacing w:after="0" w:line="253"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all as amended, and any and all other federal, state or local laws, rules, regulations, constitutions, ordinances or public policies, whether known or unknown, prohibiting employment discrimination;</w:t>
      </w:r>
    </w:p>
    <w:p>
      <w:pPr>
        <w:spacing w:after="0" w:line="95" w:lineRule="exact"/>
        <w:rPr>
          <w:rFonts w:ascii="Times New Roman" w:cs="Times New Roman" w:eastAsia="Times New Roman" w:hAnsi="Times New Roman"/>
          <w:sz w:val="18"/>
          <w:szCs w:val="18"/>
          <w:color w:val="auto"/>
        </w:rPr>
      </w:pPr>
    </w:p>
    <w:p>
      <w:pPr>
        <w:ind w:left="424" w:hanging="424"/>
        <w:spacing w:after="0" w:line="272" w:lineRule="auto"/>
        <w:tabs>
          <w:tab w:leader="none" w:pos="42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w:t>
      </w:r>
    </w:p>
    <w:p>
      <w:pPr>
        <w:spacing w:after="0" w:line="77" w:lineRule="exact"/>
        <w:rPr>
          <w:rFonts w:ascii="Times New Roman" w:cs="Times New Roman" w:eastAsia="Times New Roman" w:hAnsi="Times New Roman"/>
          <w:sz w:val="17"/>
          <w:szCs w:val="17"/>
          <w:color w:val="auto"/>
        </w:rPr>
      </w:pPr>
    </w:p>
    <w:p>
      <w:pPr>
        <w:ind w:left="424" w:hanging="424"/>
        <w:spacing w:after="0" w:line="255"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21"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444"/>
          </w:cols>
          <w:pgMar w:left="976" w:top="270" w:right="479" w:bottom="1440" w:gutter="0" w:footer="0" w:header="0"/>
        </w:sectPr>
      </w:pPr>
    </w:p>
    <w:bookmarkStart w:id="30" w:name="page31"/>
    <w:bookmarkEnd w:id="30"/>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189" w:lineRule="exact"/>
        <w:rPr>
          <w:sz w:val="20"/>
          <w:szCs w:val="20"/>
          <w:color w:val="auto"/>
        </w:rPr>
      </w:pPr>
    </w:p>
    <w:p>
      <w:pPr>
        <w:ind w:left="4" w:right="60" w:hanging="4"/>
        <w:spacing w:after="0" w:line="255" w:lineRule="auto"/>
        <w:tabs>
          <w:tab w:leader="none" w:pos="27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Your Acknowledgments and Affirmations/ Effective Date of Agreement. </w:t>
      </w:r>
      <w:r>
        <w:rPr>
          <w:rFonts w:ascii="Times New Roman" w:cs="Times New Roman" w:eastAsia="Times New Roman" w:hAnsi="Times New Roman"/>
          <w:sz w:val="18"/>
          <w:szCs w:val="18"/>
          <w:color w:val="auto"/>
        </w:rPr>
        <w:t>You acknowledge that you are knowingly and voluntarily waiving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31" w:name="page32"/>
    <w:bookmarkEnd w:id="31"/>
    <w:p>
      <w:pPr>
        <w:ind w:left="4"/>
        <w:spacing w:after="0" w:line="23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(21)/forty-five (45)</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days to consider this Agreement (although you may choose to voluntarily execute this Agreement earlier and if you do you will sign the Consideration Period waiver below); (d) you have seven</w:t>
      </w:r>
    </w:p>
    <w:p>
      <w:pPr>
        <w:spacing w:after="0" w:line="2" w:lineRule="exact"/>
        <w:rPr>
          <w:sz w:val="20"/>
          <w:szCs w:val="20"/>
          <w:color w:val="auto"/>
        </w:rPr>
      </w:pPr>
    </w:p>
    <w:p>
      <w:pPr>
        <w:ind w:left="4" w:right="20" w:hanging="4"/>
        <w:spacing w:after="0" w:line="258" w:lineRule="auto"/>
        <w:tabs>
          <w:tab w:leader="none" w:pos="25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your execution of this Agreement to revoke this Agreement by providing written notice of your decision to revoke the Agreement to the Company, Attention: [Jill Andersen, Chief Legal Officer, 1601 Trapelo Road, Suite 178, Waltham, MA 02451], by no later than 12:01 a.m. on the eighth (8th) calendar day after the date by which you have signed this Agreement (the “Revocation Deadline”); and (e) this Agreement shall not be effective until the date upon which the revocation period has expired unexercised (the “Effective Date”), which shall be the eighth business day after this Agreement is executed by you[ and (f) you acknowledge that with your receipt of this Agreement, you also received an “Age Discrimination in Employment Act Disclosure,” attached as Exhibit A]</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jc w:val="both"/>
        <w:ind w:left="4" w:right="120" w:hanging="4"/>
        <w:spacing w:after="0" w:line="268" w:lineRule="auto"/>
        <w:tabs>
          <w:tab w:leader="none" w:pos="27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Admission. </w:t>
      </w:r>
      <w:r>
        <w:rPr>
          <w:rFonts w:ascii="Times New Roman" w:cs="Times New Roman" w:eastAsia="Times New Roman" w:hAnsi="Times New Roman"/>
          <w:sz w:val="18"/>
          <w:szCs w:val="18"/>
          <w:color w:val="auto"/>
        </w:rPr>
        <w:t>This Agreement does not constitute an admission by the Company of any wrongful action or violation of any federal, state, or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statute, or common law rights, including those relating to the provisions of any law or statute concerning employment actions, or of any other possible or claimed violation of law or rights.</w:t>
      </w:r>
    </w:p>
    <w:p>
      <w:pPr>
        <w:spacing w:after="0" w:line="170" w:lineRule="exact"/>
        <w:rPr>
          <w:rFonts w:ascii="Times New Roman" w:cs="Times New Roman" w:eastAsia="Times New Roman" w:hAnsi="Times New Roman"/>
          <w:sz w:val="18"/>
          <w:szCs w:val="18"/>
          <w:b w:val="1"/>
          <w:bCs w:val="1"/>
          <w:color w:val="auto"/>
        </w:rPr>
      </w:pPr>
    </w:p>
    <w:p>
      <w:pPr>
        <w:ind w:left="4" w:right="40" w:hanging="4"/>
        <w:spacing w:after="0" w:line="255" w:lineRule="auto"/>
        <w:tabs>
          <w:tab w:leader="none" w:pos="27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Breach. </w:t>
      </w:r>
      <w:r>
        <w:rPr>
          <w:rFonts w:ascii="Times New Roman" w:cs="Times New Roman" w:eastAsia="Times New Roman" w:hAnsi="Times New Roman"/>
          <w:sz w:val="18"/>
          <w:szCs w:val="18"/>
          <w:color w:val="auto"/>
        </w:rPr>
        <w:t>You agree that upon any breach of this Agreement you will forfeit all amounts paid or owing to you under this Agreement. Further,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184" w:lineRule="exact"/>
        <w:rPr>
          <w:rFonts w:ascii="Times New Roman" w:cs="Times New Roman" w:eastAsia="Times New Roman" w:hAnsi="Times New Roman"/>
          <w:sz w:val="18"/>
          <w:szCs w:val="18"/>
          <w:b w:val="1"/>
          <w:bCs w:val="1"/>
          <w:color w:val="auto"/>
        </w:rPr>
      </w:pPr>
    </w:p>
    <w:p>
      <w:pPr>
        <w:ind w:left="4" w:right="140" w:hanging="4"/>
        <w:spacing w:after="0" w:line="286" w:lineRule="auto"/>
        <w:tabs>
          <w:tab w:leader="none" w:pos="27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This Agreement, including any exhibits, constitutes the complete, final and exclusive embodiment of the entire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and the Company with regard to this subject matter. It is entered into without reliance on any promise or representation, written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715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79" w:lineRule="exact"/>
        <w:rPr>
          <w:sz w:val="20"/>
          <w:szCs w:val="20"/>
          <w:color w:val="auto"/>
        </w:rPr>
      </w:pPr>
    </w:p>
    <w:p>
      <w:pPr>
        <w:ind w:left="424" w:hanging="424"/>
        <w:spacing w:after="0"/>
        <w:tabs>
          <w:tab w:leader="none" w:pos="424" w:val="left"/>
        </w:tabs>
        <w:numPr>
          <w:ilvl w:val="0"/>
          <w:numId w:val="4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Applicable only in event of group layoff.</w:t>
      </w:r>
    </w:p>
    <w:p>
      <w:pPr>
        <w:ind w:left="424" w:hanging="424"/>
        <w:spacing w:after="0" w:line="180" w:lineRule="auto"/>
        <w:tabs>
          <w:tab w:leader="none" w:pos="424"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Applicable only in event of group layoff.</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2" w:name="page33"/>
    <w:bookmarkEnd w:id="32"/>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State of California as applied to contracts made and to be performed entirely within California.</w:t>
      </w:r>
    </w:p>
    <w:p>
      <w:pPr>
        <w:spacing w:after="0" w:line="189" w:lineRule="exact"/>
        <w:rPr>
          <w:sz w:val="20"/>
          <w:szCs w:val="20"/>
          <w:color w:val="auto"/>
        </w:rPr>
      </w:pPr>
    </w:p>
    <w:p>
      <w:pPr>
        <w:ind w:left="264" w:hanging="264"/>
        <w:spacing w:after="0"/>
        <w:tabs>
          <w:tab w:leader="none" w:pos="26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ensure the rapid and economical resolution of disputes that may arise in connection with your employment with the Company, you and the</w:t>
      </w:r>
    </w:p>
    <w:p>
      <w:pPr>
        <w:spacing w:after="0" w:line="27" w:lineRule="exact"/>
        <w:rPr>
          <w:rFonts w:ascii="Times New Roman" w:cs="Times New Roman" w:eastAsia="Times New Roman" w:hAnsi="Times New Roman"/>
          <w:sz w:val="18"/>
          <w:szCs w:val="18"/>
          <w:b w:val="1"/>
          <w:bCs w:val="1"/>
          <w:color w:val="auto"/>
        </w:rPr>
      </w:pPr>
    </w:p>
    <w:p>
      <w:pPr>
        <w:ind w:left="4"/>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Company agree that any and all disputes, claims, or causes of action, in law or equity, including but not limited to statutory claims (including, but not limited to, the Massachusetts Antidiscrimination Act, Mass. Gen. Laws ch.151B and the Massachusetts Wage Act, Mass. Gen. Laws ch. 149),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JAMS’ then applicable rules and procedures for employment disputes (available upon request and also currently available at </w:t>
      </w:r>
      <w:r>
        <w:rPr>
          <w:rFonts w:ascii="Times New Roman" w:cs="Times New Roman" w:eastAsia="Times New Roman" w:hAnsi="Times New Roman"/>
          <w:sz w:val="18"/>
          <w:szCs w:val="18"/>
          <w:u w:val="single" w:color="auto"/>
          <w:color w:val="auto"/>
        </w:rPr>
        <w:t>http://www.jamsadr.com/rules-employment-arbitration/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acknowledge that by agreeing to this arbitration procedure, both you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Company waive the right to resolve any such dispute through a trial by jury or judge or administrative proceeding. </w:t>
      </w:r>
      <w:r>
        <w:rPr>
          <w:rFonts w:ascii="Times New Roman" w:cs="Times New Roman" w:eastAsia="Times New Roman" w:hAnsi="Times New Roman"/>
          <w:sz w:val="18"/>
          <w:szCs w:val="18"/>
          <w:color w:val="auto"/>
        </w:rPr>
        <w:t>You will have the right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by legal counsel at any arbitration proceeding.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w:t>
      </w:r>
    </w:p>
    <w:p>
      <w:pPr>
        <w:spacing w:after="0" w:line="191" w:lineRule="exact"/>
        <w:rPr>
          <w:sz w:val="20"/>
          <w:szCs w:val="20"/>
          <w:color w:val="auto"/>
        </w:rPr>
      </w:pPr>
    </w:p>
    <w:p>
      <w:pPr>
        <w:ind w:left="4" w:right="80"/>
        <w:spacing w:after="0" w:line="312" w:lineRule="auto"/>
        <w:rPr>
          <w:sz w:val="20"/>
          <w:szCs w:val="20"/>
          <w:color w:val="auto"/>
        </w:rPr>
      </w:pPr>
      <w:r>
        <w:rPr>
          <w:rFonts w:ascii="Times New Roman" w:cs="Times New Roman" w:eastAsia="Times New Roman" w:hAnsi="Times New Roman"/>
          <w:sz w:val="17"/>
          <w:szCs w:val="17"/>
          <w:color w:val="auto"/>
        </w:rPr>
        <w:t>If this Agreement is acceptable to you, please sign below and return the original to me on or after your Separation Date, but no later than the date that is [twenty-one (21)/forty-five (45)] days after you receive this Agreement. This offer will expire if we have not received your executed copy by that date.</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wish you good luck in your future endeavors.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Invivyd, Inc.</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GREED TO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CCEPTED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CONSIDERATION PERIOD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____________________, understand that I have the right to take at least [21][45] days to consider whether to sign this Agreement, which I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___________ __, 20__. If I elect to sign this Agreement before [21][45] days have passed, I understand I am to sign and date below this paragraph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 that I knowingly and voluntarily agree to waive the 21-day consideration period.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40" w:top="270" w:right="4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APPOINTS JEREMY GOWLER AS CHIEF OPERATING AND COMMERCIAL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PROMOTES PETE SCHMIDT, M.D., TO CHIEF MEDICAL OFFICER</w:t>
      </w:r>
    </w:p>
    <w:p>
      <w:pPr>
        <w:spacing w:after="0" w:line="203" w:lineRule="exact"/>
        <w:rPr>
          <w:sz w:val="20"/>
          <w:szCs w:val="20"/>
          <w:color w:val="auto"/>
        </w:rPr>
      </w:pPr>
    </w:p>
    <w:p>
      <w:pPr>
        <w:jc w:val="both"/>
        <w:ind w:right="6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WALTHAM, MASS; December 06, 2022 – </w:t>
      </w:r>
      <w:r>
        <w:rPr>
          <w:rFonts w:ascii="Times New Roman" w:cs="Times New Roman" w:eastAsia="Times New Roman" w:hAnsi="Times New Roman"/>
          <w:sz w:val="18"/>
          <w:szCs w:val="18"/>
          <w:color w:val="auto"/>
        </w:rPr>
        <w:t>Invivyd, Inc. (Nasdaq: IVVD), a clinical-stage biopharmaceutical company on a mission to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humanity from serious viral respiratory diseases, today announced the appointment of Jeremy Gowler as chief operating and commercial officer, effective December 16, 2022, and the promotion of Pete Schmidt, M.D. to chief medical officer, effective immediately.</w:t>
      </w:r>
    </w:p>
    <w:p>
      <w:pPr>
        <w:spacing w:after="0" w:line="17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his new role Mr. Gowler will oversee operations and commercial activities for the company. Dr. Schmidt will be responsible for overseeing all medical, clinical development and regulatory activities at Invivyd. Dr. Ellie Hershberger, Invivyd’s chief development officer, is departing from the Company, but is anticipated to provide consulting services for development activities.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Mr. Gowler brings 20 years of experience across multiple key commercialization functions throughout the product lifecycle and experience in business development. Prior to joining Invivyd, he has served as the commercial global head of the biopharma business unit of Sandoz, where he was responsible for late-stage clinical trial launches and global product commercialization across their portfolio. Before his time at Sandoz, he held multiple senior commercial roles across the pharmaceutical and biotechnology industry. Mr. Gowler received his Diploma of Technology from The British Colombia Institute of Technology and a B.S. in biology and environmental studies from the University of Victoria.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is a proven leader in the biopharma industry and will be a valued partner to me and to our executive team. His expertise will</w:t>
      </w:r>
    </w:p>
    <w:p>
      <w:pPr>
        <w:spacing w:after="0" w:line="2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strengthen Invivyd as we continue to advance our pipeline and will be instrumental in advancing our business priorities,” said David Hering, Invivyd CEO and director.</w:t>
      </w:r>
    </w:p>
    <w:p>
      <w:pPr>
        <w:spacing w:after="0" w:line="18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Dr. Schmidt has served as Invivyd’s vice president of clinical research for the past two years where he was central in advancing adintrevimab into clinical trials. Prior to joining Invivyd, Dr. Schmidt worked in academic research and therapeutics development for neurology, pain, and respiratory products. He is an assistant clinical professor in the Division of Pain Medicine at the Stanford University School of Medicine. He received a B.A. in Psychology from Cornell University, an MSc in Epidemiology and Clinical Research from Stanford University and an M.D. from the University of Colorado School of Medicine.</w:t>
      </w:r>
    </w:p>
    <w:p>
      <w:pPr>
        <w:spacing w:after="0" w:line="18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 am honored to continue working with the team at Invivyd as we advance our pipeline of monoclonal antibodies against COVID-19 and other respiratory illnesses,” said Dr. Schmidt. “I feel particularly passionate about addressing the unmet needs of vulnerable populations who are currently facing the worst season of respiratory viruses in recent memory.”</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“Pete has been outstanding for this organization, and I am extremely confident that those efforts will be duplicated and exceeded in his new role,” said Hering. “His unique skillset will allow us to seamlessly consolidate the CMO and CDO roles. I would also like to thank Ellie Hershberger for her significant contributions to Invivyd over the past several years, including establishing a strong development team. With Jeremy and Pete’s broad experience and capabilities, we are maximizing resources and remaining laser focused on key priorities. I am extremely excited to add two professionals with their credentials to our leadership team.”</w:t>
      </w:r>
    </w:p>
    <w:p>
      <w:pPr>
        <w:sectPr>
          <w:pgSz w:w="11900" w:h="16838" w:orient="portrait"/>
          <w:cols w:equalWidth="0" w:num="1">
            <w:col w:w="11020"/>
          </w:cols>
          <w:pgMar w:left="440" w:top="117"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Invivyd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IVVD)</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Invivyd Inc., formerly Adagio Therapeutics (Nasdaq: ADGI), is a biopharmaceutical company on a mission to protect humanity from serious viral respiratory diseases. The company is developing antibodies to transcend the limits of naturally occurring immunity and provide superior protection from viral diseases, beginning with COVID-19. Invivyd’s technology works at the intersection of evolutionary virology, predictive modeling, and antibody engineering, and is designed to identify high-quality, long-lasting antibodies with a high barrier to viral escape. The company is generating a robust pipeline of products for use in both prevention and treatment of disease. NVD200, Invivyd’s first antibody combination product candidate for the prevention and treatment of COVID-19, includes a re-engineered version of adintrevimab, an investigational monoclonal antibody which demonstrated clinically meaningful results against multiple variants of concern in global Phase 2/3 clinical trials for the prevention and treatment of COVID-19, prior to the emergence of Omicron. The safety and efficacy of adintrevimab have not been established. The company also has multiple discovery stage candidates for the prevention of seasonal influenza. Visit </w:t>
      </w:r>
      <w:r>
        <w:rPr>
          <w:rFonts w:ascii="Times New Roman" w:cs="Times New Roman" w:eastAsia="Times New Roman" w:hAnsi="Times New Roman"/>
          <w:sz w:val="18"/>
          <w:szCs w:val="18"/>
          <w:u w:val="single" w:color="auto"/>
          <w:color w:val="auto"/>
        </w:rPr>
        <w:t>www.invivyd.com</w:t>
      </w:r>
      <w:r>
        <w:rPr>
          <w:rFonts w:ascii="Times New Roman" w:cs="Times New Roman" w:eastAsia="Times New Roman" w:hAnsi="Times New Roman"/>
          <w:sz w:val="18"/>
          <w:szCs w:val="18"/>
          <w:color w:val="auto"/>
        </w:rPr>
        <w:t xml:space="preserve"> to learn more.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implementation and impact of the management changes and consolidation and the intended benefits to the company from the changes; the future of the COVID-19 landscape including the expectation of continued evolution and emergence of new variants and subvariants; our ongoing research and clinical development plans and the timing thereof; our plans to advance adintrevimab, NVD200, or other early stage candidates as a potential prophylaxis and treatment option for COVID-19, including disease caused by most variants, as either a single or combination agent, including our intention to initiate clinical development of NVD200 in the first quarter of 2023; the potential for adintrevimab and NVD200 to demonstrate activity against predominant SARS-CoV-2 variant(s) in the U.S. and globally; our plans, technology and resources to develop therapeutic or preventative options for other infectious diseases, such as additional coronaviruses and seasonal influenza, in the U.S. and globally;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we may not realize anticipated benefits from the management changes and consolidation; potential disruptions to the business as a result of management transitions; the impacts of the COVID-19 pandemic on our business and those of our collaborators, our clinical trials and our financial position; unexpected safety or efficacy data observed during preclinical studies or clinical trials; the predictability of clinical success of adintrevimab, NVD200, or other pipeline candidates or combination of candidates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the uncertainties and timing of the regulatory approval process, including the outcome of our discussions with regulatory authorities concerning our clinical trials; whether adintrevimab, NVD200, or any other pipeline candidate or combination of candidates is able to demonstrate activity against predominant SARS-CoV-2 variant(s) in the U.S. and globally; whether we are able to successfully submit an emergency use authorization in the future, and the outcome of any such emergency use authorization submission; whether research and development efforts will improve efficacy of adintrevimab against predominant variants or identify additional monoclonal antibodies or combination of antibodies for the prevention and treatment of COVID-19 and other infectious diseases; whether research and development efforts will identify and result in safe and effective therapeutic or preventative options for other infectious diseases in the U.S. or globally and whether we have adequate funding to meet future operating expenses and capital expenditure requirements.</w:t>
      </w:r>
    </w:p>
    <w:p>
      <w:pPr>
        <w:sectPr>
          <w:pgSz w:w="11900" w:h="16838" w:orient="portrait"/>
          <w:cols w:equalWidth="0" w:num="1">
            <w:col w:w="10980"/>
          </w:cols>
          <w:pgMar w:left="440" w:top="266" w:right="479" w:bottom="1440" w:gutter="0" w:footer="0" w:header="0"/>
        </w:sectPr>
      </w:pPr>
    </w:p>
    <w:bookmarkStart w:id="36" w:name="page37"/>
    <w:bookmarkEnd w:id="3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factors that may cause our actual results to differ materially from those expressed or implied in the forward-looking statements in this press release are described under the heading “Risk Factors” in our Annual Report on Form 10-K for the year ended December 31, 2021 and our Quarterly Report on Form 10-Q for the quarter ended September 30, 2022, each filed with the Securities and Exchange Commission (the “SEC”), and in our other filings with the SEC, and in Invivyd’s future reports to be filed with the SEC and available at www.sec.gov. Such risks may be amplified by the impacts of the COVID-19 pandemic.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contains hyperlinks to information that is not deemed to be incorporated by reference in this press release.</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Tony Berry, Evoke Canale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774-317-0422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anthony.berry@evokegroup.com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Brinzey, ICR Westwicke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chris.brinzey@westwicke.com</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lvl w:ilvl="1">
      <w:lvlJc w:val="left"/>
      <w:lvlText w:val="(%2)"/>
      <w:numFmt w:val="lowerLetter"/>
      <w:start w:val="1"/>
    </w:lvl>
  </w:abstractNum>
  <w:abstractNum w:abstractNumId="2">
    <w:nsid w:val="8EDBDAB"/>
    <w:multiLevelType w:val="hybridMultilevel"/>
    <w:lvl w:ilvl="0">
      <w:lvlJc w:val="left"/>
      <w:lvlText w:val="%1."/>
      <w:numFmt w:val="decimal"/>
      <w:start w:val="2"/>
    </w:lvl>
    <w:lvl w:ilvl="1">
      <w:lvlJc w:val="left"/>
      <w:lvlText w:val="(%2)"/>
      <w:numFmt w:val="lowerLetter"/>
      <w:start w:val="1"/>
    </w:lvl>
  </w:abstractNum>
  <w:abstractNum w:abstractNumId="3">
    <w:nsid w:val="79838CB2"/>
    <w:multiLevelType w:val="hybridMultilevel"/>
    <w:lvl w:ilvl="0">
      <w:lvlJc w:val="left"/>
      <w:lvlText w:val="(%1)"/>
      <w:numFmt w:val="lowerLetter"/>
      <w:start w:val="4"/>
    </w:lvl>
  </w:abstractNum>
  <w:abstractNum w:abstractNumId="4">
    <w:nsid w:val="4353D0CD"/>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5">
    <w:nsid w:val="B03E0C6"/>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abstractNum>
  <w:abstractNum w:abstractNumId="6">
    <w:nsid w:val="189A769B"/>
    <w:multiLevelType w:val="hybridMultilevel"/>
    <w:lvl w:ilvl="0">
      <w:lvlJc w:val="left"/>
      <w:lvlText w:val="(%1)"/>
      <w:numFmt w:val="lowerLetter"/>
      <w:start w:val="2"/>
    </w:lvl>
    <w:lvl w:ilvl="1">
      <w:lvlJc w:val="left"/>
      <w:lvlText w:val="(%2)"/>
      <w:numFmt w:val="lowerLetter"/>
      <w:start w:val="9"/>
    </w:lvl>
  </w:abstractNum>
  <w:abstractNum w:abstractNumId="7">
    <w:nsid w:val="54E49EB4"/>
    <w:multiLevelType w:val="hybridMultilevel"/>
    <w:lvl w:ilvl="0">
      <w:lvlJc w:val="left"/>
      <w:lvlText w:val="(%1)"/>
      <w:numFmt w:val="lowerRoman"/>
      <w:start w:val="2"/>
    </w:lvl>
  </w:abstractNum>
  <w:abstractNum w:abstractNumId="8">
    <w:nsid w:val="71F32454"/>
    <w:multiLevelType w:val="hybridMultilevel"/>
    <w:lvl w:ilvl="0">
      <w:lvlJc w:val="left"/>
      <w:lvlText w:val="(%1)"/>
      <w:numFmt w:val="lowerLetter"/>
      <w:start w:val="4"/>
    </w:lvl>
    <w:lvl w:ilvl="1">
      <w:lvlJc w:val="left"/>
      <w:lvlText w:val="(%2)"/>
      <w:numFmt w:val="lowerRoman"/>
      <w:start w:val="1"/>
    </w:lvl>
  </w:abstractNum>
  <w:abstractNum w:abstractNumId="9">
    <w:nsid w:val="2CA88611"/>
    <w:multiLevelType w:val="hybridMultilevel"/>
    <w:lvl w:ilvl="0">
      <w:lvlJc w:val="left"/>
      <w:lvlText w:val="(%1)"/>
      <w:numFmt w:val="lowerRoman"/>
      <w:start w:val="2"/>
    </w:lvl>
  </w:abstractNum>
  <w:abstractNum w:abstractNumId="10">
    <w:nsid w:val="836C40E"/>
    <w:multiLevelType w:val="hybridMultilevel"/>
    <w:lvl w:ilvl="0">
      <w:lvlJc w:val="left"/>
      <w:lvlText w:val="%1."/>
      <w:numFmt w:val="decimal"/>
      <w:start w:val="4"/>
    </w:lvl>
    <w:lvl w:ilvl="1">
      <w:lvlJc w:val="left"/>
      <w:lvlText w:val="(%2)"/>
      <w:numFmt w:val="lowerLetter"/>
      <w:start w:val="1"/>
    </w:lvl>
  </w:abstractNum>
  <w:abstractNum w:abstractNumId="11">
    <w:nsid w:val="2901D82"/>
    <w:multiLevelType w:val="hybridMultilevel"/>
    <w:lvl w:ilvl="0">
      <w:lvlJc w:val="left"/>
      <w:lvlText w:val="%1"/>
      <w:numFmt w:val="decimal"/>
      <w:start w:val="1"/>
    </w:lvl>
    <w:lvl w:ilvl="1">
      <w:lvlJc w:val="left"/>
      <w:lvlText w:val="(%2)"/>
      <w:numFmt w:val="lowerLetter"/>
      <w:start w:val="4"/>
    </w:lvl>
  </w:abstractNum>
  <w:abstractNum w:abstractNumId="12">
    <w:nsid w:val="3A95F874"/>
    <w:multiLevelType w:val="hybridMultilevel"/>
    <w:lvl w:ilvl="0">
      <w:lvlJc w:val="left"/>
      <w:lvlText w:val="%1."/>
      <w:numFmt w:val="decimal"/>
      <w:start w:val="5"/>
    </w:lvl>
    <w:lvl w:ilvl="1">
      <w:lvlJc w:val="left"/>
      <w:lvlText w:val="(%2)"/>
      <w:numFmt w:val="lowerLetter"/>
      <w:start w:val="1"/>
    </w:lvl>
  </w:abstractNum>
  <w:abstractNum w:abstractNumId="13">
    <w:nsid w:val="813864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4">
    <w:nsid w:val="1E7FF521"/>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5">
    <w:nsid w:val="7C3DBD3D"/>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18">
    <w:nsid w:val="22221A70"/>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9">
    <w:nsid w:val="4516DDE9"/>
    <w:multiLevelType w:val="hybridMultilevel"/>
    <w:lvl w:ilvl="0">
      <w:lvlJc w:val="left"/>
      <w:lvlText w:val="(%1)"/>
      <w:numFmt w:val="decimal"/>
      <w:start w:val="2"/>
    </w:lvl>
    <w:lvl w:ilvl="1">
      <w:lvlJc w:val="left"/>
      <w:lvlText w:val="%2"/>
      <w:numFmt w:val="decimal"/>
      <w:start w:val="1"/>
    </w:lvl>
    <w:lvl w:ilvl="2">
      <w:lvlJc w:val="left"/>
      <w:lvlText w:val="(%3)"/>
      <w:numFmt w:val="lowerLetter"/>
      <w:start w:val="2"/>
    </w:lvl>
  </w:abstractNum>
  <w:abstractNum w:abstractNumId="20">
    <w:nsid w:val="3006C83E"/>
    <w:multiLevelType w:val="hybridMultilevel"/>
    <w:lvl w:ilvl="0">
      <w:lvlJc w:val="left"/>
      <w:lvlText w:val="%1"/>
      <w:numFmt w:val="decimal"/>
      <w:start w:val="1"/>
    </w:lvl>
    <w:lvl w:ilvl="1">
      <w:lvlJc w:val="left"/>
      <w:lvlText w:val="(%2)"/>
      <w:numFmt w:val="lowerLetter"/>
      <w:start w:val="3"/>
    </w:lvl>
  </w:abstractNum>
  <w:abstractNum w:abstractNumId="21">
    <w:nsid w:val="614FD4A1"/>
    <w:multiLevelType w:val="hybridMultilevel"/>
    <w:lvl w:ilvl="0">
      <w:lvlJc w:val="left"/>
      <w:lvlText w:val="%1."/>
      <w:numFmt w:val="decimal"/>
      <w:start w:val="8"/>
    </w:lvl>
    <w:lvl w:ilvl="1">
      <w:lvlJc w:val="left"/>
      <w:lvlText w:val="(%2)"/>
      <w:numFmt w:val="lowerLetter"/>
      <w:start w:val="1"/>
    </w:lvl>
  </w:abstractNum>
  <w:abstractNum w:abstractNumId="22">
    <w:nsid w:val="419AC241"/>
    <w:multiLevelType w:val="hybridMultilevel"/>
    <w:lvl w:ilvl="0">
      <w:lvlJc w:val="left"/>
      <w:lvlText w:val="%1"/>
      <w:numFmt w:val="decimal"/>
      <w:start w:val="1"/>
    </w:lvl>
    <w:lvl w:ilvl="1">
      <w:lvlJc w:val="left"/>
      <w:lvlText w:val="(%2)"/>
      <w:numFmt w:val="lowerLetter"/>
      <w:start w:val="3"/>
    </w:lvl>
  </w:abstractNum>
  <w:abstractNum w:abstractNumId="23">
    <w:nsid w:val="5577F8E1"/>
    <w:multiLevelType w:val="hybridMultilevel"/>
    <w:lvl w:ilvl="0">
      <w:lvlJc w:val="left"/>
      <w:lvlText w:val="%1."/>
      <w:numFmt w:val="decimal"/>
      <w:start w:val="9"/>
    </w:lvl>
    <w:lvl w:ilvl="1">
      <w:lvlJc w:val="left"/>
      <w:lvlText w:val="(%2)"/>
      <w:numFmt w:val="lowerLetter"/>
      <w:start w:val="1"/>
    </w:lvl>
  </w:abstractNum>
  <w:abstractNum w:abstractNumId="24">
    <w:nsid w:val="440BADFC"/>
    <w:multiLevelType w:val="hybridMultilevel"/>
    <w:lvl w:ilvl="0">
      <w:lvlJc w:val="left"/>
      <w:lvlText w:val="%1"/>
      <w:numFmt w:val="decimal"/>
      <w:start w:val="1"/>
    </w:lvl>
    <w:lvl w:ilvl="1">
      <w:lvlJc w:val="left"/>
      <w:lvlText w:val="(%2)"/>
      <w:numFmt w:val="lowerLetter"/>
      <w:start w:val="3"/>
    </w:lvl>
  </w:abstractNum>
  <w:abstractNum w:abstractNumId="25">
    <w:nsid w:val="5072367"/>
    <w:multiLevelType w:val="hybridMultilevel"/>
    <w:lvl w:ilvl="0">
      <w:lvlJc w:val="left"/>
      <w:lvlText w:val="%1."/>
      <w:numFmt w:val="decimal"/>
      <w:start w:val="10"/>
    </w:lvl>
    <w:lvl w:ilvl="1">
      <w:lvlJc w:val="left"/>
      <w:lvlText w:val="%2"/>
      <w:numFmt w:val="lowerLetter"/>
      <w:start w:val="1"/>
    </w:lvl>
  </w:abstractNum>
  <w:abstractNum w:abstractNumId="26">
    <w:nsid w:val="3804823E"/>
    <w:multiLevelType w:val="hybridMultilevel"/>
    <w:lvl w:ilvl="0">
      <w:lvlJc w:val="left"/>
      <w:lvlText w:val="%1"/>
      <w:numFmt w:val="lowerLetter"/>
      <w:start w:val="1"/>
    </w:lvl>
    <w:lvl w:ilvl="1">
      <w:lvlJc w:val="left"/>
      <w:lvlText w:val="%2."/>
      <w:numFmt w:val="decimal"/>
      <w:start w:val="13"/>
    </w:lvl>
  </w:abstractNum>
  <w:abstractNum w:abstractNumId="27">
    <w:nsid w:val="77465F01"/>
    <w:multiLevelType w:val="hybridMultilevel"/>
    <w:lvl w:ilvl="0">
      <w:lvlJc w:val="left"/>
      <w:lvlText w:val="(%1)"/>
      <w:numFmt w:val="lowerLetter"/>
      <w:start w:val="2"/>
    </w:lvl>
    <w:lvl w:ilvl="1">
      <w:lvlJc w:val="left"/>
      <w:lvlText w:val="%2."/>
      <w:numFmt w:val="decimal"/>
      <w:start w:val="14"/>
    </w:lvl>
  </w:abstractNum>
  <w:abstractNum w:abstractNumId="28">
    <w:nsid w:val="7724C67E"/>
    <w:multiLevelType w:val="hybridMultilevel"/>
    <w:lvl w:ilvl="0">
      <w:lvlJc w:val="left"/>
      <w:lvlText w:val="%1"/>
      <w:numFmt w:val="lowerRoman"/>
      <w:start w:val="1"/>
    </w:lvl>
    <w:lvl w:ilvl="1">
      <w:lvlJc w:val="left"/>
      <w:lvlText w:val="%2."/>
      <w:numFmt w:val="decimal"/>
      <w:start w:val="17"/>
    </w:lvl>
  </w:abstractNum>
  <w:abstractNum w:abstractNumId="29">
    <w:nsid w:val="5C482A97"/>
    <w:multiLevelType w:val="hybridMultilevel"/>
    <w:lvl w:ilvl="0">
      <w:lvlJc w:val="left"/>
      <w:lvlText w:val="(%1)"/>
      <w:numFmt w:val="lowerRoman"/>
      <w:start w:val="1"/>
    </w:lvl>
    <w:lvl w:ilvl="1">
      <w:lvlJc w:val="left"/>
      <w:lvlText w:val="%2."/>
      <w:numFmt w:val="decimal"/>
      <w:start w:val="18"/>
    </w:lvl>
  </w:abstractNum>
  <w:abstractNum w:abstractNumId="30">
    <w:nsid w:val="2463B9EA"/>
    <w:multiLevelType w:val="hybridMultilevel"/>
    <w:lvl w:ilvl="0">
      <w:lvlJc w:val="left"/>
      <w:lvlText w:val="%1."/>
      <w:numFmt w:val="decimal"/>
      <w:start w:val="22"/>
    </w:lvl>
    <w:lvl w:ilvl="1">
      <w:lvlJc w:val="left"/>
      <w:lvlText w:val="(%2)"/>
      <w:numFmt w:val="lowerLetter"/>
      <w:start w:val="1"/>
    </w:lvl>
  </w:abstractNum>
  <w:abstractNum w:abstractNumId="31">
    <w:nsid w:val="5E884ADC"/>
    <w:multiLevelType w:val="hybridMultilevel"/>
    <w:lvl w:ilvl="0">
      <w:lvlJc w:val="left"/>
      <w:lvlText w:val="%1"/>
      <w:numFmt w:val="lowerRoman"/>
      <w:start w:val="1"/>
    </w:lvl>
    <w:lvl w:ilvl="1">
      <w:lvlJc w:val="left"/>
      <w:lvlText w:val="%2."/>
      <w:numFmt w:val="decimal"/>
      <w:start w:val="23"/>
    </w:lvl>
  </w:abstractNum>
  <w:abstractNum w:abstractNumId="32">
    <w:nsid w:val="51EAD36B"/>
    <w:multiLevelType w:val="hybridMultilevel"/>
    <w:lvl w:ilvl="0">
      <w:lvlJc w:val="left"/>
      <w:lvlText w:val="(%1)"/>
      <w:numFmt w:val="lowerRoman"/>
      <w:start w:val="1"/>
    </w:lvl>
    <w:lvl w:ilvl="1">
      <w:lvlJc w:val="left"/>
      <w:lvlText w:val="%2."/>
      <w:numFmt w:val="decimal"/>
      <w:start w:val="24"/>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bullet"/>
      <w:start w:val="1"/>
    </w:lvl>
  </w:abstractNum>
  <w:abstractNum w:abstractNumId="35">
    <w:nsid w:val="153EA438"/>
    <w:multiLevelType w:val="hybridMultilevel"/>
    <w:lvl w:ilvl="0">
      <w:lvlJc w:val="left"/>
      <w:lvlText w:val="%1."/>
      <w:numFmt w:val="decimal"/>
      <w:start w:val="5"/>
    </w:lvl>
  </w:abstractNum>
  <w:abstractNum w:abstractNumId="36">
    <w:nsid w:val="3855585C"/>
    <w:multiLevelType w:val="hybridMultilevel"/>
    <w:lvl w:ilvl="0">
      <w:lvlJc w:val="left"/>
      <w:lvlText w:val="%1."/>
      <w:numFmt w:val="decimal"/>
      <w:start w:val="10"/>
    </w:lvl>
    <w:lvl w:ilvl="1">
      <w:lvlJc w:val="left"/>
      <w:lvlText w:val="%2)"/>
      <w:numFmt w:val="lowerLetter"/>
      <w:start w:val="1"/>
    </w:lvl>
  </w:abstractNum>
  <w:abstractNum w:abstractNumId="37">
    <w:nsid w:val="70A64E2A"/>
    <w:multiLevelType w:val="hybridMultilevel"/>
    <w:lvl w:ilvl="0">
      <w:lvlJc w:val="left"/>
      <w:lvlText w:val="2"/>
      <w:numFmt w:val="bullet"/>
      <w:start w:val="1"/>
    </w:lvl>
  </w:abstractNum>
  <w:abstractNum w:abstractNumId="38">
    <w:nsid w:val="6A2342EC"/>
    <w:multiLevelType w:val="hybridMultilevel"/>
    <w:lvl w:ilvl="0">
      <w:lvlJc w:val="left"/>
      <w:lvlText w:val="%1."/>
      <w:numFmt w:val="decimal"/>
      <w:start w:val="12"/>
    </w:lvl>
    <w:lvl w:ilvl="1">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5"/>
    </w:lvl>
  </w:abstractNum>
  <w:abstractNum w:abstractNumId="41">
    <w:nsid w:val="725A06FB"/>
    <w:multiLevelType w:val="hybridMultilevel"/>
    <w:lvl w:ilvl="0">
      <w:lvlJc w:val="left"/>
      <w:lvlText w:val="(%1)"/>
      <w:numFmt w:val="decimal"/>
      <w:start w:val="7"/>
    </w:lvl>
  </w:abstractNum>
  <w:abstractNum w:abstractNumId="42">
    <w:nsid w:val="2CD89A32"/>
    <w:multiLevelType w:val="hybridMultilevel"/>
    <w:lvl w:ilvl="0">
      <w:lvlJc w:val="left"/>
      <w:lvlText w:val="%1."/>
      <w:numFmt w:val="decimal"/>
      <w:start w:val="16"/>
    </w:lvl>
  </w:abstractNum>
  <w:abstractNum w:abstractNumId="43">
    <w:nsid w:val="57E4CCAF"/>
    <w:multiLevelType w:val="hybridMultilevel"/>
    <w:lvl w:ilvl="0">
      <w:lvlJc w:val="left"/>
      <w:lvlText w:val="3"/>
      <w:numFmt w:val="bullet"/>
      <w:start w:val="1"/>
    </w:lvl>
  </w:abstractNum>
  <w:abstractNum w:abstractNumId="44">
    <w:nsid w:val="7A6D8D3C"/>
    <w:multiLevelType w:val="hybridMultilevel"/>
    <w:lvl w:ilvl="0">
      <w:lvlJc w:val="left"/>
      <w:lvlText w:val="4"/>
      <w:numFmt w:val="bullet"/>
      <w:start w:val="1"/>
    </w:lvl>
  </w:abstractNum>
  <w:abstractNum w:abstractNumId="45">
    <w:nsid w:val="4B588F54"/>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2022-12-06T15:40:50Z</dcterms:created>
  <dcterms:modified xsi:type="dcterms:W3CDTF">2022-12-06T15:40:50Z</dcterms:modified>
</cp:coreProperties>
</file>