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16,653,036.00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A. Cohen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16,653,036.00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16,653,036.00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209 Church Street, New Haven, CT 06510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This statement is filed by: (i) Point72 Asset Management, L.P. ("Point72 Asset Management") with respect to the</w:t>
      </w:r>
    </w:p>
    <w:p>
      <w:pPr>
        <w:spacing w:after="0" w:line="14" w:lineRule="exact"/>
        <w:rPr>
          <w:sz w:val="20"/>
          <w:szCs w:val="20"/>
          <w:color w:val="auto"/>
        </w:rPr>
      </w:pPr>
    </w:p>
    <w:p>
      <w:pPr>
        <w:ind w:left="920" w:right="8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par value $0.0001 per share ("Shares"), of Invivyd, Inc. held by Point72 Associates, LLC, an investment fund it manages ("Point72 Associates"); (ii) Point72 Capital Advisors, Inc. ("Point72 Capital Advisors Inc.") with respect to the Shares held by Point72 Associates; and (iii) Steven A. Cohen ("Mr. Cohen") with respect to the Shares beneficially owned by Point72 Asset Management and Point72 Capital Advisors Inc.</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Point72 Asset Management, Point72 Capital Advisors Inc., and Mr. Cohen is 72 Cummings Point Road, Stamford, CT 06902.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9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Point72 Asset Management is a Delaware limited partnership. Point72 Capital Advisors Inc. is a Delaware corporation. Mr. Cohen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Such information is as of the close of business on December 31, 2025. Point72 Asset Management, Point72 Capital Advisors Inc., and Mr. Cohen own directly no Shares. Pursuant to an investment management agreement, Point72 Asset Management maintains investment and voting power with respect to the</w:t>
      </w:r>
    </w:p>
    <w:p>
      <w:pPr>
        <w:spacing w:after="0" w:line="2" w:lineRule="exact"/>
        <w:rPr>
          <w:sz w:val="20"/>
          <w:szCs w:val="20"/>
          <w:color w:val="auto"/>
        </w:rPr>
      </w:pPr>
    </w:p>
    <w:p>
      <w:pPr>
        <w:ind w:left="920" w:right="20" w:hanging="912"/>
        <w:spacing w:after="0" w:line="207"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Securities Exchange Act of 1934, the beneficial owner of the Shares reported herein. The aggregate percentage of Shares reported to be beneficially owned by each Reporting Person is based on 277,064,852 Shares outstanding as of the completion of the Issuer's underwritten public offering that closed on November 17, 2025, as disclosed in the Issuer's Prospectus Supplement filed pursuant to Rule 424(b)(5) with the Securities and Exchange Commission on November 19, 2025.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 Such information is as of the close of business on December 31, 2025.</w:t>
      </w:r>
    </w:p>
    <w:p>
      <w:pPr>
        <w:sectPr>
          <w:pgSz w:w="11900" w:h="16838" w:orient="portrait"/>
          <w:cols w:equalWidth="0" w:num="1">
            <w:col w:w="11120"/>
          </w:cols>
          <w:pgMar w:left="360" w:top="112"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 is set forth in Row 6 of the cover page for each of the Reporting Persons and is incorporated herein by reference. Such information is as of the close of business on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4(c)(iii) is set forth in Row 7 of the cover page for each of the Reporting Persons and is incorporated herein by reference. Such information is as of the close of business on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The information required by Item 4(c)(iv) is set forth in Row 8 of the cover page for each of the Reporting Persons and is incorporated herein by reference. Such information is as of the close of business on December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See Item 2(a). Point72 Associates has the right to receive or the power to direct the receipt of dividends from, or the proceeds from the sale of, more than 5 percent of the outstanding Shares.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27"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Steven A. Cohen</w:t>
      </w:r>
    </w:p>
    <w:p>
      <w:pPr>
        <w:spacing w:after="0" w:line="152"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M. Colombo</w:t>
      </w:r>
    </w:p>
    <w:p>
      <w:pPr>
        <w:spacing w:after="0" w:line="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Name/Title: Jason M. Colombo, Authorized Person</w:t>
      </w:r>
    </w:p>
    <w:p>
      <w:pPr>
        <w:spacing w:after="0" w:line="44" w:lineRule="exact"/>
        <w:rPr>
          <w:sz w:val="20"/>
          <w:szCs w:val="20"/>
          <w:color w:val="auto"/>
        </w:rPr>
      </w:pPr>
    </w:p>
    <w:p>
      <w:pPr>
        <w:ind w:left="464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11140"/>
      </w:cols>
      <w:pgMar w:left="360" w:top="112" w:right="399" w:bottom="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2026-02-17T17:35:52Z</dcterms:created>
  <dcterms:modified xsi:type="dcterms:W3CDTF">2026-02-17T17:35:52Z</dcterms:modified>
</cp:coreProperties>
</file>