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73"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79"/>
        <w:spacing w:after="0" w:line="383" w:lineRule="auto"/>
        <w:tabs>
          <w:tab w:leader="none" w:pos="4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236"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73"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tbl>
      <w:tblPr>
        <w:tblLayout w:type="fixed"/>
        <w:tblInd w:w="1700" w:type="dxa"/>
        <w:tblCellMar>
          <w:top w:w="0" w:type="dxa"/>
          <w:left w:w="0" w:type="dxa"/>
          <w:bottom w:w="0" w:type="dxa"/>
          <w:right w:w="0" w:type="dxa"/>
        </w:tblCellMar>
      </w:tblPr>
      <w:tr>
        <w:trPr>
          <w:trHeight w:val="216"/>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680" w:type="dxa"/>
            <w:vAlign w:val="bottom"/>
          </w:tcPr>
          <w:p>
            <w:pPr>
              <w:spacing w:after="0"/>
              <w:rPr>
                <w:sz w:val="18"/>
                <w:szCs w:val="18"/>
                <w:color w:val="auto"/>
              </w:rPr>
            </w:pPr>
          </w:p>
        </w:tc>
      </w:tr>
      <w:tr>
        <w:trPr>
          <w:trHeight w:val="252"/>
        </w:trPr>
        <w:tc>
          <w:tcPr>
            <w:tcW w:w="434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1"/>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jc w:val="both"/>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 2024, the registrant had 119,616,035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151,101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224,881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161,922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liability</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and no shares issued and outstanding at September 30, 2024</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December 31, 2023</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119,604,035 shares issued and outstanding at September 30, 2024;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110,160,684 shares issued and outstanding at December 31, 2023</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(883,551 )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(732,069 )</w:t>
            </w: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161,922</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-3582670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-3565525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-2630805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$1,349 and $700 as of September 30, 2024 and December 31, 2023, respectively (see Note 15).</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580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4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76"/>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5"/>
                <w:szCs w:val="15"/>
                <w:color w:val="auto"/>
              </w:rPr>
            </w:pPr>
          </w:p>
        </w:tc>
      </w:tr>
      <w:tr>
        <w:trPr>
          <w:trHeight w:val="187"/>
        </w:trPr>
        <w:tc>
          <w:tcPr>
            <w:tcW w:w="5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2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80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96,393</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shd w:val="clear" w:color="auto" w:fill="CFF0FC"/>
          </w:tcPr>
          <w:p>
            <w:pPr>
              <w:spacing w:after="0"/>
              <w:rPr>
                <w:sz w:val="21"/>
                <w:szCs w:val="21"/>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34,038</w:t>
            </w:r>
          </w:p>
        </w:tc>
        <w:tc>
          <w:tcPr>
            <w:tcW w:w="100" w:type="dxa"/>
            <w:vAlign w:val="bottom"/>
          </w:tcPr>
          <w:p>
            <w:pPr>
              <w:spacing w:after="0"/>
              <w:rPr>
                <w:sz w:val="20"/>
                <w:szCs w:val="20"/>
                <w:color w:val="auto"/>
              </w:rPr>
            </w:pPr>
          </w:p>
        </w:tc>
      </w:tr>
      <w:tr>
        <w:trPr>
          <w:trHeight w:val="237"/>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169,211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(62,311 )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(43,060 )</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(157,647 )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(136,006 )</w:t>
            </w:r>
          </w:p>
        </w:tc>
      </w:tr>
      <w:tr>
        <w:trPr>
          <w:trHeight w:val="241"/>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Pr>
          <w:p>
            <w:pPr>
              <w:spacing w:after="0"/>
              <w:rPr>
                <w:sz w:val="20"/>
                <w:szCs w:val="20"/>
                <w:color w:val="auto"/>
              </w:rPr>
            </w:pPr>
          </w:p>
        </w:tc>
      </w:tr>
      <w:tr>
        <w:trPr>
          <w:trHeight w:val="236"/>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(60,739 )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(39,440 )</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(151,482 )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(124,989 )</w:t>
            </w:r>
          </w:p>
        </w:tc>
      </w:tr>
      <w:tr>
        <w:trPr>
          <w:trHeight w:val="241"/>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gain, net of tax</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(60,745 )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(39,420 )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(151,487 )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(124,719 )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(0.51 )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119,495,284</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109,754,812</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118,163,599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109,333,684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-2614295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-2614295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-2614295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-1671320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-1671320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-1671320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-1028065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-1028065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-367665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-385445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-385445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$463 for both the three and nine months ended September 30, 2024, and no related-party amounts for both the three and nine months ended September 30, 2023 (see Note 15).</w:t>
      </w:r>
    </w:p>
    <w:p>
      <w:pPr>
        <w:ind w:left="52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$1,133 and $3,399 for the three and nine months ended September 30, 2024, respectively, and related-party amounts of $1,448 and $6,666 for the three and nine months ended September 30, 2023, respectively (see Note 15).</w:t>
      </w:r>
    </w:p>
    <w:p>
      <w:pPr>
        <w:ind w:left="520" w:hanging="512"/>
        <w:spacing w:after="0" w:line="26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 related-party amounts for both the three and nine months ended September 30, 2024, and related-party amounts of $4,600 and $4,975 for the three and nine months ended September 30, 2023, respectively (see Note 15).</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5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860" w:type="dxa"/>
            <w:vAlign w:val="bottom"/>
            <w:gridSpan w:val="4"/>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6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0" w:type="dxa"/>
            <w:vAlign w:val="bottom"/>
            <w:gridSpan w:val="2"/>
            <w:vMerge w:val="continue"/>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186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8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8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110,160,6</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$ 909,539</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 (732,069 )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(43,496 )</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(43,496 )</w:t>
            </w: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119,221,2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1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$ 954,063</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 (775,565 )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(47,247 )</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(47,247 )</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119,442,6</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$ 963,454</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(822,812 )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(60,739 )</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(60,739 )</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119,604,0</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$ 966,718</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(883,551 )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-3248025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-3230880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-3248025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-3230880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-3248025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-3230880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-3248025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-3230880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-3248025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-3230880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-3248025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-3230880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-3248025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-3230880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-2468245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-2468245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-2468245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-2468245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-2468245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-2468245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-2468245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-1233805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-1233805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-1233805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-1233805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-1233805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-1233805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-1233805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060" w:type="dxa"/>
            <w:vAlign w:val="bottom"/>
            <w:gridSpan w:val="4"/>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2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40" w:type="dxa"/>
            <w:vAlign w:val="bottom"/>
          </w:tcPr>
          <w:p>
            <w:pPr>
              <w:spacing w:after="0"/>
              <w:rPr>
                <w:sz w:val="15"/>
                <w:szCs w:val="15"/>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2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1"/>
                <w:szCs w:val="11"/>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5"/>
        </w:trPr>
        <w:tc>
          <w:tcPr>
            <w:tcW w:w="27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2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109,044,04</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(533,42</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$ 889,657</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common stock</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early-exercised options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423,203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unvested restricted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(206,802 )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206,802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(206,802 )</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(35,321 )</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(35,321 )</w:t>
            </w:r>
          </w:p>
        </w:tc>
        <w:tc>
          <w:tcPr>
            <w:tcW w:w="0" w:type="dxa"/>
            <w:vAlign w:val="bottom"/>
          </w:tcPr>
          <w:p>
            <w:pPr>
              <w:spacing w:after="0"/>
              <w:rPr>
                <w:sz w:val="1"/>
                <w:szCs w:val="1"/>
                <w:color w:val="auto"/>
              </w:rPr>
            </w:pPr>
          </w:p>
        </w:tc>
      </w:tr>
      <w:tr>
        <w:trPr>
          <w:trHeight w:val="209"/>
        </w:trPr>
        <w:tc>
          <w:tcPr>
            <w:tcW w:w="2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109,316,22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(568,74</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$ 895,600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common stock</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from early-exercised options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unvested restricted</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(46,600 )</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(46,600 )</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(50,228 )</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(50,228 )</w:t>
            </w: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109,570,33</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(618,97</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7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$ 900,549</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281,563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720" w:type="dxa"/>
            <w:vAlign w:val="bottom"/>
            <w:tcBorders>
              <w:top w:val="single" w:sz="8" w:color="CFF0FC"/>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common stock</w:t>
            </w: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early-exercised options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230,291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unvested restricted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(39,440 )</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(39,440 )</w:t>
            </w:r>
          </w:p>
        </w:tc>
        <w:tc>
          <w:tcPr>
            <w:tcW w:w="0" w:type="dxa"/>
            <w:vAlign w:val="bottom"/>
          </w:tcPr>
          <w:p>
            <w:pPr>
              <w:spacing w:after="0"/>
              <w:rPr>
                <w:sz w:val="1"/>
                <w:szCs w:val="1"/>
                <w:color w:val="auto"/>
              </w:rPr>
            </w:pPr>
          </w:p>
        </w:tc>
      </w:tr>
      <w:tr>
        <w:trPr>
          <w:trHeight w:val="209"/>
        </w:trPr>
        <w:tc>
          <w:tcPr>
            <w:tcW w:w="2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109,846,32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(658,41</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$ 904,905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-4542790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-4542790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-4542790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-4542790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-4542790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-4542790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-4542790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-2133600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-2116455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-2133600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-2116455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-2133600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-2116455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-2133600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-2116455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-2133600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-2116455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-2133600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-2116455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-2133600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-2116455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-325120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-325120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-325120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-325120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-325120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-325120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-325120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68"/>
        </w:trPr>
        <w:tc>
          <w:tcPr>
            <w:tcW w:w="83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3"/>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0" w:type="dxa"/>
            <w:vAlign w:val="bottom"/>
          </w:tcPr>
          <w:p>
            <w:pPr>
              <w:spacing w:after="0"/>
              <w:rPr>
                <w:sz w:val="1"/>
                <w:szCs w:val="1"/>
                <w:color w:val="auto"/>
              </w:rPr>
            </w:pPr>
          </w:p>
        </w:tc>
      </w:tr>
      <w:tr>
        <w:trPr>
          <w:trHeight w:val="81"/>
        </w:trPr>
        <w:tc>
          <w:tcPr>
            <w:tcW w:w="8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8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(151,482 )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(124,989 )</w:t>
            </w: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(6,256 )</w:t>
            </w: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(8,154 )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(5,452 )</w:t>
            </w: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(1,247 )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(1,159 )</w:t>
            </w:r>
          </w:p>
        </w:tc>
        <w:tc>
          <w:tcPr>
            <w:tcW w:w="0" w:type="dxa"/>
            <w:vAlign w:val="bottom"/>
          </w:tcPr>
          <w:p>
            <w:pPr>
              <w:spacing w:after="0"/>
              <w:rPr>
                <w:sz w:val="1"/>
                <w:szCs w:val="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(132,881 )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(113,924 )</w:t>
            </w:r>
          </w:p>
        </w:tc>
        <w:tc>
          <w:tcPr>
            <w:tcW w:w="0" w:type="dxa"/>
            <w:vAlign w:val="bottom"/>
          </w:tcPr>
          <w:p>
            <w:pPr>
              <w:spacing w:after="0"/>
              <w:rPr>
                <w:sz w:val="1"/>
                <w:szCs w:val="1"/>
                <w:color w:val="auto"/>
              </w:rPr>
            </w:pP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(91,202 )</w:t>
            </w: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repurchases of unvested restricted common stock</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7"/>
        </w:trPr>
        <w:tc>
          <w:tcPr>
            <w:tcW w:w="83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(93,772 )</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106,869</w:t>
            </w:r>
          </w:p>
        </w:tc>
        <w:tc>
          <w:tcPr>
            <w:tcW w:w="12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181,822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accrued expense</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-3011170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-3011170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-2059940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-2059940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-1125220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-1125220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-482600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-465455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Invivyd, Inc. (together with its consolidated subsidiaries, the “Company”)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2024, the Company submitted a request to the FDA to amend the EUA for PEMGARDA, for the treatment of mild-to-moderate symptomatic COVID-19 in certain immunocompromised patients. The submission utilizes a rapid immunobridging pathway previously aligned in principle with the FDA. The EUA amendment request is based on positive immunobridging analyses of pemivibart versus comparator mAbs and data from the Company’s ongoing CANOPY Phase 3 clinical trial in participants with moderate-to-severe immune compromise. The COVID-19 treatment EUA request focuses on the critical treatment needs of people in the U.S. who have moderate-to-severe immune compromise and for whom alternative COVID-19 treatment options are not clinically appropriate or accessible.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PEMGARDA is the Company’s first mAb in a planned series of innovative mAb candidates designed to keep pace with SARS-CoV-2 viral evolution. As the SARS-CoV-2 virus evolves over time, the Company anticipates leveraging its INVYMAB platform approach to periodically introduce new or engineered mAb candidates, an approach that would be analogous to the periodic updates made to influenza and COVID-19 vaccines. In January 2024, the Company nominated VYD2311, a next generation mAb candidate for COVID-19, as a drug candidate, and in September 2024, the Company announced dosing of the first participants in a Phase 1 clinical trial of VYD2311. VYD2311 is a mAb with high in vitro neutralization potency shown against prominent SARS-CoV-2 variants tested to date. The Phase 1 randomized, blinded, placebo-controlled clinical trial will evaluate escalating dosing as well as safety, tolerability, pharmacokinetics and immunogenicity of VYD2311 in healthy trial participants. The Phase 1 clinical trial is being conducted in Australia and will evaluate multiple dose levels of VYD2311 through various routes of administration, including exploration of intramuscular administration and subcutaneous administration, which are designed to be more system- and patient-friendly than intravenous administration. The Company expects preliminary data readouts from the Phase 1 clinical trial late in the fourth quarter of 2024 and anticipates additional clinical readouts from the VYD2311 program throughout 2025. Like pemivibart, VYD2311 was engineered from adintrevimab, the Company’s investigational mAb that has a robust safety data package and demonstrated clinically meaningful results in global Phase 2/3 clinical trials for both the prevention and treatment of COVID-19.</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2024, the Company announced general alignment with the FDA on an expedient, repeatable immunobridging pathway to future potential EUAs for serial, novel mAbs for the prevention and treatment of symptomatic COVID-19. This pathway provides the Company with the opportunity to rapidly, efficiently, and durably deliver high value medicines that prevent and treat symptomatic COVID-19 in vulnerable populations. In addition to developing candidates for COVID-19, the Company expects to apply its INVYMAB platform approach to produce lead molecules for other viral diseases, such as influenza.</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Waltham, Massachusetts and remotely. In June 2022, and subsequently amended in September 2022 and August 2024, the Company entered into a lease for dedicated laboratory and office space in Newton, Massachusetts for research and development purposes. In 2022, the Company expanded its research team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VYD222 (pemivibart) and VYD2311, all of the Company’s other product candidates, other than adintrevimab, are currently in research development. The Company’s additional product candidates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and net proceeds received from shares of common stock sold under the Sales Agreement (as defined below). In February 2024, the Company sold 9,000,000 shares of its common stock under the Sales Agreement at an average price of $4.50 per share for $39.3 million in net proceeds. After receiving EUA in March 2024, the Company has also funded its operations from sales of PEMGARDA.</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including a net loss of $151.5 million for the nine months ended September 30, 2024. As of September 30, 2024, the Company had an accumulated deficit of $883.6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2024, the condensed consolidated statements of operations and comprehensive loss for the three and nine months ended September 30, 2024 and 2023, the condensed consolidated statements of cash flows for the three and nine months ended September 30, 2024 and 2023 and the condensed consolidated statements of stockholders’ equity (deficit) for the three and nine months ended September 30, 2024 and 2023 are unaudited.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September 30, 2024 and for the three and nine months ended September 30, 2024 and 2023, have been prepared by the Company pursuant to the rules and regulations of the SEC for interim financial statements. The accompanying condensed consolidated balance sheet as of December 31, 2023 was derived from audited financial statements, but does not include all disclosures required by U.S. GAAP. Certain information and footnote disclosures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2023, which are included in the 2023 Form 10-K.</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September 30, 2024 and December 31, 2023, the condensed consolidated results of operations for the three and nine months ended September 30, 2024 and 2023, the condensed consolidated cash flows for the three and nine months ended September 30, 2024 and 2023, and changes in stockholders’ equity (deficit) for the three and nine months ended September 30, 2024 and 2023 have been made. The Company’s condensed consolidated results of operations for the three and nine months ended September 30, 2024 are not necessarily indicative of the results of operations that may be expected for the year ending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Company’s significant accounting policies and estimates, which are detailed in the Company’s Annual Report on Form 10-K for the year ended December 31, 2023, as filed with the U.S. Securities and Exchange Commission (“SEC”) on March 28, 2024 (the “2023 Form 10-K”) have not changed, except as discussed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receiving regulatory approval or authorization, costs related to the manufacturing of inventory are recorded as research and development expense on the Company’s consolidated statements of operations and comprehensive loss in the period incurred. In connection with the EUA for PEMGARDA in March 2024, the Company subsequently began capitalizing PEMGARDA inventory costs as it was determined that inventory costs incurred subsequent to the EUA had a probable future economic benefit.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on a first-in, first-out basis. Inventory costs include raw materials, third-party contract manufacturing, third-party packaging services, freight and overhead. The Company reduces its inventory to net realizable value for potentially excess, dated or obsolete inventory based on a quarterly assessment of the recoverability of its capitalized inventory. The Company periodically reviews inventory levels to identify what may expire prior to expected sale or has a cost basis in excess of its estimated realizable value and writes-down such inventories as appropriate as a component of costs of goods sold in the consolidated statements of operations and comprehensive loss.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accounts receivable.</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invested its excess cash in money market funds that are subject to minimal credit and market risks. The Company maintains its existing cash and cash equivalents at three accredited financial institutions.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net product revenue was generated from sales to the Title Company (as defined below) and three third-party specialty distributors (see “Revenue Recognition” for additional information).</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research and development programs. In particular, the Company relies on a single third-party contract manufacturer to produce and process its product candidates and to manufacture supply of its product candidates for preclinical and clinical activities. The Company also currently relies on this same third-party contract manufacturer for any anticipated requirements of commercial supply, including both drug substance and drug product (see Note 9). The Company expects to continue to be dependent on a small number of third-party organizations to supply it with its requirements for all product candidates. The Company’s research and development programs, including any associated commercialization efforts, could be adversely affected by a significant interruption in the supply of the necessary materials.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commercialization of its product candidates and programs. Through September 30, 2024, the Company’s research and development programs primarily relate to rights conveyed by Adimab (see Note 7). The Company could experience delays in the development and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as of September 30, 2024 is comprised of $8.2 million of PEMGARDA product sales to the Title Company (as defined below) and three third-party specialty distributors (see “Revenue Recognition” for additional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EUA from the FDA in March 2024, the Company began generating product revenue from sales of PEMGARDA in April 2024.</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entered into a third-party logistics distribution agreement (the “3PL Agreement”) to engage a logistics distribution agent (the “3PL Agent”) to distribute the Company’s products to its customers. The 3PL Agent provides services to the Company that include storage, distribution, processing product returns, customer service support, logistics support, electronic data interface and system access support. Revenue is recognized when or as performance obligations are satisfied by transferring control of promised goods to a customer, generally upon delivery, based on an amount that reflects the consideration to which the Company expected to be entitled.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the Company applied for mandatory distribution licenses that some states require for the Company to sell its product throughout the U.S. In order for the Company to execute sales in the U.S. prior to obtaining such licenses, the Company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the Company. Although under the Temporary Title Model Agreement, the Title Company took title to the product, the economic substance of the transaction provided that the Title Company did not possess the risk of loss or participate in the significant risks and rewards of ownership of the product or have the ability to control, direct the use of, and obtain substantially all of the remaining benefits from the product. Accordingly, the Company did not recognize revenue upon the transfer of the goods at the time of sale to the Title Company and recognized revenue when the goods were sold from the Title Company to the specialty distributors.</w:t>
      </w:r>
    </w:p>
    <w:p>
      <w:pPr>
        <w:spacing w:after="0" w:line="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obtained nearly all of the necessary state distribution licenses to sell its products throughout the U.S. and ceased using the Temporary Title Model Agreement process in the third quarter of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are recorded net of applicable reserves for variable consideration, including discounts and allowances.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Discounts and Allowances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reserves, based on contractual terms, for the following components of variable consideration related to product sold during the reporting period, as well as its estimate of product that remains in the distribution channel inventory of its customers at the end of the reporting period, if applicable. On a quarterly basis, the Company updates its estimates, if necessary, and records any material adjustments in the period they are identified.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Discounts and Distributor Fees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customary discounts on PEMGARDA sales for prompt payment, the terms of which are explicitly stated in its contracts. The Company also pays fees to specialty distributors for sales order management, data, and distribution services, the terms of which are also explicitly stated in its contracts. Such fees are not for a distinct good or service and, accordingly, are recorded as a reduction of revenue, as well as a reduction to accounts receivable (trade discounts) or as a component of accrued expenses (distributor fees).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Government Chargebacks and Rebates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discount obligations under its contract with the U.S. Department of Veterans Affairs. These reserves are recorded in the same period the related revenue is recognized, resulting in a reduction of product revenue and the establishment of a current liability, which is included as a component of accrued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offers a right of return for purchased units of PEMGARDA for damage, defect, recall, and/or product expiry, provided the product expiry is within a specified period as set forth in the Company’s return goods policy. The Company estimates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amount of product sales that will be returned using quantitative and qualitative considerations. Reserves for estimated returns are recorded as a reduction of product revenue in the period that the related revenue is recognized, as well as a component of accrued expenses.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periods. Significant estimates and assumptions reflected in these condensed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is currently evaluating the potential impacts of ASU 2023-07 on its consolidated financial statement disclosures.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the Company for the annual period beginning after December 15, 2024. All entities should apply the guidance prospectively but have the option to apply it retrospectively. The Company is currently evaluating the potential impacts of ASU 2023-09 on its consolidated financial statement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40" w:hanging="56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38" w:lineRule="exact"/>
        <w:rPr>
          <w:rFonts w:ascii="Times New Roman" w:cs="Times New Roman" w:eastAsia="Times New Roman" w:hAnsi="Times New Roman"/>
          <w:sz w:val="18"/>
          <w:szCs w:val="18"/>
          <w:color w:val="auto"/>
        </w:rPr>
      </w:pPr>
    </w:p>
    <w:p>
      <w:pPr>
        <w:jc w:val="both"/>
        <w:ind w:left="1040" w:right="20" w:hanging="560"/>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1040" w:right="20" w:hanging="573"/>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101,553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101,553</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-1225550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-1225550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-1225550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and nine months ended September 30, 2024 or 2023.</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and nine months ended September 30, 2024 or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inventories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7"/>
        </w:trPr>
        <w:tc>
          <w:tcPr>
            <w:tcW w:w="77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17"/>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Company did not have any inventory as of December 31, 2023.</w:t>
            </w: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0"/>
                <w:szCs w:val="20"/>
                <w:color w:val="auto"/>
              </w:rPr>
            </w:pPr>
          </w:p>
        </w:tc>
      </w:tr>
      <w:tr>
        <w:trPr>
          <w:trHeight w:val="277"/>
        </w:trPr>
        <w:tc>
          <w:tcPr>
            <w:tcW w:w="77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shd w:val="clear" w:color="auto" w:fill="CFF0FC"/>
          </w:tcPr>
          <w:p>
            <w:pPr>
              <w:spacing w:after="0"/>
              <w:rPr>
                <w:sz w:val="24"/>
                <w:szCs w:val="24"/>
                <w:color w:val="auto"/>
              </w:rPr>
            </w:pPr>
          </w:p>
        </w:tc>
      </w:tr>
      <w:tr>
        <w:trPr>
          <w:trHeight w:val="633"/>
        </w:trPr>
        <w:tc>
          <w:tcPr>
            <w:tcW w:w="772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-2750820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-2733675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49,268</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jc w:val="center"/>
        <w:ind w:left="520" w:right="8060" w:hanging="512"/>
        <w:spacing w:after="0" w:line="400" w:lineRule="auto"/>
        <w:tabs>
          <w:tab w:leader="none" w:pos="19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and Collaboration Agreements </w:t>
      </w:r>
      <w:r>
        <w:rPr>
          <w:rFonts w:ascii="Times New Roman" w:cs="Times New Roman" w:eastAsia="Times New Roman" w:hAnsi="Times New Roman"/>
          <w:sz w:val="17"/>
          <w:szCs w:val="17"/>
          <w:b w:val="1"/>
          <w:bCs w:val="1"/>
          <w:i w:val="1"/>
          <w:iCs w:val="1"/>
          <w:color w:val="auto"/>
        </w:rPr>
        <w:t>Adimab Assignment Agreement</w:t>
      </w: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three and nine months ended September 30, 2024 and 2023, the Company did not recognize any research and development expense with respect to services performed by Adimab on the Company’s behalf under the Adimab Assignment Agreement. Please refer to Note 15 for additional information.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September 30, 2024;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VYD222,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VYD222,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September 30, 2024.</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did not recognize any in-process research and development (“IPR&amp;D”) expense with respect to contingent consideration payable under the Adimab Assignment Agreement. During the three and nine months ended September 30, 2023, the Company recognized $3.2 and $3.6 million, respectively, of IPR&amp;D expense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contingent consideration payable under the Adimab Assignment Agreement. Except for milestone payments of $11.1 million incurred through December 31, 2023, no other milestone payments have been paid to or have been earned by Adimab through September 30, 2024.</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both the three and nine months ended September 30, 2024, the Company expensed $0.5 million of royalties and reserves all rights under the Adimab Assignment Agreement and the applicable law. During both the three and nine months ended September 30, 2023, the Company did not expense any royalties. In addition, the Company is obligated to pay Adimab royalties of a specified percentage in the range of 45% to 55% of any compulsory sublicense consideration received by the Company in lieu of certain royalty payments.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the three and nine months ended September 30, 2024, the Company recognized $0.6 million and $1.8 million, respectively, of research and development expense related to the quarterly fee. During the three and nine months ended September 30, 2023, the Company recognized $1.3 million and $3.9 million, respectively, of research and development expense related to the quarterly fee.</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both the three and nine months ended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September 30, 2024, the Company did not recognize any research and development expense with respect to services performed by Adimab on the Company’s behalf under the Adimab Collaboration Agreement. During the three and nine months ended September 30, 2023, the Company recognized $0.1 million and $0.5 million, respectively, of research and development expense with respect to services performed by Adimab on the Company’s behalf under the Adimab Collaboration Agreement. During the three and nine months ended September 30, 2024, the Company did not recognize any IPR&amp;D expense related to drug delivery fees, optimization completion fees or option exercise fees. During both the three and nine months ended September 30, 2023, the Company recognized $1.0 million, $0.2 million, and $0.2 million of IPR&amp;D expense related to an option exercise fee, a drug delivery fee and an optimization completion fee, respectively. Please refer to Note 15 for additional information.</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September 30, 2024.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September 30, 2024,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the three and nine months ended September 30, 2024, the Company recognized a portion of the annual fees as research and development expense.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September 30,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September 30, 2024,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September 30, 2024, no royalties had become due to WuXi Biologics.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and nine months ended September 30, 2024. The Company recognized $0 and $0.6 million of IPR&amp;D expense under the Cell Line License Agreement during the three and nine months ended September 30, 2023, respectively.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in July 2024. On the PHP Effective Date, the Company and PHP</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did not recognize any research and development expense related to the cash compensation paid to PHP. During the three and nine months ended September 30, 2023, the Company recognized $0 and $2.3 million, respectively, of research and development expense related to the cash compensation paid to PHP. Please refer to Note 15 for additional information.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72" w:lineRule="exact"/>
        <w:rPr>
          <w:sz w:val="20"/>
          <w:szCs w:val="20"/>
          <w:color w:val="auto"/>
        </w:rPr>
      </w:pPr>
    </w:p>
    <w:p>
      <w:pPr>
        <w:ind w:left="1040" w:right="340" w:hanging="452"/>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229" w:lineRule="exact"/>
        <w:rPr>
          <w:rFonts w:ascii="Times New Roman" w:cs="Times New Roman" w:eastAsia="Times New Roman" w:hAnsi="Times New Roman"/>
          <w:sz w:val="18"/>
          <w:szCs w:val="18"/>
          <w:color w:val="auto"/>
        </w:rPr>
      </w:pPr>
    </w:p>
    <w:p>
      <w:pPr>
        <w:ind w:left="1040" w:right="480" w:hanging="452"/>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229" w:lineRule="exact"/>
        <w:rPr>
          <w:rFonts w:ascii="Times New Roman" w:cs="Times New Roman" w:eastAsia="Times New Roman" w:hAnsi="Times New Roman"/>
          <w:sz w:val="18"/>
          <w:szCs w:val="18"/>
          <w:color w:val="auto"/>
        </w:rPr>
      </w:pPr>
    </w:p>
    <w:p>
      <w:pPr>
        <w:ind w:left="1040" w:right="480" w:hanging="452"/>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113" w:lineRule="exact"/>
        <w:rPr>
          <w:sz w:val="20"/>
          <w:szCs w:val="20"/>
          <w:color w:val="auto"/>
        </w:rPr>
      </w:pPr>
    </w:p>
    <w:p>
      <w:pPr>
        <w:ind w:left="520" w:right="8420" w:hanging="512"/>
        <w:spacing w:after="0" w:line="400" w:lineRule="auto"/>
        <w:tabs>
          <w:tab w:leader="none" w:pos="19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five-year noncancelable facilities lease agreement for approximately 9,600 square feet of office space in Waltham, Massachusetts, which provides for monthly rental payments, including base rent charges of $0.4 million per year, subject to periodic rent increases, and the Company’s proportionate share of operating expenses.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the Newton, MA Lease was further amended to extend the lease through November 2025, with an option to further extend the lease for an additional twenty-five months or continue the lease on a month-to-month basis after completion of the term ending in November 2025.</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Nine</w:t>
            </w: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8"/>
        </w:trPr>
        <w:tc>
          <w:tcPr>
            <w:tcW w:w="55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6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40" w:type="dxa"/>
            <w:vAlign w:val="bottom"/>
          </w:tcPr>
          <w:p>
            <w:pPr>
              <w:spacing w:after="0"/>
              <w:rPr>
                <w:sz w:val="12"/>
                <w:szCs w:val="12"/>
                <w:color w:val="auto"/>
              </w:rPr>
            </w:pPr>
          </w:p>
        </w:tc>
        <w:tc>
          <w:tcPr>
            <w:tcW w:w="13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90"/>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r>
      <w:tr>
        <w:trPr>
          <w:trHeight w:val="253"/>
        </w:trPr>
        <w:tc>
          <w:tcPr>
            <w:tcW w:w="55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r>
      <w:tr>
        <w:trPr>
          <w:trHeight w:val="243"/>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2"/>
                <w:szCs w:val="22"/>
                <w:color w:val="auto"/>
              </w:rPr>
            </w:pPr>
          </w:p>
        </w:tc>
      </w:tr>
      <w:tr>
        <w:trPr>
          <w:trHeight w:val="257"/>
        </w:trPr>
        <w:tc>
          <w:tcPr>
            <w:tcW w:w="5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5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-702310</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-702310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-702310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September 30, 2024 was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40" w:type="dxa"/>
            <w:vAlign w:val="bottom"/>
          </w:tcPr>
          <w:p>
            <w:pPr>
              <w:spacing w:after="0"/>
              <w:rPr>
                <w:sz w:val="16"/>
                <w:szCs w:val="16"/>
                <w:color w:val="auto"/>
              </w:rPr>
            </w:pPr>
          </w:p>
        </w:tc>
        <w:tc>
          <w:tcPr>
            <w:tcW w:w="24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37"/>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54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0"/>
                <w:szCs w:val="20"/>
                <w:color w:val="auto"/>
              </w:rPr>
            </w:pPr>
          </w:p>
        </w:tc>
      </w:tr>
      <w:tr>
        <w:trPr>
          <w:trHeight w:val="241"/>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FF0FC"/>
          </w:tcPr>
          <w:p>
            <w:pPr>
              <w:spacing w:after="0"/>
              <w:rPr>
                <w:sz w:val="20"/>
                <w:szCs w:val="20"/>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540" w:type="dxa"/>
            <w:vAlign w:val="bottom"/>
          </w:tcPr>
          <w:p>
            <w:pPr>
              <w:spacing w:after="0"/>
              <w:rPr>
                <w:sz w:val="20"/>
                <w:szCs w:val="20"/>
                <w:color w:val="auto"/>
              </w:rPr>
            </w:pPr>
          </w:p>
        </w:tc>
        <w:tc>
          <w:tcPr>
            <w:tcW w:w="2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7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operating leases were measured using a weighted-average incremental borrowing rate of 6.0% over a weighted-average remaining lease term of 1.1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Company’s operating leases were measured using a weighted-average incremental borrowing rate of 6.0% over a weighted-average remaining lease term of 2.0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$1.4 million is classified under “operating lease liabilities, current” for the portion due within twelve months, and $0.2 million is classified under “operating lease liabilities, non-current”.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recognized research and development expense of $0.5 million per month during the term of the PHP Work Order for an Aggregate Fee of $3.0 million.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September 30, 2024, the Company committed to noncancelable purchase obligations related to commercial drug substance and drug product manufacturing under the Commercial Manufacturing Agreement. As of September 30, 2024, the total remaining contractually binding commercial drug substance and drug product purchase obligations due to WuXi Biologics was $38.3 million, which is expected to be paid in 2024 and 2025. As of September 30, 2024, $36.5 million related to the contractually binding commercial drug substance and drug product batches was included in accounts payable and accrued expenses, which is expected to be paid in 2024 and 2025.</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September 30, 2024, the Company committed to noncancelable purchase obligations related to the procurement of materials to be used in future drug substance and drug product manufacturing under the Commercial Manufacturing Agreement. As of September 30, 2024, the total remaining contractually binding purchase obligations due to WuXi Biologics was $17.0 million, which is expected to be paid in 2024 and 2025. As of September 30, 2024, $10.6 million related to the procurement of materials to be used in future drug substance and drug product manufacturing was included in accounts payable and accrued expenses, which is expected to be paid in 2024 and 2025.</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September 30, 2024 and December 31, 2023.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the Company and certain of its former officers in the U.S. District Court for the District of Massachusetts. The complaint alleged violations of Sections 10(b) and 20(a) of the Exchange Act and Rule 10b-5 promulgated thereunder on the basis of purportedly materially false and misleading statements and omissions concerning ADG20’s effectiveness against the Omicron variant of COVID-19. The complaint sought, among other things, unspecified damages, attorneys’ fees, expert fees, and other costs. The court appointed lead plaintiffs for the action on June 28, 2023. On August 23, 2023, the lead plaintiffs filed an amended complaint that made allegations similar to those in the original complaint and asserted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made allegations similar to those in the prior complaints and asserted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 The court heard oral arguments on the defendants’ motion to dismiss on May 10, 2024. The court granted the defendants’ motion to dismiss on September 18, 2024, dismissing the second amended complaint in its entirety, with prejudice and without leave to amend. The plaintiffs did not appeal the court's decision. As such, the Company has concluded that this matter is closed.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development and manufacturing organizations (“CDMOs”), business partners and other parties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reserved 45,909,485 shares of common stock for the exercise of outstanding stock options and the issuance of awards available for grant under the Company’s 2020 Equity Incentive Plan, 2021 Equity Incentive Plan and 2021 Employee Stock Purchase Plan (see Note 11).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(File No. 333-267643) and an accompanying base prospectus, which was declared effective by the SEC on October 5, 2022, for the offer and sale of up to $400 million of the Company’s securities. As of September 30, 2024, $325 million of the Company’s securities remained available for offer and sale under this shelf registration statement.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 As of September 30, 2024, $34.5 million remained available for sale under the Sales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repurchased, and subsequently retired, 206,802 shares of unvested restricted common stock at the original purchase price upon a termination of service of an employee during the vesting period. The fair value of the repurchased common stock was insignificant. Upon retirement, the shares were redesignated as authorized but unissued shares of the Company’s common stock.</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2023, the Company repurchased 31,765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December 2023, the Company retired the 31,765 shares of treasury stock. Upon retirement, the shares were redesignated as authorized but unissued shares of the Company’s common stock.</w:t>
      </w:r>
    </w:p>
    <w:p>
      <w:pPr>
        <w:spacing w:after="0" w:line="68" w:lineRule="exact"/>
        <w:rPr>
          <w:sz w:val="20"/>
          <w:szCs w:val="20"/>
          <w:color w:val="auto"/>
        </w:rPr>
      </w:pPr>
    </w:p>
    <w:p>
      <w:pPr>
        <w:ind w:left="520" w:right="8700" w:hanging="512"/>
        <w:spacing w:after="0" w:line="400" w:lineRule="auto"/>
        <w:tabs>
          <w:tab w:leader="none" w:pos="27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9"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2,985,456 shares authorized to be issued upon the exercise of outstanding stock option grants and no shares reserved for future issuance under the 2020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right="60"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The number of shares to be issued under the 2021 Plan did not increase on January 1, 2023 as determined by the Company’s board of directors. On January 1, 2024, 3,304,820 shares of common stock were added to the shares authorized for issuance under the 2021 Plan, pursuant to the evergreen provision thereof,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an aggregate of 45,004,758 shares authorized to be issued under the 2020 Plan and the 2021 Plan, which included 2,985,456 and 18,890,298 shares authorized to be issued upon the exercise of outstanding stock option grants from the 2020 Plan and 2021 Plan, respectively, and 0 and 23,129,004 shares reserved for future issuance under the 2020 Plan and 2021 Plan,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3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36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61.8 %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661"/>
        </w:trPr>
        <w:tc>
          <w:tcPr>
            <w:tcW w:w="3660" w:type="dxa"/>
            <w:vAlign w:val="bottom"/>
          </w:tcPr>
          <w:p>
            <w:pPr>
              <w:spacing w:after="0"/>
              <w:rPr>
                <w:sz w:val="24"/>
                <w:szCs w:val="24"/>
                <w:color w:val="auto"/>
              </w:rPr>
            </w:pPr>
          </w:p>
        </w:tc>
        <w:tc>
          <w:tcPr>
            <w:tcW w:w="29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5,866,869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(296,301 )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(6,760,328 )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21,875,754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21,875,754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11,506,753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-334010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-316230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nine months ended September 30, 2024 was $0.74 and $2.06, respectively, per share. The weighted-average grant date fair value of stock options granted during the three and nine months ended September 30, 2023 was $1.06 and $1.15, respectively, per share.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September 30, 2024 and 2023.</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$0.1 million and $0.3 million for the three and nine months ended September 30, 2024, respectively. The total intrinsic value of stock options exercised was $0.1 million and $0.5 million for the three and nine months ended September 30, 2023,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and employee stock purchase plan) in the following expense categories of its condensed consolidated statements of operations and comprehensive loss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340" w:type="dxa"/>
            <w:vAlign w:val="bottom"/>
          </w:tcPr>
          <w:p>
            <w:pPr>
              <w:spacing w:after="0"/>
              <w:rPr>
                <w:sz w:val="12"/>
                <w:szCs w:val="12"/>
                <w:color w:val="auto"/>
              </w:rPr>
            </w:pPr>
          </w:p>
        </w:tc>
        <w:tc>
          <w:tcPr>
            <w:tcW w:w="13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30,</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$0.9 million of share-based compensation expense was capitalized and recorded as Inventory in the accompanying condensed consolidated balance sheet.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2024, David Hering ceased serving as the Company’s Chief Executive Officer and as a member of the Company’s board of directors. Pursuant to his separation agreement, the Company recognized approximately $5.5 million of selling, general, and administrative related stock-based compensation expense associated with the accelerated vesting of a portion of his outstanding stock options, in accordance with the terms of his employment agreement.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stock-based compensation expense related to unvested stock-based awards was $21.5 million, which is expected to be recognized over a weighted-average period of 2.3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438,046 shares issued under the 2021 ESPP as of September 30, 2024.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2024 or January 1, 2023, pursuant to the evergreen provision thereof, as determined by the Company’s board of directors. The first offering under the 2021 ESPP was June 6, 2022. As of September 30, 2024, 904,727 shares remained available for issuance under the 2021 ESPP. During both the three and nine months ended September 30, 2024, the Company recognized less than $0.1 million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in related stock-based compensation expense. During both the three and nine months ended September 30, 2023, the Company recognized less than $0.1 million in related stock-based compensation expense.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warrants issued during the three and nine months ended September 30, 2024 and 2023. As of September 30, 2024, there were 6,824,712 warrants outstanding and not yet vested at a weighted-average exercise price of $3.48, with a weighted-average remaining contractual term of 8.13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nine months ended September 30, 2024, the Company contributed $0.2 million and $0.5 million, respectively, to the 401(k) Plan. For the three and nine months ended September 30, 2023, the Company contributed $0.3 million and $0.6 million, respectively, to the 401(k)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59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4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(60,739 )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(39,440 )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(151,482 )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(124,989 )</w:t>
            </w: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119,495,284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109,754,812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118,163,599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109,333,684</w:t>
            </w:r>
          </w:p>
        </w:tc>
        <w:tc>
          <w:tcPr>
            <w:tcW w:w="10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the three and nine months ended September 30, 2023. There were no shares of unvested restricted common stock for the three and nine months ended September 30, 2024.</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Nine</w:t>
            </w:r>
          </w:p>
        </w:tc>
        <w:tc>
          <w:tcPr>
            <w:tcW w:w="220" w:type="dxa"/>
            <w:vAlign w:val="bottom"/>
          </w:tcPr>
          <w:p>
            <w:pPr>
              <w:spacing w:after="0"/>
              <w:rPr>
                <w:sz w:val="13"/>
                <w:szCs w:val="13"/>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 and Nine</w:t>
            </w:r>
          </w:p>
        </w:tc>
      </w:tr>
      <w:tr>
        <w:trPr>
          <w:trHeight w:val="148"/>
        </w:trPr>
        <w:tc>
          <w:tcPr>
            <w:tcW w:w="79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226"/>
        </w:trPr>
        <w:tc>
          <w:tcPr>
            <w:tcW w:w="79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21,875,754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22,046,348</w:t>
            </w: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tcPr>
          <w:p>
            <w:pPr>
              <w:spacing w:after="0"/>
              <w:rPr>
                <w:sz w:val="20"/>
                <w:szCs w:val="20"/>
                <w:color w:val="auto"/>
              </w:rPr>
            </w:pPr>
          </w:p>
        </w:tc>
      </w:tr>
      <w:tr>
        <w:trPr>
          <w:trHeight w:val="243"/>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28,700,466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28,902,826</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an aggregate of $1.3 million and $0.7 million, respectively, was due to Adimab under the Adimab Assignment Agreement, the Adimab Collaboration Agreement, the Adimab Platform Transfer Agreement and the Adimab DNA Sequencing Services Agreement (as defined below) by the Company and was included in accrued expenses. As of September 30, 2024 and December 31, 2023, no amounts were due to the Company from Adimab under the Adimab Assignment Agreement, the Adimab Collaboration Agreement, the Adimab Platform Transfer Agreement or the Adimab DNA Sequencing Services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did not recognize any IPR&amp;D expense with respect to contingent consideration payable under the Adimab Assignment Agreement. During the three and nine months ended September 30, 2023, the Company recognized $3.2 million and $3.6 million, respectively, as IPR&amp;D expense with respect to a milestone payable under the Adimab Assignment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expensed $0.5 million of royalties as costs of product revenue and reserves all rights under the Adimab Assignment Agreement and the applicable law. During both the three and nine months ended September 30, 2023, the Company did not recognize any costs of product revenue with respect to royalties under the Adimab Assignment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$0.6 million and $1.8 million, respectively, of research and development expense related to the quarterly fee under the Adimab Collaboration Agreement. During the three and nine months ended September 30, 2023, the Company recognized $1.3 million and $3.9 million, respectively, of research and development expense related to the quarterly fee under the Adimab Collaboration Agreement.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did not recognize any research and development expense with respect to services performed by Adimab on the Company’s behalf under the Adimab Collaboration Agreement. During the three and nine months ended September 30, 2023, the Company recognized $0.1 million and $0.5 million, respectively, of research and development expense with respect to services performed by Adimab on the Company’s behalf under the Adimab Collaboration Agreement.</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did not recognize any IPR&amp;D expense related to an option fee. During both the three and nine months ended September 30, 2023, the Company recognized $1.0 million of IPR&amp;D expense related to an option exercise fee.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did not recognize any IPR&amp;D expense related to a drug delivery fee or optimization fee. During both the three and nine months ended September 30, 2023, the Company recognized $0.2 million of IPR&amp;D expense related to a drug delivery fee and $0.2 million of IPR&amp;D expense related to an optimization completion fee.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and 2023, the Company recognized a portion of the annual fee as research and development expense under the Adimab Platform Transfer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2024, the Company recognized less than $0.1 million of research and development expense with respect to services performed by Adimab on the Company’s behalf under the Adimab DNA Sequencing Services Agreement. During both the three and nine months ended September 30, 2023, the Company recognized less than $0.1 million of research and development expense with respect to services performed by Adimab on the Company’s behalf under the Adimab DNA Sequencing Services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 L.P.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PHP MSA and PHP Work Order, the Company was obligated to pay cash compensation for services and deliverables (see Note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did not recognize any research and development expense related to the cash compensation paid to PHP. During the three and nine months ended September 30, 2023, the Company recognized $0 and $2.3 million, respectively, of research and development expense related to services performed by PHP in connection with the PHP Work Order, which terminated in accordance with its terms in May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no amounts were due to PHP by the Company, and no amounts were due from PHP to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2023, filed with the Securities and Exchange Commission (“SEC”) on March 28, 2024 (the “2023 Form 10-K”). Unless the context requires otherwise, references in this Quarterly Report on Form 10-Q to “we,” “us,” and “our” refer to Invivyd, Inc. together with its consolidated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PEMGARDA will be our first monoclonal antibody (“mAb”) in a planned series of innovative mAb candidates designed to keep pace with SARS-CoV-2 viral evolution, and our plans to leverage our INVYMAB™ platform approach to periodically introduce new or engineered mAb candidates as the SARS-CoV-2 virus evolves over time;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such as pemivibart and VYD2311,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delivering protection from serious viral infectious diseases, beginning with SARS-CoV-2, and our aim to develop a continuous repertoire of SARS-CoV-2 neutralizing mAbs to keep pace with viral evolution;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general alignment with the FDA on an expedient, repeatable immunobridging pathway to future potential EUAs for serial, novel mAbs for the prevention and treatment of symptomatic COVID-19;</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submission of any applications for regulatory authorization or approval of our product candidates, including our July 2024 submission of a request to the FDA to amend the EUA for PEMGARDA for the treatment of mild-to-moderate symptomatic COVID-19 in certain immunocompromised patients utilizing a rapid immunobridging pathway, and our expectations regarding potential scope and timing thereof;</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regulatory authorizations or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SARS-CoV-2 variant monitoring of antiviral activity as part of our ongoing industrial virology effort;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and our INVYMAB platform approach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apply our INVYMAB platform approach to produce lead molecules for other viral diseases, such as influenza;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sections of the 2023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INVYMAB™ platform approach combines state-of-the-art viral surveillance and predictive modeling with advanced antibody engineering.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INVYMAB is designed to facilitate the rapid, serial generation of new monoclonal antibodies (“mAbs”) to address evolving viral threats.</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2024, we submitted a request to the FDA to amend the EUA for PEMGARDA, for the treatment of mild-to-moderate symptomatic COVID-19 in certain immunocompromised patients. The submission utilizes a rapid immunobridging pathway previously aligned in principle with the FDA. The EUA amendment request is based on positive immunobridging analyses of pemivibart versus comparator mAbs and data from our ongoing CANOPY Phase 3 clinical trial in participants with moderate-to-severe immune compromise. The COVID-19 treatment EUA request focuses on the critical treatment needs of people in the U.S. who have moderate-to-severe immune compromise and for whom alternative COVID-19 treatment options are not clinically appropriate or accessible.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PEMGARDA is our first mAb in a planned series of innovative mAb candidates designed to keep pace with SARS-CoV-2 viral evolution. As the SARS-CoV-2 virus evolves over time, we anticipate leveraging our INVYMAB platform approach to periodically introduce new or engineered mAb candidates, an approach that would be analogous to the periodic updates made to influenza and COVID-19 vaccines. In January 2024, we nominated VYD2311, a next generation mAb candidate for COVID-19, as a drug candidate, and in September 2024, we announced dosing of the first participants in a Phase 1 clinical trial of VYD2311. VYD2311 is a mAb with high in vitro neutralization potency shown against prominent SARS-CoV-2 variants tested to date. The Phase 1 randomized, blinded, placebo-controlled clinical trial will evaluate escalating dosing as well as safety, tolerability, pharmacokinetics and immunogenicity of VYD2311 in healthy trial participants. The Phase 1 clinical trial is being conducted in Australia and will evaluate multiple dose levels of VYD2311 through various routes of administration, including exploration of intramuscular administration and subcutaneous administration, which are designed to be more system- and patient-friendly than intravenous administration. We expect preliminary data readouts from the Phase 1 clinical trial late in the fourth quarter of 2024 and anticipate additional clinical readouts from the VYD2311 program throughout 2025.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2024, we announced general alignment with the FDA on an expedient, repeatable immunobridging pathway to future potential EUAs for</w:t>
      </w:r>
    </w:p>
    <w:p>
      <w:pPr>
        <w:spacing w:after="0" w:line="117"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serial, novel mAbs for the prevention and treatment of symptomatic COVID-19. This pathway provides us with the opportunity to rapidly, efficiently, and durably deliver high value medicines that prevent and treat symptomatic COVID-19 in vulnerable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populations. In addition to developing candidates for COVID-19, we expect to apply our INVYMAB platform approach to produce lead molecules for other viral diseases, such as influenza.</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four years in the COVID-19 space, we aim to develop a continuous repertoire of SARS-CoV-2 neutralizing mAbs to keep pace with viral evolution.</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(pemivibart)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focus in recent months has been and will continue to be supporting the commercialization of PEMGARDA and establishing streamlined development pathways that could enable us to efficiently introduce new or engineered mAb candidates targeting SARS-CoV-2, leveraging our INVYMAB platform approach and previously generated safety and efficacy data from our clinical trials of adintrevimab and/or pemivibart, including pursuit of a potential EUA for COVID-19 treatment in certain immunocompromised people utilizing a rapid immunobridging pathway.</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net proceeds of $464.7 million from sales of our preferred stock, with net proceeds of $327.5 million from our initial public offering (“IPO”), and with net proceeds of $39.3 million from sales of our common stock under the Sales Agreement (as defined below). After receiving EUA in March 2024,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$151.5 million for the nine months ended September 30, 2024. As of September 30, 2024, we had an accumulated deficit of $883.6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 as well as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22, 2024, we received EUA from the FDA for PEMGARDA, and as such, we will continue to incur significant commercialization expenses related to product manufacturing, marketing, sales and distribution.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interim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United States.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5540" w:right="2700" w:hanging="4904"/>
        <w:spacing w:after="0" w:line="657" w:lineRule="auto"/>
        <w:tabs>
          <w:tab w:leader="none" w:pos="11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to advance PEMGARDA and as we expect to continue advancing VYD2311 through clinical development, including the associated manufacturing activities, pursue EUA or regulatory approval of our product candidates, and continue to discover and develop additional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68" w:lineRule="exact"/>
        <w:rPr>
          <w:sz w:val="20"/>
          <w:szCs w:val="20"/>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2022, and subsequently amended in September 2022 and August 2024, we entered into a lease agreement for dedicated laboratory and office space in Newton, Massachusetts for research and development purposes. Through September 30, 2024,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September 30, 2024,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2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tcPr>
          <w:p>
            <w:pPr>
              <w:spacing w:after="0"/>
              <w:rPr>
                <w:sz w:val="20"/>
                <w:szCs w:val="20"/>
                <w:color w:val="auto"/>
              </w:rPr>
            </w:pPr>
          </w:p>
        </w:tc>
      </w:tr>
      <w:tr>
        <w:trPr>
          <w:trHeight w:val="237"/>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FF0FC"/>
          </w:tcPr>
          <w:p>
            <w:pPr>
              <w:spacing w:after="0"/>
              <w:rPr>
                <w:sz w:val="20"/>
                <w:szCs w:val="20"/>
                <w:color w:val="auto"/>
              </w:rPr>
            </w:pPr>
          </w:p>
        </w:tc>
      </w:tr>
      <w:tr>
        <w:trPr>
          <w:trHeight w:val="236"/>
        </w:trPr>
        <w:tc>
          <w:tcPr>
            <w:tcW w:w="7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(4,600 )</w:t>
            </w: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r>
      <w:tr>
        <w:trPr>
          <w:trHeight w:val="237"/>
        </w:trPr>
        <w:tc>
          <w:tcPr>
            <w:tcW w:w="7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(62,311 )</w:t>
            </w: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(43,060 )</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(19,251 )</w:t>
            </w:r>
          </w:p>
        </w:tc>
      </w:tr>
      <w:tr>
        <w:trPr>
          <w:trHeight w:val="241"/>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(2,048 )</w:t>
            </w:r>
          </w:p>
        </w:tc>
      </w:tr>
      <w:tr>
        <w:trPr>
          <w:trHeight w:val="20"/>
        </w:trPr>
        <w:tc>
          <w:tcPr>
            <w:tcW w:w="7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(2,048 )</w:t>
            </w:r>
          </w:p>
        </w:tc>
      </w:tr>
      <w:tr>
        <w:trPr>
          <w:trHeight w:val="20"/>
        </w:trPr>
        <w:tc>
          <w:tcPr>
            <w:tcW w:w="7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(60,739 )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(39,440 )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(21,299 )</w:t>
            </w: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-1773555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-1773555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-830580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-830580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$9.3 million for the three months ended September 30, 2024. There was no product revenue, net for the three months ended September 30, 2023. The $9.3 million increase is the result of product sales in the third quarter of 2024 following the launch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$0.8 million for the three months ended September 30, 2024. There was no cost of product revenue for the three months ended September 30, 2023. The $0.8 million increase is the result of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1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VYD222</w:t>
            </w:r>
            <w:r>
              <w:rPr>
                <w:rFonts w:ascii="Times New Roman" w:cs="Times New Roman" w:eastAsia="Times New Roman" w:hAnsi="Times New Roman"/>
                <w:sz w:val="24"/>
                <w:szCs w:val="24"/>
                <w:color w:val="auto"/>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(7,690 )</w:t>
            </w:r>
          </w:p>
        </w:tc>
      </w:tr>
      <w:tr>
        <w:trPr>
          <w:trHeight w:val="243"/>
        </w:trPr>
        <w:tc>
          <w:tcPr>
            <w:tcW w:w="71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(3,358 )</w:t>
            </w:r>
          </w:p>
        </w:tc>
      </w:tr>
      <w:tr>
        <w:trPr>
          <w:trHeight w:val="243"/>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(1,635 )</w:t>
            </w:r>
          </w:p>
        </w:tc>
      </w:tr>
      <w:tr>
        <w:trPr>
          <w:trHeight w:val="232"/>
        </w:trPr>
        <w:tc>
          <w:tcPr>
            <w:tcW w:w="7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8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-156845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5715</wp:posOffset>
            </wp:positionV>
            <wp:extent cx="250317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03170" cy="25400"/>
                    </a:xfrm>
                    <a:prstGeom prst="rect">
                      <a:avLst/>
                    </a:prstGeom>
                    <a:noFill/>
                  </pic:spPr>
                </pic:pic>
              </a:graphicData>
            </a:graphic>
          </wp:anchor>
        </w:drawing>
      </w:r>
    </w:p>
    <w:p>
      <w:pPr>
        <w:spacing w:after="0" w:line="6"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$57.9 million for the three months ended September 30, 2024, compared to $25.6 million for the three months ended September 30, 2023. The $32.3 million increase in research and development expenses was primarily due to the following:</w:t>
      </w:r>
    </w:p>
    <w:p>
      <w:pPr>
        <w:spacing w:after="0" w:line="75"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VYD222 program resulted from $4.3 million in contract costs for commercial manufacturing, $3.5 million in contract research costs for our CANOPY clinical trial, and $0.2 million in nonclinical expenses, partially offset by increases of $0.3 million in other external expenses;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VYD2311 program resulted from the nomination of our VYD2311 product candidate in the first quarter of 2024 and consisted primarily of contract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related to our adintrevimab program were consistent following the nomination of our VYD222 product candidate in the first quarter of 2023;</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 related costs related to a $1.8 million decrease in stock-based compensation and the capitalization of certain inventory costs which were recorded as research and development personnel related costs prior to the EUA of PEMGARDA;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external discovery-related and other costs resulted from a $1.9 million decrease in contract manufacturing costs and $0.9 million decrease in other nonclinical expenses, partially offset by a $1.2 million increase in other external costs related to our pipeline candidates.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Expenses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during the three months ended September 30, 2024.</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IPR&amp;D expenses of $4.6 million for the three months ended September 30, 2023 consisted of $3.2 million incurred related to a milestone under the Adimab Assignment Agreement and $1.4 million incurred related to an option exercise fee, a drug discovery fee and an optimization completion fee under the Adimab Collaboration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28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(2,007 )</w:t>
            </w: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0"/>
                <w:szCs w:val="20"/>
                <w:color w:val="auto"/>
              </w:rPr>
            </w:pPr>
          </w:p>
        </w:tc>
      </w:tr>
      <w:tr>
        <w:trPr>
          <w:trHeight w:val="24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-187960</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$13.0 million for the three months ended September 30, 2024, compared to $12.9 million for the three months ended September 30, 2023. The $0.1 million increase in selling, general and administrative expenses was primarily due to the following: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 related costs was primarily due to decreases in headcount and stock-based compensation;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and consultant fees was primarily due to a $3.7 million increase related to the commercialization of PEMGARDA, partially offset by a $1.4 million and $0.3 million decrease in professional service fees and director and officer insurance premiums, respectively;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remained relatively consistent between periods.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$1.6 million for the three months ended September 30, 2024, consisting primarily of interest earned on our invested cash balances.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$3.6 million for the three months ended September 30, 2023, consisting of $1.9 million of interest earned on our invested cash balances and $1.7 million of net accretion of discounts related to our marketable securities.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00" w:type="dxa"/>
            <w:vAlign w:val="bottom"/>
          </w:tcPr>
          <w:p>
            <w:pPr>
              <w:spacing w:after="0"/>
              <w:rPr>
                <w:sz w:val="12"/>
                <w:szCs w:val="12"/>
                <w:color w:val="auto"/>
              </w:rPr>
            </w:pPr>
          </w:p>
        </w:tc>
        <w:tc>
          <w:tcPr>
            <w:tcW w:w="14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7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tcPr>
          <w:p>
            <w:pPr>
              <w:spacing w:after="0"/>
              <w:rPr>
                <w:sz w:val="20"/>
                <w:szCs w:val="20"/>
                <w:color w:val="auto"/>
              </w:rPr>
            </w:pPr>
          </w:p>
        </w:tc>
      </w:tr>
      <w:tr>
        <w:trPr>
          <w:trHeight w:val="23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shd w:val="clear" w:color="auto" w:fill="CFF0FC"/>
          </w:tcPr>
          <w:p>
            <w:pPr>
              <w:spacing w:after="0"/>
              <w:rPr>
                <w:sz w:val="20"/>
                <w:szCs w:val="20"/>
                <w:color w:val="auto"/>
              </w:rPr>
            </w:pPr>
          </w:p>
        </w:tc>
      </w:tr>
      <w:tr>
        <w:trPr>
          <w:trHeight w:val="236"/>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(5,575 )</w:t>
            </w: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20"/>
                <w:szCs w:val="20"/>
                <w:color w:val="auto"/>
              </w:rPr>
            </w:pPr>
          </w:p>
        </w:tc>
      </w:tr>
      <w:tr>
        <w:trPr>
          <w:trHeight w:val="236"/>
        </w:trPr>
        <w:tc>
          <w:tcPr>
            <w:tcW w:w="7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169,211</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(157,647 )</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(136,006 )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(21,641 )</w:t>
            </w: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(4,852 )</w:t>
            </w: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(4,852 )</w:t>
            </w:r>
          </w:p>
        </w:tc>
      </w:tr>
      <w:tr>
        <w:trPr>
          <w:trHeight w:val="20"/>
        </w:trPr>
        <w:tc>
          <w:tcPr>
            <w:tcW w:w="7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(151,482 )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(124,989 )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(26,493 )</w:t>
            </w:r>
          </w:p>
        </w:tc>
      </w:tr>
      <w:tr>
        <w:trPr>
          <w:trHeight w:val="20"/>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-1773555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-1773555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-831215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-831215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$11.6 million for the nine months ended September 30, 2024. There was no product revenue, net for the nine months ended September 30, 2023. The $11.6 million increase is the result of product sales following the launch of PEMGARDA in the second quarter of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$0.9 million for the nine months ended September 30, 2024. There was no cost of product revenue for the nine months ended September 30, 2023. The $0.9 million increase is the result of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18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VYD222</w:t>
            </w:r>
            <w:r>
              <w:rPr>
                <w:rFonts w:ascii="Times New Roman" w:cs="Times New Roman" w:eastAsia="Times New Roman" w:hAnsi="Times New Roman"/>
                <w:sz w:val="24"/>
                <w:szCs w:val="24"/>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52,694</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(24,758 )</w:t>
            </w:r>
          </w:p>
        </w:tc>
      </w:tr>
      <w:tr>
        <w:trPr>
          <w:trHeight w:val="243"/>
        </w:trPr>
        <w:tc>
          <w:tcPr>
            <w:tcW w:w="71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(2,888 )</w:t>
            </w: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(6,575 )</w:t>
            </w:r>
          </w:p>
        </w:tc>
      </w:tr>
      <w:tr>
        <w:trPr>
          <w:trHeight w:val="243"/>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(7,003 )</w:t>
            </w:r>
          </w:p>
        </w:tc>
      </w:tr>
      <w:tr>
        <w:trPr>
          <w:trHeight w:val="232"/>
        </w:trPr>
        <w:tc>
          <w:tcPr>
            <w:tcW w:w="7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119,344</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96,393</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-156845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-156845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5715</wp:posOffset>
            </wp:positionV>
            <wp:extent cx="251142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11425" cy="25400"/>
                    </a:xfrm>
                    <a:prstGeom prst="rect">
                      <a:avLst/>
                    </a:prstGeom>
                    <a:noFill/>
                  </pic:spPr>
                </pic:pic>
              </a:graphicData>
            </a:graphic>
          </wp:anchor>
        </w:drawing>
      </w:r>
    </w:p>
    <w:p>
      <w:pPr>
        <w:spacing w:after="0" w:line="24" w:lineRule="exact"/>
        <w:rPr>
          <w:sz w:val="20"/>
          <w:szCs w:val="20"/>
          <w:color w:val="auto"/>
        </w:rPr>
      </w:pPr>
    </w:p>
    <w:p>
      <w:pPr>
        <w:ind w:left="5540" w:right="3160" w:hanging="5532"/>
        <w:spacing w:after="0"/>
        <w:tabs>
          <w:tab w:leader="none" w:pos="184"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as a novel mAb therapeutic option for COVID-19.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180" w:hanging="172"/>
        <w:spacing w:after="0"/>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$119.3 million for the nine months ended September 30, 2024, compared to $96.4 million for the nine months ended September 30, 2023. The $22.9 million increase in research and development expenses was primarily due to the following:</w:t>
      </w:r>
    </w:p>
    <w:p>
      <w:pPr>
        <w:spacing w:after="0" w:line="75" w:lineRule="exact"/>
        <w:rPr>
          <w:sz w:val="20"/>
          <w:szCs w:val="20"/>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VYD222 program resulted from $26.5 million in contract costs for commercial manufacturing and $0.5 million in nonclinical expenses, partially offset by increases of $1.8 million in contract research costs for our CANOPY clinical trial and $0.5 million in other external expenses;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VYD2311 program resulted from the nomination of our VYD2311 product candidate in the first quarter of 2024 and consisted primarily of contract manufacturing costs and nonclinical expenses;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$2.9 million resulted from the nomination of our VYD222 product candidate in the first quarter of 2023;</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 related costs related to capitalization of $4.0 million of certain inventory costs which were recorded as research and development costs prior to the EUA of PEMGARDA and a $2.6 million decrease primarily due to a reduction in headcount, including a $0.7 million decrease due to stock-based compensation;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external discovery-related and other costs resulted from a $5.1 million decrease in contract manufacturing costs related to our pipeline candidates and a $2.7 million decrease in other nonclinical expenses, partially offset by a $0.6 million increase in other external costs and $0.2 million in clinical trial expenses.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Expenses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during the nine months ended September 30, 2024.</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IPR&amp;D expenses of $5.6 million for the nine months ended September 30, 2023 consisted of $3.6 million incurred related to milestones under the Adimab Assignment Agreement, $1.4 million incurred related to an option exercise fee, a drug discovery fee and an optimization completion fee under the Adimab Collaboration Agreement, and $0.6 million incurred related to license fees under the WuXi Biologics’ Cell Line License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18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$49.0 million for the nine months ended September 30, 2024, compared to $34.0 million for the nine months ended September 30, 2023. The $14.9 million increase in selling, general and administrative expenses was primarily due to the following: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 related costs was primarily due to an increase in headcount-related costs, including an increase in stock-based compensation expense of $4.0 million that was primarily due to the accelerated vesting of a portion of the outstanding stock options granted to our former Chief Executive Officer, in accordance with the terms of his employment agreement;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and consultant fees and other costs of $8.2 million and 0.7 million, respectively, was primarily related to the commercialization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was $6.2 million for the nine months ended September 30, 2024, consisting primarily of interest earned on our invested cash balances.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6" w:name="page37"/>
    <w:bookmarkEnd w:id="3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$11.0 million for the nine months ended September 30, 2023, consisting primarily of $4.6 million of interest earned on our invested cash balances and $6.4 million of net accretion of discounts related to our marketable securities.</w:t>
      </w:r>
    </w:p>
    <w:p>
      <w:pPr>
        <w:spacing w:after="0" w:line="50"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September 30, 2024, we have incurred significant operating losses and negative cash flows from operations. Although we received an EUA from the FDA for PEMGARDA in March 2024, we may continue to incur significant expenses and potential operating losses for the foreseeable future as we commercialize PEMGARDA and advance the development of our other product candidates. To date, we have financed our operations primarily with net proceeds of $464.7 million from sales of our preferred stock, with aggregate net proceeds from our IPO in August 2021 of $327.5 million, and with net proceeds of $39.3 million from sales of our common stock under the Sales Agreement (as defined below). After receiving EUA in March 2024, we have also funded our operations from sales of PEMGARDA.</w:t>
      </w:r>
    </w:p>
    <w:p>
      <w:pPr>
        <w:spacing w:after="0" w:line="8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 at an average price of $4.50 per share for $39.3 million in net proceeds. As of September 30, 2024, $34.5 million remained available for sale under the Sales Agreement.</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we had cash and cash equivalents of $106.9 million.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83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3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0" w:type="dxa"/>
            <w:vAlign w:val="bottom"/>
          </w:tcPr>
          <w:p>
            <w:pPr>
              <w:spacing w:after="0"/>
              <w:rPr>
                <w:sz w:val="1"/>
                <w:szCs w:val="1"/>
                <w:color w:val="auto"/>
              </w:rPr>
            </w:pPr>
          </w:p>
        </w:tc>
      </w:tr>
      <w:tr>
        <w:trPr>
          <w:trHeight w:val="175"/>
        </w:trPr>
        <w:tc>
          <w:tcPr>
            <w:tcW w:w="8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0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(132,881 )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(113,924 )</w:t>
            </w:r>
          </w:p>
        </w:tc>
        <w:tc>
          <w:tcPr>
            <w:tcW w:w="0" w:type="dxa"/>
            <w:vAlign w:val="bottom"/>
          </w:tcPr>
          <w:p>
            <w:pPr>
              <w:spacing w:after="0"/>
              <w:rPr>
                <w:sz w:val="1"/>
                <w:szCs w:val="1"/>
                <w:color w:val="auto"/>
              </w:rPr>
            </w:pPr>
          </w:p>
        </w:tc>
      </w:tr>
      <w:tr>
        <w:trPr>
          <w:trHeight w:val="23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(145 )</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(93,772 )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$132.9 million of cash, primarily due to our net loss of $151.5 million, partially offset by non-cash charges of $18.3 million and changes in our operating assets and liabilities of $0.3 million. The changes in our operating assets and liabilities primarily consisted of a $16.0 million increase in accrued expenses, a $15.3 million decrease in prepaid expenses, and a $9.7 million increase in accounts payable, partially offset by a $23.4 million increase in inventory, a $8.1 million increase in accounts receivables, a $7.3 million increase in other non-current assets, a $1.2 million decrease in operating lease liabilities and a $0.7 million decrease in other non-current liabilities. The increase in accrued expenses was primarily due to the timing of vendor invoicing and payments. The decrease in prepaid expenses and other current assets was primarily due to the utilization of WuXi Biologics manufacturing prepayments.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operating activities used $113.9 million of cash, primarily due to our net loss of $125.0 million, partially offset by non-cash charges of $9.6 million and changes in our operating assets and liabilities of $1.5 million. The changes in our operating assets and liabilities primarily consisted of a $7.7 million increase in accounts payable and a $0.7 million increase in non-current liabilities, partially offset by a $5.5 million decrease in accrued expenses, a $1.2 million decrease in operating lease liabilities, and a $0.3 million increase in prepaid expenses and other current assets. The increase in accounts payable and decrease in accrued expenses was primarily due to the timing of vendor invoicing and payments.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consisted of $0.1 million in purchases of property and equipment.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2023 consisted of $294.6 million in maturities of marketable securities, offset by $91.2 million in purchases of marketable securities and $0.6 million in purchases of property and equipment.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consisted of $39.3 million from the issuance of common stock under the Sales Agreement, $0.3 million from exercises of stock options, and $0.2 million from the issuance of common stock under the employee stock purchase plan, offset by $0.5 million in payments for offering costs related to the Sales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2023 consisted of $0.7 million from exercises of stock options and $0.2 million from the issuance of common stock under the employee stock purchase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68" w:lineRule="exact"/>
        <w:rPr>
          <w:sz w:val="20"/>
          <w:szCs w:val="20"/>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and retain additional research, clinical, development, scientific and manufacturing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Through September 30, 2024, we committed to noncancelable purchase obligations related to commercial drug substance and drug product manufacturing under the Commercial Manufacturing Services Agreement with WuXi Biologics, which was entered into in December 2020, amended and restated in August 2021 and further amended and restated in September 2023 (as amended and restated, the “Commercial Manufacturing Agreement”). As of September 30, 2024, the total remaining contractually binding commercial drug substance and drug product purchase obligations due to WuXi Biologics was $38.3 million, which is expected to be paid in 2024 and 2025. As of September 30, 2024, $36.5 million related to the contractually binding commercial drug substance and drug product batches was included in accounts payable and accrued expenses, which is expected to be paid in 2024. Through September 30, 2024, we committed to noncancelable purchase obligations of $17.0 million related to the procurement of materials to be used in future drug substance and drug product manufacturing under the Commercial Manufacturing Agreement, which is expected to be paid in 2024. As of September 30, 2024, $10.6 million related to the procurement of materials to be used in future drug substance and drug product manufacturing was included in accounts payable and accrued expenses, which is expected to be paid in 2024. For additional information, see Note 9 to our condensed consolidated financial statements appearing in this Quarterly Report on Form 10-Q. Other than the above noted transactions, during the three and nine months ended September 30, 2024, there were no material changes to our contractual obligations from those described in the 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2023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2023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alleged violations of Sections 10(b) and 20(a) of the Exchange Act and Rule 10b-5 promulgated thereunder on the basis of purportedly materially false and misleading statements and omissions concerning ADG20’s effectiveness against the Omicron variant of COVID-19. The complaint sought, among other things, unspecified damages, attorneys’ fees, expert fees, and other costs. The court appointed lead plaintiffs for the action on June 28, 2023. On August 23, 2023, the lead plaintiffs filed an amended complaint that made allegations similar to those in the original complaint and asserted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made allegations similar to those in the prior complaints and asserted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 The court heard oral arguments on the defendants’ motion to dismiss on May 10, 2024. The court granted the defendants’ motion to dismiss on September 18, 2024, dismissing the second amended complaint in its entirety, with prejudice and without leave to amend. The plaintiffs did not appeal the court’s decision. As such, we have concluded that this matter is closed.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Information regarding risks and uncertainties related to our business appears in Part I, Item 1A. “Risk Factors” of the 2023 Form 10-K. As of the date of this Quarterly Report on Form 10-Q, there have been no material changes from the risk factors set forth in the 2023 Form 10-K, other than as described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commercial prospects may be harmed if academic or other third-party labs unrelated to Invivyd generate virologic activity data that creates doubt regarding the neutralization activity of pemivibart or any other of Invivyd’s product candidates, even if such data is ultimately shown to be inconsistent with neutralization data generated through Invivyd’s industrial-grade virology efforts.</w:t>
      </w:r>
    </w:p>
    <w:p>
      <w:pPr>
        <w:spacing w:after="0" w:line="52"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From time to time, academic or other third-party labs unrelated to Invivyd may produce and run tests on their own molecules meant to resemble Invivyd molecules, such as pemivibart, or run tests on Invivyd molecules utilizing differing assays, and put neutralization findings of unknown quality into the public domain. In connection with the emergency use authorization (“EUA”) for PEMGARDA™ (pemivibart), the U.S. Food and Drug Administration (“FDA”) has acknowledged that neutralization findings from sources other than Invivyd’s independent, contracted vendor may differ due to, among other reasons, assay differences or because the molecule tested by other labs differs from pemivibart in sequence. Nevertheless, publicly available neutralization data against emerging SARS-CoV-2 variants are reviewed by the FDA and may be factored into the totality of evidence when considering the potential for adequate neutralization activity of PEMGARDA to support continued emergency use authorization.</w:t>
      </w:r>
    </w:p>
    <w:p>
      <w:pPr>
        <w:spacing w:after="0" w:line="8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To the extent that virologic activity data in the public domain generated by academic or other third-party labs unrelated to Invivyd creates doubt regarding the neutralization activity of pemivibart or other Invivyd product candidates, it could adversely impact our regulatory authorization and market acceptance by healthcare providers (“HCPs”) or patients, particularly if such publicly available neutralization findings are referenced by the FDA in relation to the regulatory authorization of any Invivyd product candidate, which would adversely affect our commercial prospects and ability to generate revenues, even if such data is preliminary, non-peer-reviewed, and/or generated with molecules that are not authentic Invivyd molecules, and even if such data is ultimately shown to be inconsistent with neutralization data generated through Invivyd’s industrial-grade virology efforts.</w:t>
      </w:r>
    </w:p>
    <w:p>
      <w:pPr>
        <w:spacing w:after="0" w:line="79"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For example, in October 2024, Invivyd withdrew formal revenue guidance for FY2024 following growth headwinds after the FDA updated the PEMGARDA Fact Sheet for HCPs (“Fact Sheet”) in August 2024 to include a link to contested, non-peer-reviewed neutralization data of a non-pemivibart antibody generated by an academic lab, which indicated that PEMGARDA may have reduced susceptibility to certain SARS-CoV-2 variants, including KP.3.1.1. In September 2024, we announced that pseudovirus in vitro neutralization data generated by Invivyd’s independent, contracted vendor as part of our industrial-grade virology efforts showed continued neutralizing activity of PEMGARDA against KP.3.1.1 and other SARS-CoV-2 variants tested, and later that month, the FDA re-issued an updated PEMGARDA Fact Sheet to provide accurate in vitro neutralization activity of PEMGARDA against dominant circulating variants, including KP.3.1.1. However, this series of events resulted in confusion in the HCP and vulnerable population communities about PEMGARDA and negatively impacted our net product revenue growth.</w:t>
      </w:r>
    </w:p>
    <w:p>
      <w:pPr>
        <w:spacing w:after="0" w:line="84"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If academic or other third-party labs unrelated to Invivyd generate virologic activity data that creates doubt regarding the neutralization activity of pemivibart or any other of Invivyd’s product candidates, our regulatory authorization and our commercial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prospects may be harmed, even if such data is ultimately shown to be inconsistent with neutralization data generated through Invivyd’s industrial-grade virology efforts.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third parties to conduct, supervise, analyze and monitor a significant portion of our nonclinical activities and clinical trials for our product candidates, and if those third parties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57"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We have engaged contract research organizations (“CROs”) and other third parties to conduct nonclinical activities and clinical trials for our product candidates, and to monitor and manage data. We expect to continue to rely on third parties such as clinical data management organizations, medical institutions and clinical investigators to conduct such activities and trials. We also rely on third parties for their research and discovery capabilities, including the nonclinical activity of assay development and virology testing of our product candidates.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on commercially reasonable terms, if at all. Switching or adding CROs or other third-party vendors requires management time and focus, and may involve substantial cost or result in delays that materially impact our ability to meet our desired program timelines for our product candidates. Though we intend to carefully manage our relationships with our CROs and other third-party vendors, there can be no assurance that we will not encounter challenges or delays in the future or that any such delays or challenges will not have a material adverse impact on our business, financial condition and prospects.</w:t>
      </w:r>
    </w:p>
    <w:p>
      <w:pPr>
        <w:spacing w:after="0" w:line="86"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In addition, any third parties conducting our nonclinical activities or our clinical trials, or monitoring and managing our data,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or if the quality or accuracy of the nonclinical, clinical or other data they generate or otherwise obtain is compromised or not timely made available to us or regulatory authorities, due to the failure to adhere to applicable protocols, regulatory requirements, contractual obligations or for other reasons, our preclinical studies or clinical trials may be extended, delayed or terminated, the strength and reliability of our data may be adversely impacted, which may impact our ability to obtain or maintain regulatory authorization or approval, or result in modification to the regulatory authorization or approval documents (e.g., EUA fact sheet, letter of authorization or prescribing information), and may impact our ability to successfully commercialize our product candidates. Consequently, our results of operations and the commercial prospects for our product candidates may be harmed, our costs could increase substantially and our ability to generate revenue could be impaired significantly. For example, following receipt of EUA from the FDA in March 2024 for PEMGARDA™ (pemivibart) for the pre-exposure prophylaxis (prevention) of COVID-19 in certain adults and adolescent individuals (12 years of age and older weighing at least 40 kg), we were informed in mid-July 2024 by our third-party authentic virus neutralization assay (“AVNA”) vendor that a possible contamination event may have impacted the AVNA potency value generated by such vendor for pemivibart against JN.1, which was the dominant circulating SARS-CoV-2 variant in the United States between January 2024 and April 2024. Along with the pseudotyped viral neutralization assay (“PVNA”) potency value for pemivibart against JN.1, the original PEMGARDA Fact Sheet reflected the AVNA potency value for pemivibart against JN.1.We have been pursuing additional AVNA assay work with multiple third-party AVNA vendors to reassess the AVNA potency value for pemivibart against JN.1, while also working with our third-party PVNA vendor to continue to generate and provide the FDA with PVNA potency data against SARS-CoV-2 variants, as required by the PEMGARDA EUA. As a result of the possible contamination event at our third-party AVNA vendor that may have impacted the AVNA potency value for pemivibart against JN.1, the FDA made modifications to the PEMGARDA Fact Sheet, including, among other changes, removal of the AVNA potency value for pemivibart against JN.1 and incorporation of certain other available information for HCPs to consider when determining whether to prescribe PEMGARDA.</w:t>
      </w:r>
    </w:p>
    <w:p>
      <w:pPr>
        <w:spacing w:after="0" w:line="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Our reliance on CROs and other third parties reduces our control over our nonclinical activities and clinical trials, but does not relieve us of our regulatory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(“cGCPs”),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or comparable foreign regulatory authorities may require us to perform additional clinical trials before authorizing or approving our product candidates. We cannot assure you that upon inspection by a given regulatory authority, such regulatory authority will determine that any of our clinical trials complies with cGCP regulations. In addition, our clinical trials must be conducted with product produced under current Good Manufacturing Practices conditions. Our failure to comply with these regulations may require us to repeat clinical trials, which would delay the regulatory authorization or approval process for our product candidates.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6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which may lead to the delay or denial of regulatory authorization or approval for our product candidates.</w:t>
      </w:r>
    </w:p>
    <w:p>
      <w:pPr>
        <w:spacing w:after="0" w:line="7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supplies for our clinical trials. Any performance failure on the part of such third parties could delay clinical development or marketing approval or authorization of our product candidates or commercialization of our products, producing additional losses and depriving us of potential revenue.</w:t>
      </w:r>
    </w:p>
    <w:p>
      <w:pPr>
        <w:spacing w:after="0" w:line="6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our CROs or other third-party vendors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three months ended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620" w:type="dxa"/>
            <w:vAlign w:val="bottom"/>
            <w:gridSpan w:val="16"/>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9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Amended and Restated Certificate of Incorporation (incorporated by reference to Exhibit 3.1 of the Company’s Current Report on Form 8-</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29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257">
              <w:r>
                <w:rPr>
                  <w:rFonts w:ascii="Times New Roman" w:cs="Times New Roman" w:eastAsia="Times New Roman" w:hAnsi="Times New Roman"/>
                  <w:sz w:val="18"/>
                  <w:szCs w:val="18"/>
                  <w:color w:val="0000FF"/>
                  <w:w w:val="94"/>
                </w:rPr>
                <w:t>2022).</w:t>
              </w:r>
            </w:hyperlink>
          </w:p>
        </w:tc>
        <w:tc>
          <w:tcPr>
            <w:tcW w:w="29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9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97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Amended and Restated Bylaws (incorporated by reference to Exhibit 3.2 of the Company’s Current Report on Form 8-K (File No. 001-</w:t>
              </w:r>
            </w:hyperlink>
          </w:p>
        </w:tc>
        <w:tc>
          <w:tcPr>
            <w:tcW w:w="3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97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Amendment No. 1 to the Amended and Restated Bylaws (incorporated by reference to Exhibit 3.2 of the Company’s Current Report on</w:t>
              </w:r>
            </w:hyperlink>
          </w:p>
        </w:tc>
        <w:tc>
          <w:tcPr>
            <w:tcW w:w="3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0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 Securities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31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9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80" w:hanging="459"/>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480" w:right="520" w:hanging="459"/>
        <w:spacing w:after="0" w:line="266"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INVIVYD, INC.</w:t>
      </w:r>
    </w:p>
    <w:p>
      <w:pPr>
        <w:spacing w:after="0" w:line="252"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September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4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9"/>
    </w:lvl>
  </w:abstractNum>
  <w:abstractNum w:abstractNumId="9">
    <w:nsid w:val="333AB105"/>
    <w:multiLevelType w:val="hybridMultilevel"/>
    <w:lvl w:ilvl="0">
      <w:lvlJc w:val="left"/>
      <w:lvlText w:val="%1."/>
      <w:numFmt w:val="decimal"/>
      <w:start w:val="1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56" Type="http://schemas.openxmlformats.org/officeDocument/2006/relationships/hyperlink" Target="https://www.sec.gov/Archives/edgar/data/1832038/000119312521242044/d211424dex31.htm" TargetMode="External"/><Relationship Id="rId257" Type="http://schemas.openxmlformats.org/officeDocument/2006/relationships/hyperlink" Target="https://www.sec.gov/Archives/edgar/data/1832038/000119312522243285/d388436dex31.htm" TargetMode="External"/><Relationship Id="rId258" Type="http://schemas.openxmlformats.org/officeDocument/2006/relationships/hyperlink" Target="https://www.sec.gov/Archives/edgar/data/1832038/000119312523154233/d473409dex31.htm" TargetMode="External"/><Relationship Id="rId259" Type="http://schemas.openxmlformats.org/officeDocument/2006/relationships/hyperlink" Target="https://www.sec.gov/Archives/edgar/data/1832038/000119312522243285/d388436dex32.htm" TargetMode="External"/><Relationship Id="rId260" Type="http://schemas.openxmlformats.org/officeDocument/2006/relationships/hyperlink" Target="https://www.sec.gov/Archives/edgar/data/1832038/000119312523154233/d473409dex32.htm" TargetMode="External"/><Relationship Id="rId261" Type="http://schemas.openxmlformats.org/officeDocument/2006/relationships/hyperlink" Target="https://www.sec.gov/Archives/edgar/data/1832038/000119312522253372/d392092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2024-11-14T06:37:11Z</dcterms:created>
  <dcterms:modified xsi:type="dcterms:W3CDTF">2024-11-14T06:37:11Z</dcterms:modified>
</cp:coreProperties>
</file>