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25,383,077.00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25,383,077.00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25,383,077.00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Biotech Innovation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139"/>
        <w:spacing w:after="0"/>
        <w:rPr>
          <w:sz w:val="20"/>
          <w:szCs w:val="20"/>
          <w:color w:val="auto"/>
        </w:rPr>
      </w:pPr>
      <w:r>
        <w:rPr>
          <w:rFonts w:ascii="Times New Roman" w:cs="Times New Roman" w:eastAsia="Times New Roman" w:hAnsi="Times New Roman"/>
          <w:sz w:val="21"/>
          <w:szCs w:val="21"/>
          <w:color w:val="auto"/>
        </w:rPr>
        <w:t>MASSACHUSETTS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21,576,145.00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21,576,145.00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21,576,145.00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INVIVYD,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1601 TRAPELO ROAD, SUITE 178 WALTHAM, MA 02451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00534A102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25,383,077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25383077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25383077</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87"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ectPr>
          <w:pgSz w:w="11900" w:h="16887" w:orient="portrait"/>
          <w:cols w:equalWidth="0" w:num="1">
            <w:col w:w="11140"/>
          </w:cols>
          <w:pgMar w:left="360" w:top="112" w:right="399" w:bottom="0" w:gutter="0" w:footer="0" w:header="0"/>
          <w:type w:val="continuous"/>
        </w:sectPr>
      </w:pPr>
    </w:p>
    <w:bookmarkStart w:id="4" w:name="page5"/>
    <w:bookmarkEnd w:id="4"/>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Janus Henderson Biotech Innovation Master Fund Ltd</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20"/>
      </w:cols>
      <w:pgMar w:left="360" w:top="15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2025-11-14T10:56:40Z</dcterms:created>
  <dcterms:modified xsi:type="dcterms:W3CDTF">2025-11-14T10:56:40Z</dcterms:modified>
</cp:coreProperties>
</file>