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580" w:hanging="3859"/>
        <w:spacing w:after="0" w:line="365"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00" w:right="1600" w:hanging="257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tbl>
      <w:tblPr>
        <w:tblLayout w:type="fixed"/>
        <w:tblInd w:w="1680" w:type="dxa"/>
        <w:tblCellMar>
          <w:top w:w="0" w:type="dxa"/>
          <w:left w:w="0" w:type="dxa"/>
          <w:bottom w:w="0" w:type="dxa"/>
          <w:right w:w="0" w:type="dxa"/>
        </w:tblCellMar>
      </w:tblPr>
      <w:tr>
        <w:trPr>
          <w:trHeight w:val="216"/>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680" w:type="dxa"/>
            <w:vAlign w:val="bottom"/>
          </w:tcPr>
          <w:p>
            <w:pPr>
              <w:spacing w:after="0"/>
              <w:rPr>
                <w:sz w:val="18"/>
                <w:szCs w:val="18"/>
                <w:color w:val="auto"/>
              </w:rPr>
            </w:pPr>
          </w:p>
        </w:tc>
      </w:tr>
      <w:tr>
        <w:trPr>
          <w:trHeight w:val="232"/>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36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IVVD</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2025, the registrant had 120,142,811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4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shd w:val="clear" w:color="auto" w:fill="CFF0FC"/>
          </w:tcPr>
          <w:p>
            <w:pPr>
              <w:spacing w:after="0"/>
              <w:rPr>
                <w:sz w:val="21"/>
                <w:szCs w:val="21"/>
                <w:color w:val="auto"/>
              </w:rPr>
            </w:pPr>
          </w:p>
        </w:tc>
      </w:tr>
      <w:tr>
        <w:trPr>
          <w:trHeight w:val="197"/>
        </w:trPr>
        <w:tc>
          <w:tcPr>
            <w:tcW w:w="7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3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(1)</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liability</w:t>
            </w: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Pr>
          <w:p>
            <w:pPr>
              <w:spacing w:after="0"/>
              <w:rPr>
                <w:sz w:val="18"/>
                <w:szCs w:val="18"/>
                <w:color w:val="auto"/>
              </w:rPr>
            </w:pPr>
          </w:p>
        </w:tc>
      </w:tr>
      <w:tr>
        <w:trPr>
          <w:trHeight w:val="210"/>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46,349</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Borders>
              <w:top w:val="single" w:sz="8" w:color="CFF0FC"/>
            </w:tcBorders>
          </w:tcPr>
          <w:p>
            <w:pPr>
              <w:spacing w:after="0"/>
              <w:rPr>
                <w:sz w:val="18"/>
                <w:szCs w:val="18"/>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40" w:type="dxa"/>
            <w:vAlign w:val="bottom"/>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authorized and no shares issued and outstanding at June 30, 2025</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and December 31, 2024</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120,142,811 shares issued and outstanding at June 30, 2025;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119,835,162 shares issued and outstanding at December 31, 2024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975,759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(932,943)</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(901,994)</w:t>
            </w:r>
          </w:p>
        </w:tc>
      </w:tr>
      <w:tr>
        <w:trPr>
          <w:trHeight w:val="210"/>
        </w:trPr>
        <w:tc>
          <w:tcPr>
            <w:tcW w:w="76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Borders>
              <w:top w:val="single" w:sz="8" w:color="CFF0FC"/>
            </w:tcBorders>
          </w:tcPr>
          <w:p>
            <w:pPr>
              <w:spacing w:after="0"/>
              <w:rPr>
                <w:sz w:val="18"/>
                <w:szCs w:val="18"/>
                <w:color w:val="auto"/>
              </w:rPr>
            </w:pPr>
          </w:p>
        </w:tc>
      </w:tr>
      <w:tr>
        <w:trPr>
          <w:trHeight w:val="21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89,138</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-3959860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-3102610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-1979295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$490 and $1,274 as of June 30, 2025 and December 31, 2024, respectively (see Note 15).</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3"/>
        </w:trPr>
        <w:tc>
          <w:tcPr>
            <w:tcW w:w="6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8"/>
                <w:szCs w:val="18"/>
                <w:color w:val="auto"/>
              </w:rPr>
            </w:pPr>
          </w:p>
        </w:tc>
      </w:tr>
      <w:tr>
        <w:trPr>
          <w:trHeight w:val="209"/>
        </w:trPr>
        <w:tc>
          <w:tcPr>
            <w:tcW w:w="6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60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12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97,600</w:t>
            </w:r>
          </w:p>
        </w:tc>
        <w:tc>
          <w:tcPr>
            <w:tcW w:w="12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(15,060)</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(49,247)</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(31,982)</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(95,336)</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tcPr>
          <w:p>
            <w:pPr>
              <w:spacing w:after="0"/>
              <w:rPr>
                <w:sz w:val="18"/>
                <w:szCs w:val="18"/>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(14,660)</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(47,247)</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(30,949)</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(90,743)</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gain, net of tax</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(90,742)</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(0.77)</w:t>
            </w:r>
          </w:p>
        </w:tc>
      </w:tr>
      <w:tr>
        <w:trPr>
          <w:trHeight w:val="178"/>
        </w:trPr>
        <w:tc>
          <w:tcPr>
            <w:tcW w:w="60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117,490,43</w:t>
            </w:r>
          </w:p>
        </w:tc>
        <w:tc>
          <w:tcPr>
            <w:tcW w:w="120" w:type="dxa"/>
            <w:vAlign w:val="bottom"/>
            <w:tcBorders>
              <w:top w:val="single" w:sz="8" w:color="CFF0FC"/>
            </w:tcBorders>
          </w:tcPr>
          <w:p>
            <w:pPr>
              <w:spacing w:after="0"/>
              <w:rPr>
                <w:sz w:val="15"/>
                <w:szCs w:val="15"/>
                <w:color w:val="auto"/>
              </w:rPr>
            </w:pPr>
          </w:p>
        </w:tc>
      </w:tr>
      <w:tr>
        <w:trPr>
          <w:trHeight w:val="234"/>
        </w:trPr>
        <w:tc>
          <w:tcPr>
            <w:tcW w:w="6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120,016,132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119,362,670</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119,950,172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-2339340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-2339340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-2339340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-2339340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-1782445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-1782445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-1782445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-1490980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-1490980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-1490980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-1208405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-1208405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-1208405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-1208405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-916940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-916940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-916940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-633730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-633730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-633730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-325120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-307975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-325120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-307975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-325120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-307975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$472 and $924 for the three and six months ended June 30, 2025, respectively, and no related-party amounts for the three and six months ended June 30, 2024 (see Note 15).</w:t>
      </w:r>
    </w:p>
    <w:p>
      <w:pPr>
        <w:ind w:left="520" w:right="20" w:hanging="512"/>
        <w:spacing w:after="0" w:line="26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$1,140 and $2,268 for the three and six months ended June 30, 2025, respectively, and $1,131 and $2,266 for the three and six months ended June 30, 2024, respectively (see Note 15).</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500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5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780" w:type="dxa"/>
            <w:vAlign w:val="bottom"/>
            <w:gridSpan w:val="4"/>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8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119,835,</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(901,994)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(16,289)</w:t>
            </w: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119,961,</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3"/>
                <w:szCs w:val="23"/>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972,433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(918,283)</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(14,660)</w:t>
            </w: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120,142,</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3"/>
                <w:szCs w:val="23"/>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975,759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(932,943)</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628"/>
        </w:trPr>
        <w:tc>
          <w:tcPr>
            <w:tcW w:w="31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-2065020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-2047875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-2065020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-2047875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-2065020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-2047875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-2065020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-2047875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-2065020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-2047875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-2065020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-2047875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-2065020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-2047875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-2047875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-933450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-916940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-933450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-916940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-933450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-916940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-933450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-916940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-933450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-916940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-933450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-916940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-933450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-916940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780" w:type="dxa"/>
            <w:vAlign w:val="bottom"/>
            <w:gridSpan w:val="4"/>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8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110,160,</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(732,069)</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9,000,00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available-for-sale</w:t>
            </w: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 net of tax</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(43,496)</w:t>
            </w:r>
          </w:p>
        </w:tc>
        <w:tc>
          <w:tcPr>
            <w:tcW w:w="0" w:type="dxa"/>
            <w:vAlign w:val="bottom"/>
          </w:tcPr>
          <w:p>
            <w:pPr>
              <w:spacing w:after="0"/>
              <w:rPr>
                <w:sz w:val="1"/>
                <w:szCs w:val="1"/>
                <w:color w:val="auto"/>
              </w:rPr>
            </w:pPr>
          </w:p>
        </w:tc>
      </w:tr>
      <w:tr>
        <w:trPr>
          <w:trHeight w:val="191"/>
        </w:trPr>
        <w:tc>
          <w:tcPr>
            <w:tcW w:w="3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8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119,221,</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12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3"/>
                <w:szCs w:val="23"/>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 (775,565)</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ind w:left="6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9,128</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(47,247)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(47,247)</w:t>
            </w:r>
          </w:p>
        </w:tc>
        <w:tc>
          <w:tcPr>
            <w:tcW w:w="0" w:type="dxa"/>
            <w:vAlign w:val="bottom"/>
          </w:tcPr>
          <w:p>
            <w:pPr>
              <w:spacing w:after="0"/>
              <w:rPr>
                <w:sz w:val="1"/>
                <w:szCs w:val="1"/>
                <w:color w:val="auto"/>
              </w:rPr>
            </w:pPr>
          </w:p>
        </w:tc>
      </w:tr>
      <w:tr>
        <w:trPr>
          <w:trHeight w:val="191"/>
        </w:trPr>
        <w:tc>
          <w:tcPr>
            <w:tcW w:w="312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119,442,</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(822,812)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-1019175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-1002030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-1019175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-1002030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-1019175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-1002030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-1019175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-1002030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-1019175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-1002030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-1019175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-1002030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-1019175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-1002030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-307975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-307975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-307975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-307975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-307975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-307975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-307975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8"/>
        </w:trPr>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(30,949)</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(90,743)</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(2,888)</w:t>
            </w: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(2,636)</w:t>
            </w: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(15,821)</w:t>
            </w: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(34,430)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(91,813)</w:t>
            </w:r>
          </w:p>
        </w:tc>
      </w:tr>
      <w:tr>
        <w:trPr>
          <w:trHeight w:val="210"/>
        </w:trPr>
        <w:tc>
          <w:tcPr>
            <w:tcW w:w="7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2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0"/>
        </w:trPr>
        <w:tc>
          <w:tcPr>
            <w:tcW w:w="724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100" w:type="dxa"/>
            <w:vAlign w:val="bottom"/>
            <w:tcBorders>
              <w:top w:val="single" w:sz="8" w:color="CFF0FC"/>
            </w:tcBorders>
          </w:tcPr>
          <w:p>
            <w:pPr>
              <w:spacing w:after="0"/>
              <w:rPr>
                <w:sz w:val="18"/>
                <w:szCs w:val="18"/>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(34,444)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(52,760)</w:t>
            </w:r>
          </w:p>
        </w:tc>
      </w:tr>
      <w:tr>
        <w:trPr>
          <w:trHeight w:val="216"/>
        </w:trPr>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tcPr>
          <w:p>
            <w:pPr>
              <w:spacing w:after="0"/>
              <w:rPr>
                <w:sz w:val="18"/>
                <w:szCs w:val="18"/>
                <w:color w:val="auto"/>
              </w:rPr>
            </w:pPr>
          </w:p>
        </w:tc>
      </w:tr>
      <w:tr>
        <w:trPr>
          <w:trHeight w:val="250"/>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34,905</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147,881</w:t>
            </w:r>
          </w:p>
        </w:tc>
        <w:tc>
          <w:tcPr>
            <w:tcW w:w="100" w:type="dxa"/>
            <w:vAlign w:val="bottom"/>
            <w:shd w:val="clear" w:color="auto" w:fill="CFF0FC"/>
          </w:tcPr>
          <w:p>
            <w:pPr>
              <w:spacing w:after="0"/>
              <w:rPr>
                <w:sz w:val="21"/>
                <w:szCs w:val="21"/>
                <w:color w:val="auto"/>
              </w:rPr>
            </w:pPr>
          </w:p>
        </w:tc>
      </w:tr>
      <w:tr>
        <w:trPr>
          <w:trHeight w:val="196"/>
        </w:trPr>
        <w:tc>
          <w:tcPr>
            <w:tcW w:w="72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 in accrued expenses</w:t>
            </w:r>
          </w:p>
        </w:tc>
        <w:tc>
          <w:tcPr>
            <w:tcW w:w="1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-1996440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-1713865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-873760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-281940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Invivyd, Inc. (the “Company”) is a biopharmaceutical company devoted to delivering protection from serious viral infectious diseases, beginning with SARS-CoV-2. PEMGARDA® (pemivibart) is the Company’s first monoclonal antibody (“mAb”) to receive regulatory authorization and was designed to keep pace with SARS-CoV-2 viral evolution.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January 2024, the Company nominated VYD2311, a next generation mAb candidate for COVID-19, as a drug candidate, and in September 2024, the Company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administration and subcutaneous administration, which are designed to be more system- and patient-friendly than intravenous administration. In June 2025, the Company announced positive full Phase 1/2 clinical data for VYD2311 for both safety and pharmacokinetics. In August 2025, the Company announced alignment with advice from the FDA on a compact and, therefore, rapid pathway to potential Biologics License Application ("BLA") approval for VYD2311 for the prevention of COVID-19. As part of a recent Type C meeting, the FDA advised that a single, Phase 2/3 randomized, double-blind, placebo-controlled trial evaluating mAb efficacy from a relatively modest number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Like pemivibart, VYD2311 was engineered from adintrevimab, the Company’s investigational mAb that has a robust safety data package and demonstrated clinically meaningful results in global Phase 2/3 clinical trials for both the prevention and treatment of COVID-19.</w:t>
      </w:r>
    </w:p>
    <w:p>
      <w:pPr>
        <w:spacing w:after="0" w:line="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July 2025, the Company announced that it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the Company’s investigational mAb candidate VYD2311.</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The Company leases dedicated laboratory and office space in Newton, Massachusetts for research and development purposes. In 2022, the Company expanded its research team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Beyond pemivibart and VYD2311, all of the Company’s other product candidates, other than adintrevimab, are currently in research development. The Company has initiated discovery efforts to assess pipeline expansion beyond SARS-CoV-2, including potential targets such as respiratory syncytial virus and measles. The Company’s additional product candidates will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It is uncertain when, if ever,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Company will generate substantial revenue from product sales to be able to fund its operating expenses and capital requirements.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and net proceeds received from shares of common stock sold under the Sales Agreement (as defined below). In February 2024, the Company sold 9,000,000 shares of its common stock under the Sales Agreement at an average price of $4.50 per share for $39.3 million in net proceeds. After receiving EUA in March 2024, the Company has also funded its operations from sales of PEMGARDA.</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including a net loss of $30.9 million for the six months ended June 30, 2025. As of June 30, 2025, the Company had an accumulated deficit of $932.9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condensed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June 30, 2025, the condensed consolidated statements of operations and comprehensive loss for the three and six months ended June 30, 2025 and 2024, the condensed consolidated statements of cash flows for the six months ended June 30, 2025 and 2024 and the condensed consolidated statements of stockholders’ equity for the three and six months ended June 30, 2025 and 2024 are unaudited.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June 30, 2025 and for the three and six months ended June 30, 2025 and 2024 have been prepared by the Company pursuant to the rules and regulations of the U.S. Securities and Exchange Commission (“SEC”) for interim financial statements. The accompanying condensed consolidated balance sheet as of December 31, 2024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2024, which are included in the Company’s Annual Report on Form 10-K for the year ended December 31, 2024, as filed with the SEC on March 20, 2025 (the “2024 Form 10-K”).</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June 30, 2025 and December 31, 2024, the condensed consolidated results of operations for the three and six months ended June 30, 2025 and 2024, the condensed consolidated cash flows for the six months ended June 30, 2025 and 2024, and changes in stockholders’ equity for the three and six months ended June 30, 2025 and 2024 have been made. The Company’s condensed consolidated results of operations for the three and six months ended June 30, 2025 are not necessarily indicative of the results of operations that may be expected for the year ending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Company’s significant accounting policies and estimates, which are detailed in the Company’s 2024 Form 10-K, have not materially changed.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periods. Significant estimates and assumptions reflected in these condensed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the Company for the annual period beginning after December 15, 2024. All entities should apply the guidance prospectively but have the option to apply it retrospectively. The Company is currently evaluating the potential impacts of ASU 2023-09 on its consolidated financial statement disclosures.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71" w:lineRule="exact"/>
        <w:rPr>
          <w:sz w:val="20"/>
          <w:szCs w:val="20"/>
          <w:color w:val="auto"/>
        </w:rPr>
      </w:pPr>
    </w:p>
    <w:p>
      <w:pPr>
        <w:ind w:left="520" w:right="87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color w:val="auto"/>
        </w:rPr>
        <w:t>Fair Value Measurements</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5580" w:right="4780" w:hanging="5113"/>
        <w:spacing w:after="0" w:line="783" w:lineRule="auto"/>
        <w:tabs>
          <w:tab w:leader="none" w:pos="10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ind w:left="1020" w:right="20" w:hanging="55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1020" w:right="20" w:hanging="567"/>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31,967</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68,345</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68,345</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-1104900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-1104900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and six months ended June 30, 2025 or 2024.</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and six months ended June 30, 2025 or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non-current inventories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20,769</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25,440</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2025, $0.4 million of finished goods inventory was classified as a current asset and included within prepaid and other current assets in the condensed consolidated balance sheet. Please refer to Note 5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36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12,314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inventory, current</w:t>
            </w:r>
          </w:p>
        </w:tc>
        <w:tc>
          <w:tcPr>
            <w:tcW w:w="26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36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15,678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2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17,690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25,307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three and six months ended June 30, 2025 and 2024, the Company did not recognize any research and development expense with respect to services performed by Adimab on the Company’s behalf under the Adimab Assignment Agreement. Please refer to Note 15 for additional information.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through June 30, 2025;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pemivibart,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pemivibart, which obligated the Company to make a $3.2 million milestone payment to Adimab, which was paid in October 2023. The next potential milestone under the Adimab Assignment Agreement is a low single-digit million-dollar regulatory milestone, which was not considered probable under U.S. GAAP and therefore, no expense was recognized as of June 30, 2025.</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did not recognize any in-process research and development (“IPR&amp;D”) expense with respect to contingent consideration payable under the Adimab Assignment Agreement. Except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for milestone payments of $11.1 million incurred through December 31, 2023, no other milestone payments have been paid to or have been earned by Adimab through June 30, 2025.</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three and six months ended June 30, 2025, the Company expensed $0.4 million and $0.9 million, respectively, of royalties, while reserving all rights under the Adimab Assignment Agreement and the applicable law. During the three and six months ended June 30, 2024, the Company did not expense any royalties. In addition, the Company is obligated to pay Adimab royalties of a specified percentage in the range of 45% to 55% of any compulsory sublicense consideration received by the Company in lieu of certain royalty payments.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During both the three months ended June 30, 2025 and 2024, the Company recognized $0.6 million of research and development expense related to the quarterly fee. During both the six months ended June 30, 2025 and 2024, the Company recognized $1.2 million of research and development expense related to the quarterly fee.</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and six months ended June 30, 2025 and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2024, the Company did not recognize any research and development expense with respect to services performed by Adimab on the Company’s behalf under the Adimab Collaboration Agreement. During the three and six months ended June 30, 2025 and 2024, the Company did not recognize any IPR&amp;D expense related to drug delivery fees, optimization completion fees or option exercise fees. Please refer to Note 15 for additional information.</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June 30, 2025.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June 30, 2025,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three months ended June 30, 2025 and 2024, the Company recognized $0.5 million of research and development expense related to the annual fee under the Adimab Platform Transfer Agreement. During both the six months ended June 30, 2025 and 2024, the Company recognized $1.0 million of research and development expense related to the annual fee under the Adimab Platform Transfer Agreement.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June 30,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June 30, 2025,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June 30, 2025, no royalties had become due to WuXi Biologics.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three and six months ended June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in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MSA contained customary confidentiality provisions and representations and warranties of the parties, as well as mutual non-solicitation of certain employees during the term of the PHP MSA and for a period of one year thereafter.</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did not pay any cash compensation to PHP and therefore did not recognize any research and development expense related thereto.</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72" w:lineRule="exact"/>
        <w:rPr>
          <w:sz w:val="20"/>
          <w:szCs w:val="20"/>
          <w:color w:val="auto"/>
        </w:rPr>
      </w:pPr>
    </w:p>
    <w:p>
      <w:pPr>
        <w:ind w:left="1020" w:right="320" w:hanging="445"/>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202"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113" w:lineRule="exact"/>
        <w:rPr>
          <w:sz w:val="20"/>
          <w:szCs w:val="20"/>
          <w:color w:val="auto"/>
        </w:rPr>
      </w:pPr>
    </w:p>
    <w:p>
      <w:pPr>
        <w:ind w:left="520" w:right="8420" w:hanging="512"/>
        <w:spacing w:after="0" w:line="400" w:lineRule="auto"/>
        <w:tabs>
          <w:tab w:leader="none" w:pos="19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a five-year facilities lease agreement for approximately 9,600 square feet of office space in Waltham, Massachusetts, which provided for monthly rental payments, including base rent charges of $0.4 million per year, subject to periodic rent increases, and the Company’s proportionate share of operating expenses. The Company exercised its option to terminate and this lease agreement expired in accordance with its terms on May 31, 2025.</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and May 2025, the Newton, MA Lease was further amended to extend the lease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through December 2027, with an option to further extend the lease for an additional twenty-four months or continue the lease on a month-to-month basis after completion of the term ending in December 2027.</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4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40" w:type="dxa"/>
            <w:vAlign w:val="bottom"/>
          </w:tcPr>
          <w:p>
            <w:pPr>
              <w:spacing w:after="0"/>
              <w:rPr>
                <w:sz w:val="13"/>
                <w:szCs w:val="13"/>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-582295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-582295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-582295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June 30, 2025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20" w:type="dxa"/>
            <w:vAlign w:val="bottom"/>
          </w:tcPr>
          <w:p>
            <w:pPr>
              <w:spacing w:after="0"/>
              <w:rPr>
                <w:sz w:val="15"/>
                <w:szCs w:val="15"/>
                <w:color w:val="auto"/>
              </w:rPr>
            </w:pPr>
          </w:p>
        </w:tc>
        <w:tc>
          <w:tcPr>
            <w:tcW w:w="250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six months ended June 30, 2025)</w:t>
            </w: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52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8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top w:val="single" w:sz="8" w:color="CFF0FC"/>
            </w:tcBorders>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Company’s operating leases were measured using a weighted-average incremental borrowing rate of 6.0% over a weighted-average remaining lease term of 2.5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Company’s operating leases were measured using a weighted-average incremental borrowing rate of 6.0% over a weighted-average remaining lease term of 0.5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$1.1 million is classified under “operating lease liabilities, current” for the portion due within twelve months, and $1.9 million is classified under “operating lease liabilities, non-current”.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June 30, 2025, the Company committed to noncancelable purchase obligations related to commercial drug substance and drug product manufacturing under the Commercial Manufacturing Agreement. As of June 30, 2025, the total remaining contractually binding commercial drug substance and drug product purchase obligations due to WuXi Biologics was $25.9 million, which was included in accounts payable and accrued expenses. The remaining balance is expected to be paid in 2025.</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June 30, 2025, the Company committed to noncancelable purchase obligations related to the procurement of materials to be used in future drug substance and drug product manufacturing under the Commercial Manufacturing Agreement. As of June 30, 2025, the total remaining contractually binding purchase obligations due to WuXi Biologics was $3.5 million, which was included in accounts payable and accrued expenses. The remaining balance is expected to be paid in 2025.</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June 30, 2025 and December 31, 2024.</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2025, the Company was not a party to any material legal proceedings.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18, 2025, the Company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June 30, 2025, the Company had not satisfied the net product revenue milestone required to be eligible to access proceeds from the Term Facility as of the earliest draw down date, August 15, 2025.</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the Company is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the Company has requested and the Lender has funded any loans under the Term Facility prior to such date.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reserved 37,342,175 shares of common stock for the exercise of outstanding stock options and the issuance of awards available for grant under the Company’s 2020 Equity Incentive Plan, 2021 Equity Incentive Plan and 2021 Employee Stock Purchase Plan (see Note 11).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and an accompanying base prospectus, which was declared effective by the SEC on October 5, 2022, for the offer and sale of up to $400 million of the Company’s securities. As of June 30, 2025, $325 million of the Company’s securities remained available for offer and sale under this shelf registration statement.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w:t>
      </w:r>
    </w:p>
    <w:p>
      <w:pPr>
        <w:spacing w:after="0" w:line="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 As of June 30, 2025, $34.5 million remained available for sale under the Sales Agreement.</w:t>
      </w:r>
    </w:p>
    <w:p>
      <w:pPr>
        <w:spacing w:after="0" w:line="50" w:lineRule="exact"/>
        <w:rPr>
          <w:sz w:val="20"/>
          <w:szCs w:val="20"/>
          <w:color w:val="auto"/>
        </w:rPr>
      </w:pPr>
    </w:p>
    <w:p>
      <w:pPr>
        <w:ind w:left="520" w:right="8700" w:hanging="512"/>
        <w:spacing w:after="0" w:line="400" w:lineRule="auto"/>
        <w:tabs>
          <w:tab w:leader="none" w:pos="28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there were 808,615 shares authorized to be issued upon the exercise of outstanding stock option grants and no shares reserved for future issuance under the 2020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initially reserved for issuance under the 2021 Plan was equal to 35,075,122, which was the sum of 11,413,572 new shares; plus the number of shares (not to exceed 23,661,550 shares), which represented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there were an aggregate of 36,681,059 shares authorized to be issued under the 2020 Plan and the 2021 Plan, which included 808,615 and 22,106,919 shares authorized to be issued upon the exercise of outstanding stock option and restricted stock unit grants from the 2020 Plan and 2021 Plan, respectively, and 0 and 13,765,525 shares reserved for future issuance under the 2020 Plan and 2021 Plan, respectively.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tbl>
      <w:tblPr>
        <w:tblLayout w:type="fixed"/>
        <w:tblInd w:w="0" w:type="dxa"/>
        <w:tblCellMar>
          <w:top w:w="0" w:type="dxa"/>
          <w:left w:w="0" w:type="dxa"/>
          <w:bottom w:w="0" w:type="dxa"/>
          <w:right w:w="0" w:type="dxa"/>
        </w:tblCellMar>
      </w:tblPr>
      <w:tr>
        <w:trPr>
          <w:trHeight w:val="155"/>
        </w:trPr>
        <w:tc>
          <w:tcPr>
            <w:tcW w:w="36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11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3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2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3660" w:type="dxa"/>
            <w:vAlign w:val="bottom"/>
          </w:tcPr>
          <w:p>
            <w:pPr>
              <w:spacing w:after="0"/>
              <w:rPr>
                <w:sz w:val="12"/>
                <w:szCs w:val="12"/>
                <w:color w:val="auto"/>
              </w:rPr>
            </w:pPr>
          </w:p>
        </w:tc>
        <w:tc>
          <w:tcPr>
            <w:tcW w:w="3660" w:type="dxa"/>
            <w:vAlign w:val="bottom"/>
            <w:gridSpan w:val="2"/>
          </w:tcPr>
          <w:p>
            <w:pPr>
              <w:jc w:val="right"/>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2"/>
                <w:szCs w:val="12"/>
                <w:color w:val="auto"/>
              </w:rPr>
            </w:pPr>
          </w:p>
        </w:tc>
        <w:tc>
          <w:tcPr>
            <w:tcW w:w="940" w:type="dxa"/>
            <w:vAlign w:val="bottom"/>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6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7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3660" w:type="dxa"/>
            <w:vAlign w:val="bottom"/>
          </w:tcPr>
          <w:p>
            <w:pPr>
              <w:spacing w:after="0"/>
              <w:rPr>
                <w:sz w:val="24"/>
                <w:szCs w:val="24"/>
                <w:color w:val="auto"/>
              </w:rPr>
            </w:pPr>
          </w:p>
        </w:tc>
        <w:tc>
          <w:tcPr>
            <w:tcW w:w="272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2024:</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9,745,844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(123,111)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(3,394,758)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21,215,534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21,215,534</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June 30,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8,262,755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-299720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six months ended June 30, 2025 was $0.43 and $0.90, respectively, per share.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six months ended June 30, 2024 was $1.48 and $2.21, respectively, per share.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June 30, 2025 and 2024.</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was less than $0.1 million for both the three and six months ended June 30, 2025. The total intrinsic value of stock options exercised was $0.2 million for both the three and six months ended June 30,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2025, the Company’s board of directors approved restricted stock unit (“RSU”) grants to the Company’s executive officers under the 2021 Plan. An aggregate of 1,700,000 RSUs were issued at a grant date fair value of $1.61 per share. The RSUs will vest over an eighteen-month period, with one-third of the RSUs vesting every six months following the grant date of February 15, 2025, subject to continuous service as of each vesting date.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since December 31, 2024:</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7680" w:type="dxa"/>
            <w:vAlign w:val="bottom"/>
          </w:tcPr>
          <w:p>
            <w:pPr>
              <w:spacing w:after="0"/>
              <w:rPr>
                <w:sz w:val="2"/>
                <w:szCs w:val="2"/>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right"/>
              <w:ind w:right="94"/>
              <w:spacing w:after="0" w:line="11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6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4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-1075055</wp:posOffset>
            </wp:positionV>
            <wp:extent cx="93980" cy="2311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RSUs, and the Company’s employee stock purchase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expense categories of its condensed consolidated statements of operations and comprehensive loss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stock-based compensation expense related to unvested stock options was $14.8 million, which is expected to be recognized over a weighted-average period of 2.3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stock-based compensation expense related to unvested RSUs was $2.1 million, which is expected to be recognized over a weighted-average period of 1.13 years.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681,657 shares issued under the 2021 ESPP as of June 30, 2025.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The first offering under the 2021 ESPP was June 6, 2022. As of June 30, 2025, 661,116 shares remained available for issuance under the 2021 ESPP. During the three and six months ended June 30, 2025 and 2024, the Company recognized less than $0.1 million in related stock-based compensation expense.</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warrants issued during the three and six months ended June 30, 2025 and 2024. As of June 30, 2025, there were 6,824,712 warrants outstanding and not yet vested at a weighted-average exercise price of $3.48, with a weighted-average remaining contractual term of 7.38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6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The OBBBA makes permanent key elements of the Tax Cuts and Jobs Act of 2017, including bonus depreciation, domestic research cost expensing and the business interest expense limitation, among other tax changes. The Company is currently evaluating the impact of the legislation and the potential effects on the Company's financial position,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six months ended June 30, 2025, the Company contributed $0.2 million and $0.4 million, respectively, to the 401(k) Plan. For the three and six months ended June 30, 2024, the Company contributed $0.1 million and $0.3 million, respectively, to the 401(k) Plan.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tbl>
      <w:tblPr>
        <w:tblLayout w:type="fixed"/>
        <w:tblInd w:w="0" w:type="dxa"/>
        <w:tblCellMar>
          <w:top w:w="0" w:type="dxa"/>
          <w:left w:w="0" w:type="dxa"/>
          <w:bottom w:w="0" w:type="dxa"/>
          <w:right w:w="0" w:type="dxa"/>
        </w:tblCellMar>
      </w:tblPr>
      <w:tr>
        <w:trPr>
          <w:trHeight w:val="155"/>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10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3"/>
        </w:trPr>
        <w:tc>
          <w:tcPr>
            <w:tcW w:w="5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(14,660)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(90,743)</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120,016,132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119,362,670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119,950,172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117,490,439</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(0.77)</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the three and six months ended June 30, 2025. There were no shares of unvested restricted common stock for the three and six months ended June 30, 2024.</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20" w:type="dxa"/>
            <w:vAlign w:val="bottom"/>
          </w:tcPr>
          <w:p>
            <w:pPr>
              <w:spacing w:after="0"/>
              <w:rPr>
                <w:sz w:val="13"/>
                <w:szCs w:val="13"/>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5"/>
        </w:trPr>
        <w:tc>
          <w:tcPr>
            <w:tcW w:w="7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21,215,534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25,030,649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29,740,246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31,855,361</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an aggregate of $0.5 million and $1.3 million, respectively, was due to Adimab under the Adimab Assignment Agreement, the Adimab Collaboration Agreement, the Adimab Platform Transfer Agreement and the Adimab DNA Sequencing Services Agreement (as defined below) by the Company and was included in accrued expenses. As of June 30, 2025 and December 31, 2024, no amounts were due to the Company from Adimab under the Adimab Assignment Agreement, the Adimab Collaboration Agreement, the Adimab Platform Transfer Agreement or the Adimab DNA Sequencing Services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did not recognize any IPR&amp;D expense with respect to contingent consideration payable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expensed $0.4 million and $0.9 million, respectively, of royalties as costs of product revenue, while reserving all rights under the Adimab Assignment Agreement and the applicable law. During both the three and six months ended June 30, 2024, the Company did not recognize any costs of product revenue with respect to royalties under the Adimab Assignment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three months ended June 30, 2025 and 2024, the Company recognized $0.6 million of research and development expense related to the quarterly fee under the Adimab Collaboration Agreement. During both the six months ended June 30, 2025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2024, the Company recognized $1.2 million of research and development expense related to the quarterly fee under the Adimab Collaboration Agreement.</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did not recognize any research and development expense with respect to services performed by Adimab on the Company’s behalf under the Adimab Collaboration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both the three months ended June 30, 2025 and 2024,the Company recognized $0.5 million of research and development expense related to the annual fee under the Adimab Platform Transfer Agreement. During both the six months ended June 30, 2025 and 2024, the Company recognized $1.0 million of research and development expense related to the annual fee under the Adimab Platform Transfer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and January 2025,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recognized less than $0.1 million of research and development expense with respect to services performed by Adimab on the Company’s behalf under the Adimab DNA Sequencing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firstLine="572"/>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dedicated to the research and development, commercialization, and sale of mAbs in the U.S to deliver protection from serious viral infectious diseases.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and significant segment expenses as provided to the CODM.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5"/>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80" w:type="dxa"/>
            <w:vAlign w:val="bottom"/>
          </w:tcPr>
          <w:p>
            <w:pPr>
              <w:spacing w:after="0"/>
              <w:rPr>
                <w:sz w:val="18"/>
                <w:szCs w:val="18"/>
                <w:color w:val="auto"/>
              </w:rPr>
            </w:pP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8"/>
                <w:szCs w:val="18"/>
                <w:color w:val="auto"/>
              </w:rPr>
            </w:pP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8"/>
                <w:szCs w:val="18"/>
                <w:color w:val="auto"/>
              </w:rPr>
            </w:pPr>
          </w:p>
        </w:tc>
      </w:tr>
      <w:tr>
        <w:trPr>
          <w:trHeight w:val="210"/>
        </w:trPr>
        <w:tc>
          <w:tcPr>
            <w:tcW w:w="54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Pemivibart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VYD2311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tcPr>
          <w:p>
            <w:pPr>
              <w:spacing w:after="0"/>
              <w:rPr>
                <w:sz w:val="18"/>
                <w:szCs w:val="18"/>
                <w:color w:val="auto"/>
              </w:rPr>
            </w:pPr>
          </w:p>
        </w:tc>
      </w:tr>
      <w:tr>
        <w:trPr>
          <w:trHeight w:val="216"/>
        </w:trPr>
        <w:tc>
          <w:tcPr>
            <w:tcW w:w="5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Adintrevimab</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direct, external research and development expenses by program</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Unallocated research and development expenses</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c>
          <w:tcPr>
            <w:tcW w:w="100" w:type="dxa"/>
            <w:vAlign w:val="bottom"/>
          </w:tcPr>
          <w:p>
            <w:pPr>
              <w:spacing w:after="0"/>
              <w:rPr>
                <w:sz w:val="18"/>
                <w:szCs w:val="18"/>
                <w:color w:val="auto"/>
              </w:rPr>
            </w:pPr>
          </w:p>
        </w:tc>
      </w:tr>
      <w:tr>
        <w:trPr>
          <w:trHeight w:val="216"/>
        </w:trPr>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97,600</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(15,060)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(49,247)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(31,982)</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(95,336)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Pr>
          <w:p>
            <w:pPr>
              <w:spacing w:after="0"/>
              <w:rPr>
                <w:sz w:val="18"/>
                <w:szCs w:val="18"/>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(14,660)</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(47,247)</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(30,949)</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(90,743)</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-2262505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-2262505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-2262505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-1430655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-1430655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-1430655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-873760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-873760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-873760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-316230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-316230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related expenses (excluding research and development stock-based compensation) and external discovery-related and other costs.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commercial, general and administrative personnel related costs (excluding stock-based compensation), professional and consulting fees and other costs.</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$405 and $2,163 for the three months ended June 30, 2025 and 2024, respectively and interest income of $1,033 and $4,762 for the six months ended June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2024, filed with the Securities and Exchange Commission (“SEC”) on March 20, 2025 (the “2024 Form 10-K”). Unless the context requires otherwise, references in this Quarterly Report on Form 10-Q to “we,” “us,” and “our” refer to Invivyd, Inc. together with its consolidated subsidiaries.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PEMGARDA to keep pace with SARS-CoV-2 viral evolution;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VYD2311, our next generation monoclonal antibody (“mAb”) candidate for COVID-19, and the potential of VYD2311 to offer the ability to deliver clinically meaningful titer levels through more system- and patient-friendly means;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availability of a rapid pathway to potential Biologics License Application ("BLA") approval for VYD2311 for the prevention of COVID-19 and the compact pivotal clinical trial that could substantiate it;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aim to develop mAbs that could be used in prevention or treatment of serious viral diseases, starting with COVID-19 and potentially expanding into other high-need indications;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discovery efforts to assess pipeline expansion beyond SARS-CoV-2, including potential targets such as respiratory syncytial virus and measles;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of establishing streamlined development pathways to efficiently introduce new mAb candidates targeting SARS-CoV-2;</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SARS-CoV-2 variant monitoring of antiviral activity as part of our ongoing industrial virology effort;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and our expectations regarding supply and demand of our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SPEAR Study Group, including its anticipated focus, goals and plans;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sections of the 2024 Form 10-K and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Invivyd, Inc. is a biopharmaceutical company devoted to delivering protection from serious viral infectious diseases, beginning with SARS-CoV-2.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PEMGARDA® (pemivibart) is our first monoclonal antibody (“mAb”) to receive regulatory authorization and was designed to keep pace with SARS-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CoV-2 viral evolution.</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BLA approval for VYD2311 for the prevention of COVID-19. As part of a recent Type C meeting, the FDA advised that a single, Phase 2/3 randomized, double-blind, placebo-controlled trial evaluating mAb efficacy from a relatively modest number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July 2025, we announced that we had formed the SPEAR (Spike Protein Elimination and Recovery) Study Group with leading investigators to structure and guide anticipated clinical trials evaluating the effects of broadly neutralizing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and March 2025, we announced continued neutralizing activity of PEMGARDA and VYD2311 against dominant SARS-CoV-2 variants XEC and LP.8.1, respectively.</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recent focus has been and will continue to be supporting the commercialization of PEMGARDA, advancing VYD2311 as our next generation mAb candidate for COVID-19, and establishing streamlined development pathways that could enable us to efficiently introduce new mAb candidates targeting SARS-CoV-2, leveraging previously generated safety and efficacy data from our clinical trials of adintrevimab and/or pemivibart. We have also initiated discovery efforts to assess pipeline expansion beyond SARS-CoV-2, including potential targets such as respiratory syncytial virus and measles.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net proceeds of $464.7 million from sales of our preferred stock, with net proceeds of $327.5 million from our initial public offering (“IPO”), and with net proceeds of $39.3 million from sales of our common stock under the Sales Agreement (as defined below). After receiving EUA in March 2024,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$30.9 million for the six months ended June 30, 2025. As of June 30, 2025, we had an accumulated deficit of $932.9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manufacturing activities, and commercialization efforts. Our expenses could increase substantially in connection with our ongoing activities, as we: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 as well as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22, 2024, we received EUA from the FDA for PEMGARDA, and as such, we will continue to incur significant commercialization expenses related to product manufacturing, marketing, sales and distribution.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condensed consolidated financial statements in this Quarterly Report on Form 10-Q,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U.S. Product revenues are recorded net of applicable reserves for variable consideration, including discounts and allowances, trade discounts and distributor fees, government chargebacks, product returns and other incentives such as co-pay assistance programs.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We have also initiated discovery efforts to assess pipeline expansion beyond SARS-CoV-2, including potential targets such as respiratory syncytial virus and measles.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pursue EUA or regulatory approval of our product candidates, and continue to discover and develop additional product candidates.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284" w:lineRule="exact"/>
        <w:rPr>
          <w:sz w:val="20"/>
          <w:szCs w:val="20"/>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June 30, 2025, we have operated as a hybrid company. We have not incurred material operating expenses for the rent, maintenance and insurance of facilities, or for the depreciation of fixed assets.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June 30, 2025,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3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(20,761)</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(4,501)</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(24,665)</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(15,060)</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(49,247)</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34,187</w:t>
            </w:r>
          </w:p>
        </w:tc>
        <w:tc>
          <w:tcPr>
            <w:tcW w:w="100" w:type="dxa"/>
            <w:vAlign w:val="bottom"/>
            <w:shd w:val="clear" w:color="auto" w:fill="CFF0FC"/>
          </w:tcPr>
          <w:p>
            <w:pPr>
              <w:spacing w:after="0"/>
              <w:rPr>
                <w:sz w:val="18"/>
                <w:szCs w:val="18"/>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(47,247)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-1447800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-316230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-316230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$11.8 million and $2.3 million for the three months ended June 30, 2025 and 2024, respectively. The $9.5 million increase is the result of increased product sales following the launch of PEMGARDA in April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$0.7 million and $0.1 million for the three months ended June 30, 2025 and 2024, respectively. The $0.6 million increase is the result of increased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(3,657)</w:t>
            </w:r>
          </w:p>
        </w:tc>
      </w:tr>
      <w:tr>
        <w:trPr>
          <w:trHeight w:val="216"/>
        </w:trPr>
        <w:tc>
          <w:tcPr>
            <w:tcW w:w="71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(16,210)</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Adintrevimab</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0"/>
        </w:trPr>
        <w:tc>
          <w:tcPr>
            <w:tcW w:w="7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-156845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wp:posOffset>
            </wp:positionV>
            <wp:extent cx="250317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03170" cy="26035"/>
                    </a:xfrm>
                    <a:prstGeom prst="rect">
                      <a:avLst/>
                    </a:prstGeom>
                    <a:noFill/>
                  </pic:spPr>
                </pic:pic>
              </a:graphicData>
            </a:graphic>
          </wp:anchor>
        </w:drawing>
      </w:r>
    </w:p>
    <w:p>
      <w:pPr>
        <w:ind w:left="180" w:hanging="172"/>
        <w:spacing w:after="0" w:line="238"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were $9.6 million for the three months ended June 30, 2025, compared to $30.3 million for the three months ended June 30, 2024. The $20.8 million decrease in research and development expenses was primarily due to the following:</w:t>
      </w:r>
    </w:p>
    <w:p>
      <w:pPr>
        <w:spacing w:after="0" w:line="66" w:lineRule="exact"/>
        <w:rPr>
          <w:sz w:val="20"/>
          <w:szCs w:val="20"/>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decrease of $3.9 million in contract research costs for our Phase 3 CANOPY clinical trial, $0.2 million in nonclinical expenses, and $0.2 million in other external costs, partially offset by increase of $0.6 million in contract development and manufacturing primarily related to increased storage costs;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VYD2311 program resulted from decrease of $15.4 million in contract costs for clinical and commercial manufacturing and $1.0 million in nonclinical expense, partially offset by increase of $0.2 million in contract research costs for our Phase 1/2 clinical trial;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related to our adintrevimab program remained relatively consistent between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$0.3 million in headcount-related costs;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external discovery-related and other costs resulted from decrease of $0.5 million in contract development and manufacturing costs related to our pipeline candidates.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2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(4,501)</w:t>
            </w: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$16.6 million for the three months ended June 30, 2025, compared to $21.1 million for the three months ended June 30, 2024. The $4.5 million decrease in selling, general and administrative expenses was primarily due to the following: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primarily related to decrease of $5.2 million in stock-based compensation expense, partially offset by $0.4 million increase in headcount-related costs. The decrease in stock-based compensation expense was primarily due to stock-based compensation expense recognized in 2024 associated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3" w:name="page34"/>
    <w:bookmarkEnd w:id="33"/>
    <w:p>
      <w:pPr>
        <w:ind w:left="1020"/>
        <w:spacing w:after="0" w:line="282" w:lineRule="auto"/>
        <w:rPr>
          <w:sz w:val="20"/>
          <w:szCs w:val="20"/>
          <w:color w:val="auto"/>
        </w:rPr>
      </w:pPr>
      <w:r>
        <w:rPr>
          <w:rFonts w:ascii="Times New Roman" w:cs="Times New Roman" w:eastAsia="Times New Roman" w:hAnsi="Times New Roman"/>
          <w:sz w:val="18"/>
          <w:szCs w:val="18"/>
          <w:color w:val="auto"/>
        </w:rPr>
        <w:t>the accelerated vesting of a portion of the outstanding stock options granted to our former Chief Executive Officer, in accordance with the terms of his employment agreement;</w:t>
      </w:r>
    </w:p>
    <w:p>
      <w:pPr>
        <w:spacing w:after="0" w:line="54"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professional and consultant fees resulted from decrease of $0.5 million related to sales and marketing costs and $0.1 million in insurance cost, partially offset by increase of $0.4 million in professional service fees;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an increase of travel costs.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was $0.4 million and $2.0 million for the three months ended June 30, 2025 and 2024, respectively, in each case consisting primarily of interest earned on our invested cash balances.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3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tcPr>
          <w:p>
            <w:pPr>
              <w:spacing w:after="0"/>
              <w:rPr>
                <w:sz w:val="18"/>
                <w:szCs w:val="18"/>
                <w:color w:val="auto"/>
              </w:rPr>
            </w:pPr>
          </w:p>
        </w:tc>
      </w:tr>
      <w:tr>
        <w:trPr>
          <w:trHeight w:val="209"/>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(41,280)</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(42,528)</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(31,982)</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(95,336)</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63,354</w:t>
            </w:r>
          </w:p>
        </w:tc>
        <w:tc>
          <w:tcPr>
            <w:tcW w:w="100" w:type="dxa"/>
            <w:vAlign w:val="bottom"/>
            <w:shd w:val="clear" w:color="auto" w:fill="CFF0FC"/>
          </w:tcPr>
          <w:p>
            <w:pPr>
              <w:spacing w:after="0"/>
              <w:rPr>
                <w:sz w:val="18"/>
                <w:szCs w:val="18"/>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(3,560)</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(3,560)</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(30,949)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(90,743)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-1448435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-1448435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-316865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$23.1 million and $2.3 million for the six months ended June 30, 2025 and 2024, respectively. The $20.8 million increase is the result of increased product sales following the launch of PEMGARDA in April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$1.5 million and $0.1 million for the six months ended June 30, 2025 and 2024, respectively. The $1.4 million increase is the result of increased PEMGARDA product sales following launch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5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(21,003)</w:t>
            </w:r>
          </w:p>
        </w:tc>
      </w:tr>
      <w:tr>
        <w:trPr>
          <w:trHeight w:val="216"/>
        </w:trPr>
        <w:tc>
          <w:tcPr>
            <w:tcW w:w="58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(16,616)</w:t>
            </w: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Adintrevimab</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(3,039)</w:t>
            </w: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(603)</w:t>
            </w:r>
          </w:p>
        </w:tc>
      </w:tr>
      <w:tr>
        <w:trPr>
          <w:trHeight w:val="20"/>
        </w:trPr>
        <w:tc>
          <w:tcPr>
            <w:tcW w:w="5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8"/>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-156845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-156845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-10795</wp:posOffset>
            </wp:positionV>
            <wp:extent cx="255460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54605" cy="26035"/>
                    </a:xfrm>
                    <a:prstGeom prst="rect">
                      <a:avLst/>
                    </a:prstGeom>
                    <a:noFill/>
                  </pic:spPr>
                </pic:pic>
              </a:graphicData>
            </a:graphic>
          </wp:anchor>
        </w:drawing>
      </w:r>
    </w:p>
    <w:p>
      <w:pPr>
        <w:ind w:left="180" w:hanging="172"/>
        <w:spacing w:after="0" w:line="238"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76"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were $20.2 million for the six months ended June 30, 2025, compared to $61.5 million for the six months ended June 30, 2024. The $41.3 million decrease in research and development expenses was primarily due to the following:</w:t>
      </w:r>
    </w:p>
    <w:p>
      <w:pPr>
        <w:spacing w:after="0" w:line="66" w:lineRule="exact"/>
        <w:rPr>
          <w:sz w:val="20"/>
          <w:szCs w:val="20"/>
          <w:color w:val="auto"/>
        </w:rPr>
      </w:pPr>
    </w:p>
    <w:p>
      <w:pPr>
        <w:jc w:val="both"/>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decrease of $11.3 million in contract costs for commercial manufacturing, $8.6 million in contract research costs for our Phase 3 CANOPY clinical trial, $0.7 million in nonclinical costs, and $0.4 million in other external costs;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VYD2311 program resulted from decrease of $15.9 million in contract costs for clinical and commercial manufacturing and $1.2 million in nonclinical expense, partially offset by increase of $0.5 million in contract research costs for our Phase 1/2 clinical trial;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costs related to our adintrevimab program remained relatively consistent between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$3.0 million in headcount-related costs;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external discovery-related and other costs resulted from $0.6 million in contract development and manufacturing expense related to our pipeline candidates.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(4,688)</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w:t>
            </w:r>
          </w:p>
        </w:tc>
      </w:tr>
      <w:tr>
        <w:trPr>
          <w:trHeight w:val="20"/>
        </w:trPr>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-170815</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$33.3 million for the six months ended June 30, 2025, compared to $36.0 million for the six months ended June 30, 2024. The $2.7 million decrease in selling, general and administrative expenses was primarily due to the following:</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$6.9 million in stock-based compensation expense, partially offset by increase of $2.2 million in headcount-related costs. The decrease in stock-based compensation expense was primarily due to stock-based compensation expense recognized in 2024 associated with the accelerated vesting of a portion of the outstanding stock options granted to our former Chief Executive Officer, in accordance with the terms of his employment agreement;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professional and consultant fees resulted from increase of $0.6 million in professional service fees and $0.2 million in sales and marketing costs, partially offset by decrease of $0.2 million in insurance costs;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increase of $1.0 million in travel costs and $0.3 million in software licensing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$1.0 million and $4.6 million for the six months ended June 30, 2025 and 2024, respectively, in each case consisting primarily of interest earned on our invested cash balances.</w:t>
      </w:r>
    </w:p>
    <w:p>
      <w:pPr>
        <w:spacing w:after="0" w:line="50"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June 30, 2025,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and advance the development of our other product candidates. To date, we have financed our operations primarily with net proceeds of $464.7 million from sales of our preferred stock, with aggregate net proceeds from our IPO in August 2021 of $327.5 million, and with net proceeds of $39.3 million from sales of our common stock under the Sales Agreement (as defined below). After receiving EUA in March 2024, we have also funded our operations from sales of PEMGARDA.</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we had cash and cash equivalents of $34.9 million.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2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of 1933, as amended. Cantor is entitled to a commission of 3% of the gross proceeds from any sales of such shares. In February 2024, we sold 9,000,000 shares of our common stock under the Sales Agreement at an average price of $4.50 per share for $39.3 million in net proceeds. As of June 30, 2025, $34.5 million remained available for sale under the Sales Agreement.</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we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June 30, 2025, we had not satisfied the net product revenue milestone required to be eligible to access proceeds from the Term Facility as of the earliest draw down date, August 15, 2025.</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are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w:t>
      </w:r>
    </w:p>
    <w:p>
      <w:pPr>
        <w:spacing w:after="0" w:line="1" w:lineRule="exact"/>
        <w:rPr>
          <w:sz w:val="20"/>
          <w:szCs w:val="20"/>
          <w:color w:val="auto"/>
        </w:rPr>
      </w:pPr>
    </w:p>
    <w:p>
      <w:pPr>
        <w:ind w:firstLine="8"/>
        <w:spacing w:after="0" w:line="260" w:lineRule="auto"/>
        <w:tabs>
          <w:tab w:leader="none" w:pos="2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Loan Agreement; provided, that such fee will be waived by the Lender in the event that we have requested and the Lender has funded any loans under the Term Facility prior to such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8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09"/>
        </w:trPr>
        <w:tc>
          <w:tcPr>
            <w:tcW w:w="8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(34,430)</w:t>
            </w: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(91,813)</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(34,444)</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(52,760)</w:t>
            </w:r>
          </w:p>
        </w:tc>
      </w:tr>
      <w:tr>
        <w:trPr>
          <w:trHeight w:val="20"/>
        </w:trPr>
        <w:tc>
          <w:tcPr>
            <w:tcW w:w="8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operating activities used $34.4 million of cash, primarily due to our net loss of $30.9 million and changes in our operating assets and liabilities of $10.8 million, partially offset by non-cash charges of $7.3 million. The changes in our operating assets and liabilities primarily consisted of a $24.6 million decrease in accrued expenses, a $0.7 million decrease in operating lease liabilities, and a $0.1 million increase in inventory, partially offset by a $7.7 million increase in accounts payable, $4.8 million decrease in prepaid expenses and other current assets, and $2.1 million decrease in accounts receivables. The change in accrued expenses and accounts payable was primarily due to the timing of vendor invoicing and payments.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$91.8 million of cash, primarily due to our net loss of $90.7 million and changes in our operating assets and liabilities of $16.0 million, partially offset by non-cash charges of $14.9 million. The changes in our operating assets and liabilities primarily consisted of a $15.8 million decrease in accrued expenses, a $2.9 million increase in accounts receivables, a $2.6 million increase in inventory, a $1.6 million increase in other non-current assets, a $0.8 million decrease in operating lease liabilities, a $0.8 million decrease in other non-current liabilities and a $0.6 million decrease in accounts payable, partially offset by a $7.4 million decrease in prepaid expenses and other current assets and a $1.7 million increase in deferred revenue. The decrease in accrued expenses was primarily due to the timing of vendor invoicing and payments. The decrease in prepaid expenses and other current assets was primarily due to the utilization of WuXi Biologics manufacturing prepayments.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2025 consisted of $0.2 million in purchases of property and equipment.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consisted of $0.1 million in purchases of property and equipment.</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2025 consisted of $0.2 million from the exercises of stock options and the issuance of common stock under the employee stock purchase plan, partially offset by $0.1 million in payments for offering costs related to the Sales Agreement.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consisted of $39.3 million from the issuance of common stock under the Sales Agreement, $0.2 million from exercises of stock options and $0.2 million from the issuance of common stock under the employee stock purchase plan, partially offset by $0.4 million in payments for offering costs related to the Sales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68" w:lineRule="exact"/>
        <w:rPr>
          <w:sz w:val="20"/>
          <w:szCs w:val="20"/>
          <w:color w:val="auto"/>
        </w:rPr>
      </w:pPr>
    </w:p>
    <w:p>
      <w:pPr>
        <w:ind w:left="1140" w:hanging="504"/>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 such as VYD2311;</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maintain and expand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 as needed in the future;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condensed consolidated financial statements. Based on current operating plans and excluding any contribution from future revenues or external financing, we will not have sufficient cash and cash equivalents to fund our operating expenses and capital requirements beyond one year from the issuance of these condensed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Through June 30, 2025, we committed to noncancelable purchase obligations related to commercial drug substance and drug product manufacturing under the Commercial Manufacturing Services Agreement with WuXi Biologics, which was entered into in December 2020, amended and restated in August 2021 and further amended and restated in September 2023 (as amended and restated, the “Commercial Manufacturing Agreement”). As of June 30, 2025, the total remaining contractually binding commercial drug substance and drug product purchase obligations due to WuXi Biologics was $25.9 million, which was included in accounts payable and accrued expenses. The remaining balance is expected to be paid in 2025.</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June 30, 2025, we committed to noncancelable purchase obligations related to the procurement of materials to be used in future drug substance and drug product manufacturing under the Commercial Manufacturing Agreement. As of June 30, 2025, the total remaining contractually binding purchase obligations due to WuXi Biologics was $3.5 million, which was included in accounts payable and accrued expenses. The remaining balance is expected to be paid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U.S. The preparation of our financial statements and related disclosures requires us to make estimates, assumptions and judgments that affect the reported amounts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the 2024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2024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June 30, 2025.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2025, our Chief Financial Officer concluded that, as of such date, our disclosure controls and procedures as of such date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June 30, 2025 that have materially affected, or are reasonably likely to materially affect, our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2025, we were not a party to any material legal proceedings.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Information regarding risks and uncertainties related to our business appears in Part I, Item 1A. “Risk Factors” of the 2024 Form 10-K. As of the date of this Quarterly Report on Form 10-Q, there have been no material changes from the risk factors set forth in the 2024 Form 10-K, other than as described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regain or maintain compliance with the continued listing standards of Nasdaq.</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December 27, 2024,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 We then received a letter from Nasdaq on February 21, 2025 notifying us that we had regained compliance with the Minimum Bid Price Requirement, and the matter with respect to that period of non-compliance was closed.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Subsequently, on April 21, 2025, we received a new letter from Nasdaq notifying us that, because the closing bid price for our common stock had again closed below $1.00 per share for 30 consecutive business days, we no longer complied with the Minimum Bid Price Requirement. Nasdaq’s notice has no immediate effect on the listing of our common stock, and, in accordance with Nasdaq Listing Rule 5810(c)(3)(A), we have until October 20, 2025 to regain compliance with the Minimum Bid Price Requirement by maintaining a closing bid price of at least $1.00 per share for a minimum of ten consecutive business days, unless Nasdaq exercises its discretion to extend this ten-day period pursuant to Nasdaq Listing Rule 5810(c)(3)(H). In the event we do not regain compliance by October 20, 2025, we may be eligible for additional time to regain compliance with the Minimum Bid Price Requirement.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we are unable to regain compliance with the Minimum Bid Price Requirement or fail to maintain compliance with Nasdaq’s other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 value and liquidity of our common stock. Delisting also could have other negative results, including the potential loss of employee confidence, the loss of institutional investors or interest in potential business development opportunities.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or other terms of our Loan Agreement, including as a result of events beyond our control, could result in a default under the Loan Agreement that could materially and adversely affect the ongoing viability of our business.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April 18, 2025 (the “Closing Date”), we entered into that certain Loan and Security Agreement (the “Loan Agreement”) with Silicon Valley Bank, a division of First-Citizens Bank &amp; Trust Company, as lender (the “Lender”), that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achievement of certain net product revenue milestones and ending on June 30, 2027 (collectively, the “Term Loans”).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Term Loans (i) are due and payable on March 1, 2029 (the “Maturity Date”) and (ii)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Term Loans advanced under the Term Facility. The Loan Agreement provides for an unused term loan commitment fee equal to 1.00% of the Term Facility upon the earliest to occur of (1) July 1, 2027, (2) the occurrence of an Event of Default and (3) the termination of the Loan Agreement; provided, that such fee will be waived by the Lender in the event that we have requested and the Lender has funded any loans under the Term Facility prior to such date.</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obligations under the Loan Agreement are secured by a pledge of substantially all of our assets, excluding intellectual property. Certain of our future subsidiaries, if any, will be required to become co-borrowers under the Loan Agreement or guarantee our obligations under the Loan Agreement. In addition, such subsidiaries will be required to pledge substantially all of their assets, excluding intellectual property, to secure our obligations under the Loan Agreement. None of our subsidiaries in existence as of the Closing Date were required to be co-borrowers or guarantors or to so pledge their assets.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 Agreement contains affirmative and negative covenants, including limitations on our ability and our subsidiaries’ abilities, among other things, to incur additional debt, grant or permit additional liens, make investments and acquisitions, merge or consolidate with others, dispose of assets, pay dividends and distributions, enter into affiliate transactions and change our line of business, in each case, subject to certain exceptions. In addition, the Loan Agreement contains quarterly financial covenants requiring us to maintain (a) commencing at the end of the quarter following the advance of any loans under the Term Facility, a certain amount of minimum net product revenue and (b) commencing with the quarter ending December 31, 2025 (or, if earlier, commencing at the end of the quarter following the advance of greater than $15 million of loans under the Term Facility), either (i) a certain amount of minimum EBITDA or (ii) minimum unrestricted cash and cash equivalents in an amount equal to or greater than the greater of (x) an amount equal to the sum of our six-month Cash Burn (as defined in the Loan Agreement) and the aggregate amount of loans outstanding under the Term Facility and (y) the aggregate amount of loans outstanding under the Term Facility multiplied by two (the “Minimum Cash Threshold”). In addition, if we no longer maintain active sales of a product in the U.S., we will be required to maintain the Minimum Cash Threshold at all times.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Loan Agreement also includes Events of Default, in certain cases subject to customary periods to cure, following which the Lender may accelerate all amounts outstanding under the Term Facility and stop advancing money or extending credit. For example, the Lender may elect to accelerate the repayment of all unpaid principal of the Term Loans, accrued interest and other amounts owed under the Loan Agreement upon the occurrence of certain Events of Default, including, among other things:</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a payment obligation under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breach of the restrictive covenants or other terms of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in our business operations or condition (financial or otherwise);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impairment in the perfection or priority of the Lender’s lien in the collateral specified in the Loan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judgment defaults and cross-defaults to other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specified change of control transaction;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insolvency and bankruptcy-related events.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draw down any of the Term Loans under the Term Facility, our assets or cash flow may not be sufficient to fully repay our obligations under the Loan Agreement if the obligations thereunder are accelerated upon any Events of Default. Further, if we are unable to repay, refinance or restructure our obligations under the Loan Agreement, the Lender could proceed to protect and enforce their rights under the Loan Agreement by exercising such remedies (including foreclosure on the assets securing our obligations under the Loan Agreement) as are available to the Lender and in respect thereof under applicable law, either by suit in equity or by action at law, or both, whether for specific performance of any covenant or other agreement contained in the Loan Agreement or in aid of the exercise of any power granted in the Loan Agreement. The foregoing would materially and adversely affect the ongoing viability of our business.</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satisfy certain conditions in the Loan Agreement, we will be unable to draw down the amounts of the term loan facility.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color w:val="auto"/>
        </w:rPr>
        <w:t>For our Loan Agreement, we must satisfy certain conditions to be eligible to draw down the Term Loans.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Term A Loans shall be available to be drawn from and after August 15, 2025 through December 31, 2026 upon compliance with certain financial covenants, provided that we satisfy certain conditions described in the Loan Agreement. The Term B Loans shall be available to be drawn during the period commencing on the date of the achievement of certain net product revenue milestones and ending on June 30, 2027, provided that we satisfy certain conditions described in the Loan Agreement. The Term C Loans shall be available to be drawn during the period commencing on the date of the achievement of certain net product revenue milestones and ending on June 30, 2027, provided that we satisfy certain conditions described in the Loan Agreement. As of June 30, 2025, we had not satisfied the net product revenue milestone required to be eligible to access proceeds from the Term Facility as of the earliest draw down date, August 15, 2025.</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satisfy those conditions, we would not be able to draw down the respective Term Loans and may not be able to obtain alternative financing on commercially reasonable terms or at all.</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contains restrictions that limit our flexibility in operating our business.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without the prior consent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including our ability to, among other things:</w:t>
      </w:r>
    </w:p>
    <w:p>
      <w:pPr>
        <w:spacing w:after="0" w:line="9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sell, lease, transfer, assign, or otherwise dispose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the businesses currently engaged in by us or reasonably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dissolve;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or substantially all of the stock, partnership, membership, or other ownership interest or other equity securities or property of another entity;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certain of our assets;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dividends on, repurchasing or making distributions with respect to our common stock, subject to certain exceptions;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covenants in our Loan Agreement may limit our ability to take certain actions that may be in our long-term best interests. In the event that we breach one or more covenants, the Lender may choose to declare an Event of Default and require that we immediately repay any amounts outstanding under the Loan Agreement, plus fees, terminate the Lender’s commitments to fund any undrawn Term Loans and foreclose on the collateral granted to them to secure the obligations under the Loan Agreement. Such repayment could have a material adverse effect on our business, operating results and financial condition.</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as applicable, we will require a significant amount of cash and our ability to generate cash depends on many factors beyond our control.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make cash payments on our indebtedness, as applicable, will depend on our ability to generate significant operating cash flow in the future. This ability is, to a significant extent, subject to general economic, financial, competitive, legislative, regulatory and other factors, that will be beyond our control. In addition, our business may not generate sufficient cash flow from operations to enable us to pay our indebtedness or to fund our other liquidity needs. In any such circumstance, we may need to refinance all or a portion of our indebtedness, on or before maturity. We may not be able to refinance any indebtedness on commercially reasonable terms or at all. If we cannot service our indebtedness, as applicable, we may have to take actions such as selling assets, seeking additional equity or reducing or delaying capital expenditures, strategic acquisitions and investments. Any such action, if necessary, may not be effected on commercially reasonable terms or at all. The instruments governing our indebtedness may restrict our ability to sell assets and our use of the proceeds from such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June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3" w:name="page44"/>
    <w:bookmarkEnd w:id="43"/>
    <w:p>
      <w:pPr>
        <w:ind w:left="52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three months ended June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gridSpan w:val="1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0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Amended and Restated Certificate of Incorporation (incorporated by reference to Exhibit 3.1 of the Company’s Current Report on Form 8-</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30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5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Company’s Current Report on Form 8-K (File No. 001-40703), filed with the Securities and Exchange Commission on September 13,</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97">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95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97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Amended and Restated Bylaws (incorporated by reference to Exhibit 3.2 of the Company’s Current Report on Form 8-K (File No. 001-</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8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Amendment No. 1 to the Amended and Restated Bylaws (incorporated by reference to Exhibit 3.2 of the Company’s Current Report on</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Form 8-K (File No. 001-40703), filed with the Securities and Exchange Commission on May 25, 2023).</w:t>
              </w:r>
            </w:hyperlink>
          </w:p>
        </w:tc>
        <w:tc>
          <w:tcPr>
            <w:tcW w:w="2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0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Delaware Certificate of Change of Registered Agent (incorporated by reference to Exhibit 3.3 of the Company's Registration Statement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Form S-3 (File No. 333-267643), filed with the Securities and Exchange Commission on September 28, 2022).</w:t>
              </w:r>
            </w:hyperlink>
          </w:p>
        </w:tc>
        <w:tc>
          <w:tcPr>
            <w:tcW w:w="20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Loan and Security Agreement, dated April 18, 2025, between the Company and Silicon Valley Bank, a Division of First-Citizens Bank &amp;</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Trust Company (incorporated by reference to Exhibit 10.1 of the Company’s Current Report on Form 8-K (File No. 001-40703), filed with</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the Securities and Exchange Commission on April 21, 2025).</w:t>
              </w:r>
            </w:hyperlink>
          </w:p>
        </w:tc>
        <w:tc>
          <w:tcPr>
            <w:tcW w:w="20" w:type="dxa"/>
            <w:vAlign w:val="bottom"/>
            <w:tcBorders>
              <w:bottom w:val="single" w:sz="8" w:color="0000EE"/>
            </w:tcBorders>
          </w:tcPr>
          <w:p>
            <w:pPr>
              <w:spacing w:after="0"/>
              <w:rPr>
                <w:sz w:val="17"/>
                <w:szCs w:val="17"/>
                <w:color w:val="auto"/>
              </w:rPr>
            </w:pPr>
          </w:p>
        </w:tc>
        <w:tc>
          <w:tcPr>
            <w:tcW w:w="5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04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 Securities</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3440" w:type="dxa"/>
            <w:vAlign w:val="bottom"/>
            <w:tcBorders>
              <w:right w:val="single" w:sz="8" w:color="0000EE"/>
            </w:tcBorders>
            <w:gridSpan w:val="4"/>
            <w:shd w:val="clear" w:color="auto" w:fill="0000FF"/>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8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right="540" w:hanging="452"/>
        <w:spacing w:after="0" w:line="250"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Act of 1933, as amended, or the Exchange Act, except to the extent specifically incorporated by reference into such filing.</w:t>
      </w:r>
    </w:p>
    <w:p>
      <w:pPr>
        <w:spacing w:after="0" w:line="9"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pursuant to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spacing w:after="0"/>
        <w:tabs>
          <w:tab w:leader="none" w:pos="5660" w:val="left"/>
          <w:tab w:leader="none" w:pos="784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Invivyd,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Invivyd, Inc. (the “Company”) on Form 10-Q for the period ended June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August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9"/>
    </w:lvl>
  </w:abstractNum>
  <w:abstractNum w:abstractNumId="9">
    <w:nsid w:val="2D1D5AE9"/>
    <w:multiLevelType w:val="hybridMultilevel"/>
    <w:lvl w:ilvl="0">
      <w:lvlJc w:val="left"/>
      <w:lvlText w:val="%1."/>
      <w:numFmt w:val="decimal"/>
      <w:start w:val="1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296" Type="http://schemas.openxmlformats.org/officeDocument/2006/relationships/hyperlink" Target="https://www.sec.gov/Archives/edgar/data/1832038/000119312521242044/d211424dex31.htm" TargetMode="External"/><Relationship Id="rId297" Type="http://schemas.openxmlformats.org/officeDocument/2006/relationships/hyperlink" Target="https://www.sec.gov/Archives/edgar/data/1832038/000119312522243285/d388436dex31.htm" TargetMode="External"/><Relationship Id="rId298" Type="http://schemas.openxmlformats.org/officeDocument/2006/relationships/hyperlink" Target="https://www.sec.gov/Archives/edgar/data/1832038/000119312523154233/d473409dex31.htm" TargetMode="External"/><Relationship Id="rId299" Type="http://schemas.openxmlformats.org/officeDocument/2006/relationships/hyperlink" Target="https://www.sec.gov/Archives/edgar/data/1832038/000119312522243285/d388436dex32.htm" TargetMode="External"/><Relationship Id="rId300" Type="http://schemas.openxmlformats.org/officeDocument/2006/relationships/hyperlink" Target="https://www.sec.gov/Archives/edgar/data/1832038/000119312523154233/d473409dex32.htm" TargetMode="External"/><Relationship Id="rId301" Type="http://schemas.openxmlformats.org/officeDocument/2006/relationships/hyperlink" Target="https://www.sec.gov/Archives/edgar/data/1832038/000119312522253372/d392092dex33.htm" TargetMode="External"/><Relationship Id="rId302" Type="http://schemas.openxmlformats.org/officeDocument/2006/relationships/hyperlink" Target="https://www.sec.gov/Archives/edgar/data/1832038/000095017025056005/ivvd-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2025-08-14T16:09:42Z</dcterms:created>
  <dcterms:modified xsi:type="dcterms:W3CDTF">2025-08-14T16:09:42Z</dcterms:modified>
</cp:coreProperties>
</file>